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Technical Order 1042</w:t>
      </w:r>
    </w:p>
    <w:p>
      <w:pPr>
        <w:spacing w:after="240"/>
      </w:pPr>
      <w:r>
        <w:rPr>
          <w:rFonts w:ascii="Aptos Display" w:hAnsi="Aptos Display"/>
          <w:b/>
          <w:color w:val="1F4E79"/>
          <w:sz w:val="30"/>
        </w:rPr>
        <w:t>IP Plan - Marcee1</w:t>
      </w:r>
    </w:p>
    <w:p>
      <w:pPr>
        <w:spacing w:after="140"/>
      </w:pPr>
      <w:r>
        <w:rPr>
          <w:color w:val="404040"/>
          <w:sz w:val="18"/>
        </w:rPr>
        <w:t xml:space="preserve">All /24. The gateway is always .1 and lives on a CN-1 sub-interface, never on a switch. </w:t>
      </w:r>
      <w:r>
        <w:rPr>
          <w:i/>
          <w:color w:val="1F4E79"/>
          <w:sz w:val="18"/>
        </w:rPr>
        <w:t>Blue cells are scenario-generated at runtime.</w:t>
      </w:r>
    </w:p>
    <w:p>
      <w:pPr>
        <w:spacing w:after="80"/>
      </w:pPr>
      <w:r>
        <w:rPr>
          <w:rFonts w:ascii="Aptos Display" w:hAnsi="Aptos Display"/>
          <w:b/>
          <w:color w:val="1F4E79"/>
          <w:sz w:val="22"/>
        </w:rPr>
        <w:t>Addressing Plan - Marcee1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944"/>
            <w:vAlign w:val="center"/>
            <w:shd w:fill="1F4E78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VLAN</w:t>
            </w:r>
          </w:p>
        </w:tc>
        <w:tc>
          <w:tcPr>
            <w:tcW w:type="dxa" w:w="2952"/>
            <w:vAlign w:val="center"/>
            <w:shd w:fill="1F4E78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NETWORK</w:t>
            </w:r>
          </w:p>
        </w:tc>
        <w:tc>
          <w:tcPr>
            <w:tcW w:type="dxa" w:w="2376"/>
            <w:vAlign w:val="center"/>
            <w:shd w:fill="1F4E78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GATEWAY</w:t>
            </w:r>
          </w:p>
        </w:tc>
        <w:tc>
          <w:tcPr>
            <w:tcW w:type="dxa" w:w="2520"/>
            <w:vAlign w:val="center"/>
            <w:shd w:fill="1F4E78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SUB-INTERFACE</w:t>
            </w:r>
          </w:p>
        </w:tc>
      </w:tr>
      <w:tr>
        <w:tc>
          <w:tcPr>
            <w:tcW w:type="dxa" w:w="266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7"/>
              </w:rPr>
              <w:t>310 Management</w:t>
            </w:r>
          </w:p>
        </w:tc>
        <w:tc>
          <w:tcPr>
            <w:tcW w:type="dxa" w:w="2664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192.168.123.0/24</w:t>
            </w:r>
          </w:p>
        </w:tc>
        <w:tc>
          <w:tcPr>
            <w:tcW w:type="dxa" w:w="2664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192.168.123.1</w:t>
            </w:r>
          </w:p>
        </w:tc>
        <w:tc>
          <w:tcPr>
            <w:tcW w:type="dxa" w:w="2664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Fa0/0.310</w:t>
            </w:r>
          </w:p>
        </w:tc>
      </w:tr>
      <w:tr>
        <w:tc>
          <w:tcPr>
            <w:tcW w:type="dxa" w:w="2664"/>
            <w:vAlign w:val="center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7"/>
              </w:rPr>
              <w:t>120 Reception</w:t>
            </w:r>
          </w:p>
        </w:tc>
        <w:tc>
          <w:tcPr>
            <w:tcW w:type="dxa" w:w="2664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192.168.175.0/24</w:t>
            </w:r>
          </w:p>
        </w:tc>
        <w:tc>
          <w:tcPr>
            <w:tcW w:type="dxa" w:w="2664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192.168.175.1</w:t>
            </w:r>
          </w:p>
        </w:tc>
        <w:tc>
          <w:tcPr>
            <w:tcW w:type="dxa" w:w="2664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Fa0/0.120</w:t>
            </w:r>
          </w:p>
        </w:tc>
      </w:tr>
      <w:tr>
        <w:tc>
          <w:tcPr>
            <w:tcW w:type="dxa" w:w="266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7"/>
              </w:rPr>
              <w:t>330 Data</w:t>
            </w:r>
          </w:p>
        </w:tc>
        <w:tc>
          <w:tcPr>
            <w:tcW w:type="dxa" w:w="2664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192.168.176.0/24</w:t>
            </w:r>
          </w:p>
        </w:tc>
        <w:tc>
          <w:tcPr>
            <w:tcW w:type="dxa" w:w="2664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192.168.176.1</w:t>
            </w:r>
          </w:p>
        </w:tc>
        <w:tc>
          <w:tcPr>
            <w:tcW w:type="dxa" w:w="2664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Fa0/0.330</w:t>
            </w:r>
          </w:p>
        </w:tc>
      </w:tr>
    </w:tbl>
    <w:p>
      <w:pPr>
        <w:spacing w:after="20"/>
      </w:pPr>
    </w:p>
    <w:p>
      <w:pPr>
        <w:spacing w:before="100" w:after="80"/>
      </w:pPr>
      <w:r>
        <w:rPr>
          <w:rFonts w:ascii="Aptos Display" w:hAnsi="Aptos Display"/>
          <w:b/>
          <w:color w:val="1F4E79"/>
          <w:sz w:val="22"/>
        </w:rPr>
        <w:t>Host Addresses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584"/>
            <w:vAlign w:val="center"/>
            <w:shd w:fill="1F4E78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HOST</w:t>
            </w:r>
          </w:p>
        </w:tc>
        <w:tc>
          <w:tcPr>
            <w:tcW w:type="dxa" w:w="936"/>
            <w:vAlign w:val="center"/>
            <w:shd w:fill="1F4E78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VLAN</w:t>
            </w:r>
          </w:p>
        </w:tc>
        <w:tc>
          <w:tcPr>
            <w:tcW w:type="dxa" w:w="2304"/>
            <w:vAlign w:val="center"/>
            <w:shd w:fill="1F4E78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IP</w:t>
            </w:r>
          </w:p>
        </w:tc>
        <w:tc>
          <w:tcPr>
            <w:tcW w:type="dxa" w:w="2160"/>
            <w:vAlign w:val="center"/>
            <w:shd w:fill="1F4E78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MASK</w:t>
            </w:r>
          </w:p>
        </w:tc>
        <w:tc>
          <w:tcPr>
            <w:tcW w:type="dxa" w:w="2232"/>
            <w:vAlign w:val="center"/>
            <w:shd w:fill="1F4E78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GATEWAY</w:t>
            </w:r>
          </w:p>
        </w:tc>
        <w:tc>
          <w:tcPr>
            <w:tcW w:type="dxa" w:w="2880"/>
            <w:vAlign w:val="center"/>
            <w:shd w:fill="1F4E78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SWITCHPORT</w:t>
            </w:r>
          </w:p>
        </w:tc>
      </w:tr>
      <w:tr>
        <w:tc>
          <w:tcPr>
            <w:tcW w:type="dxa" w:w="177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7"/>
              </w:rPr>
              <w:t>IT1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310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192.168.123.2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255.255.255.0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192.168.123.1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AN-1 Port 2 (Fa0/2)</w:t>
            </w:r>
          </w:p>
        </w:tc>
      </w:tr>
      <w:tr>
        <w:tc>
          <w:tcPr>
            <w:tcW w:type="dxa" w:w="1776"/>
            <w:vAlign w:val="center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7"/>
              </w:rPr>
              <w:t>IT2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310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192.168.123.3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255.255.255.0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192.168.123.1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AN-1 Port 5 (Fa0/5)</w:t>
            </w:r>
          </w:p>
        </w:tc>
      </w:tr>
      <w:tr>
        <w:tc>
          <w:tcPr>
            <w:tcW w:type="dxa" w:w="177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7"/>
              </w:rPr>
              <w:t>Reception1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120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192.168.175.2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255.255.255.0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192.168.175.1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AN-1 Port 3 (Fa0/3)</w:t>
            </w:r>
          </w:p>
        </w:tc>
      </w:tr>
      <w:tr>
        <w:tc>
          <w:tcPr>
            <w:tcW w:type="dxa" w:w="1776"/>
            <w:vAlign w:val="center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7"/>
              </w:rPr>
              <w:t>Reception2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120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192.168.175.3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255.255.255.0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192.168.175.1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AN-1 Port 4 (Fa0/4)</w:t>
            </w:r>
          </w:p>
        </w:tc>
      </w:tr>
      <w:tr>
        <w:tc>
          <w:tcPr>
            <w:tcW w:type="dxa" w:w="177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7"/>
              </w:rPr>
              <w:t>Data1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330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192.168.176.2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255.255.255.0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192.168.176.1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AN-2 Port 2 (Fa0/2)</w:t>
            </w:r>
          </w:p>
        </w:tc>
      </w:tr>
      <w:tr>
        <w:tc>
          <w:tcPr>
            <w:tcW w:type="dxa" w:w="1776"/>
            <w:vAlign w:val="center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7"/>
              </w:rPr>
              <w:t>Data2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330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192.168.176.3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255.255.255.0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192.168.176.1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AN-2 Port 3 (Fa0/3)</w:t>
            </w:r>
          </w:p>
        </w:tc>
      </w:tr>
      <w:tr>
        <w:tc>
          <w:tcPr>
            <w:tcW w:type="dxa" w:w="177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7"/>
              </w:rPr>
              <w:t>Data3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330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192.168.176.4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255.255.255.0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192.168.176.1</w:t>
            </w:r>
          </w:p>
        </w:tc>
        <w:tc>
          <w:tcPr>
            <w:tcW w:type="dxa" w:w="1776"/>
            <w:vAlign w:val="center"/>
            <w:shd w:fill="E7F1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AN-2 Port 4 (Fa0/4)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 Plan - Marcee1</dc:title>
  <dc:subject>Editable IP plan reference for the Technical Order 1042 binder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