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TSS2 Network Capstone Simulator</w:t>
      </w:r>
    </w:p>
    <w:p>
      <w:pPr>
        <w:spacing w:after="160"/>
      </w:pPr>
      <w:r>
        <w:rPr>
          <w:i/>
          <w:color w:val="5A5A5A"/>
          <w:sz w:val="19"/>
        </w:rPr>
        <w:t>Executive summary | customer, learner outcomes, and Work Package flow</w:t>
      </w:r>
    </w:p>
    <w:p>
      <w:r>
        <w:rPr>
          <w:b/>
        </w:rPr>
        <w:t xml:space="preserve">What this project is. </w:t>
      </w:r>
      <w:r>
        <w:t>TSS2 is a scenario-driven training simulator for the 336th Training Squadron Technical Support Specialist course (E3AQR1D7X1 00AA). Players start in an empty Building 1042 facility, build the network, configure and secure it, prove connectivity, and submit evidence of completion.</w:t>
      </w:r>
    </w:p>
    <w:p>
      <w:pPr>
        <w:pStyle w:val="Heading1"/>
      </w:pPr>
      <w:r>
        <w:t>Customer and outcome</w:t>
      </w:r>
    </w:p>
    <w:p>
      <w:r>
        <w:rPr>
          <w:b/>
        </w:rPr>
        <w:t xml:space="preserve">Customer: </w:t>
      </w:r>
      <w:r>
        <w:t>the 336th Training Squadron Technical Support Specialist program, serving approximately 1,099 students per year. The program needs a practical capstone that supports LMS delivery, progress tracking, instructor grading, and repeatable hands-on practice.</w:t>
      </w:r>
    </w:p>
    <w:p>
      <w:pPr>
        <w:pStyle w:val="Heading1"/>
      </w:pPr>
      <w:r>
        <w:t>Player Requirements</w:t>
      </w:r>
    </w:p>
    <w:p>
      <w:pPr>
        <w:spacing w:after="40"/>
        <w:ind w:left="259" w:hanging="216"/>
      </w:pPr>
      <w:r>
        <w:rPr>
          <w:b/>
        </w:rPr>
        <w:t xml:space="preserve">- </w:t>
      </w:r>
      <w:r>
        <w:t>Use the Binder to find device names, VLANs, IP addresses, cable assignments, circuit information, wireless settings, and credentials.</w:t>
      </w:r>
    </w:p>
    <w:p>
      <w:pPr>
        <w:spacing w:after="40"/>
        <w:ind w:left="259" w:hanging="216"/>
      </w:pPr>
      <w:r>
        <w:rPr>
          <w:b/>
        </w:rPr>
        <w:t xml:space="preserve">- </w:t>
      </w:r>
      <w:r>
        <w:t>Rack equipment in the correct locations and assign the required names.</w:t>
      </w:r>
    </w:p>
    <w:p>
      <w:pPr>
        <w:spacing w:after="40"/>
        <w:ind w:left="259" w:hanging="216"/>
      </w:pPr>
      <w:r>
        <w:rPr>
          <w:b/>
        </w:rPr>
        <w:t xml:space="preserve">- </w:t>
      </w:r>
      <w:r>
        <w:t>Place user devices and select the correct cable type for each connection.</w:t>
      </w:r>
    </w:p>
    <w:p>
      <w:pPr>
        <w:spacing w:after="40"/>
        <w:ind w:left="259" w:hanging="216"/>
      </w:pPr>
      <w:r>
        <w:rPr>
          <w:b/>
        </w:rPr>
        <w:t xml:space="preserve">- </w:t>
      </w:r>
      <w:r>
        <w:t>Complete structured cabling, join the switches, connect the router, and land the carrier handoff.</w:t>
      </w:r>
    </w:p>
    <w:p>
      <w:pPr>
        <w:spacing w:after="40"/>
        <w:ind w:left="259" w:hanging="216"/>
      </w:pPr>
      <w:r>
        <w:rPr>
          <w:b/>
        </w:rPr>
        <w:t xml:space="preserve">- </w:t>
      </w:r>
      <w:r>
        <w:t>Configure VLANs, access ports, trunks, routed gateways, the WAN/default route, and device security.</w:t>
      </w:r>
    </w:p>
    <w:p>
      <w:pPr>
        <w:spacing w:after="40"/>
        <w:ind w:left="259" w:hanging="216"/>
      </w:pPr>
      <w:r>
        <w:rPr>
          <w:b/>
        </w:rPr>
        <w:t xml:space="preserve">- </w:t>
      </w:r>
      <w:r>
        <w:t>Secure unused ports and save switch and router configurations.</w:t>
      </w:r>
    </w:p>
    <w:p>
      <w:pPr>
        <w:spacing w:after="40"/>
        <w:ind w:left="259" w:hanging="216"/>
      </w:pPr>
      <w:r>
        <w:rPr>
          <w:b/>
        </w:rPr>
        <w:t xml:space="preserve">- </w:t>
      </w:r>
      <w:r>
        <w:t>Verify the result with show commands, gateway and cross-VLAN pings, provider reachability, wireless association, and a browser target.</w:t>
      </w:r>
    </w:p>
    <w:p>
      <w:pPr>
        <w:pStyle w:val="Heading1"/>
      </w:pPr>
      <w:r>
        <w:t>Work Package flow</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85"/>
        <w:gridCol w:w="3485"/>
        <w:gridCol w:w="3485"/>
      </w:tblGrid>
      <w:tr>
        <w:tc>
          <w:tcPr>
            <w:tcW w:type="dxa" w:w="1512"/>
            <w:vAlign w:val="center"/>
            <w:shd w:fill="1F4E79"/>
            <w:tcMar>
              <w:top w:w="90" w:type="dxa"/>
              <w:start w:w="90" w:type="dxa"/>
              <w:bottom w:w="90" w:type="dxa"/>
              <w:end w:w="90" w:type="dxa"/>
            </w:tcMar>
          </w:tcPr>
          <w:p>
            <w:pPr>
              <w:spacing w:after="0"/>
            </w:pPr>
            <w:r>
              <w:rPr>
                <w:b/>
                <w:color w:val="FFFFFF"/>
                <w:sz w:val="18"/>
              </w:rPr>
              <w:t>Stage</w:t>
            </w:r>
          </w:p>
        </w:tc>
        <w:tc>
          <w:tcPr>
            <w:tcW w:type="dxa" w:w="6840"/>
            <w:vAlign w:val="center"/>
            <w:shd w:fill="1F4E79"/>
            <w:tcMar>
              <w:top w:w="90" w:type="dxa"/>
              <w:start w:w="90" w:type="dxa"/>
              <w:bottom w:w="90" w:type="dxa"/>
              <w:end w:w="90" w:type="dxa"/>
            </w:tcMar>
          </w:tcPr>
          <w:p>
            <w:pPr>
              <w:spacing w:after="0"/>
            </w:pPr>
            <w:r>
              <w:rPr>
                <w:b/>
                <w:color w:val="FFFFFF"/>
                <w:sz w:val="18"/>
              </w:rPr>
              <w:t>Player activity</w:t>
            </w:r>
          </w:p>
        </w:tc>
        <w:tc>
          <w:tcPr>
            <w:tcW w:type="dxa" w:w="2232"/>
            <w:vAlign w:val="center"/>
            <w:shd w:fill="1F4E79"/>
            <w:tcMar>
              <w:top w:w="90" w:type="dxa"/>
              <w:start w:w="90" w:type="dxa"/>
              <w:bottom w:w="90" w:type="dxa"/>
              <w:end w:w="90" w:type="dxa"/>
            </w:tcMar>
          </w:tcPr>
          <w:p>
            <w:pPr>
              <w:spacing w:after="0"/>
            </w:pPr>
            <w:r>
              <w:rPr>
                <w:b/>
                <w:color w:val="FFFFFF"/>
                <w:sz w:val="18"/>
              </w:rPr>
              <w:t>Checkpoint proof</w:t>
            </w:r>
          </w:p>
        </w:tc>
      </w:tr>
      <w:tr>
        <w:tc>
          <w:tcPr>
            <w:tcW w:type="dxa" w:w="1512"/>
            <w:vAlign w:val="center"/>
            <w:tcMar>
              <w:top w:w="80" w:type="dxa"/>
              <w:start w:w="80" w:type="dxa"/>
              <w:bottom w:w="80" w:type="dxa"/>
              <w:end w:w="80" w:type="dxa"/>
            </w:tcMar>
          </w:tcPr>
          <w:p>
            <w:pPr>
              <w:spacing w:after="0" w:line="240" w:lineRule="auto"/>
            </w:pPr>
            <w:r>
              <w:rPr>
                <w:b/>
                <w:sz w:val="17"/>
              </w:rPr>
              <w:t>WP1</w:t>
            </w:r>
            <w:r>
              <w:br/>
            </w:r>
            <w:r>
              <w:rPr>
                <w:b/>
                <w:sz w:val="17"/>
              </w:rPr>
              <w:t>Physical</w:t>
            </w:r>
          </w:p>
        </w:tc>
        <w:tc>
          <w:tcPr>
            <w:tcW w:type="dxa" w:w="6840"/>
            <w:vAlign w:val="center"/>
            <w:tcMar>
              <w:top w:w="80" w:type="dxa"/>
              <w:start w:w="80" w:type="dxa"/>
              <w:bottom w:w="80" w:type="dxa"/>
              <w:end w:w="80" w:type="dxa"/>
            </w:tcMar>
          </w:tcPr>
          <w:p>
            <w:pPr>
              <w:spacing w:after="0" w:line="240" w:lineRule="auto"/>
            </w:pPr>
            <w:r>
              <w:rPr>
                <w:sz w:val="17"/>
              </w:rPr>
              <w:t>Build both racks, place and name user devices, complete structured cabling, join the switches, uplink the router, and land the carrier circuit.</w:t>
            </w:r>
          </w:p>
        </w:tc>
        <w:tc>
          <w:tcPr>
            <w:tcW w:type="dxa" w:w="2232"/>
            <w:vAlign w:val="center"/>
            <w:tcMar>
              <w:top w:w="80" w:type="dxa"/>
              <w:start w:w="80" w:type="dxa"/>
              <w:bottom w:w="80" w:type="dxa"/>
              <w:end w:w="80" w:type="dxa"/>
            </w:tcMar>
          </w:tcPr>
          <w:p>
            <w:pPr>
              <w:spacing w:after="0" w:line="240" w:lineRule="auto"/>
            </w:pPr>
            <w:r>
              <w:rPr>
                <w:i/>
                <w:sz w:val="17"/>
              </w:rPr>
              <w:t>Physical build and cable paths are correct.</w:t>
            </w:r>
          </w:p>
        </w:tc>
      </w:tr>
      <w:tr>
        <w:tc>
          <w:tcPr>
            <w:tcW w:type="dxa" w:w="1512"/>
            <w:vAlign w:val="center"/>
            <w:tcMar>
              <w:top w:w="80" w:type="dxa"/>
              <w:start w:w="80" w:type="dxa"/>
              <w:bottom w:w="80" w:type="dxa"/>
              <w:end w:w="80" w:type="dxa"/>
            </w:tcMar>
            <w:shd w:fill="F5F8FC"/>
          </w:tcPr>
          <w:p>
            <w:pPr>
              <w:spacing w:after="0" w:line="240" w:lineRule="auto"/>
            </w:pPr>
            <w:r>
              <w:rPr>
                <w:b/>
                <w:sz w:val="17"/>
              </w:rPr>
              <w:t>WP2</w:t>
            </w:r>
            <w:r>
              <w:br/>
            </w:r>
            <w:r>
              <w:rPr>
                <w:b/>
                <w:sz w:val="17"/>
              </w:rPr>
              <w:t>Switching</w:t>
            </w:r>
          </w:p>
        </w:tc>
        <w:tc>
          <w:tcPr>
            <w:tcW w:type="dxa" w:w="6840"/>
            <w:vAlign w:val="center"/>
            <w:tcMar>
              <w:top w:w="80" w:type="dxa"/>
              <w:start w:w="80" w:type="dxa"/>
              <w:bottom w:w="80" w:type="dxa"/>
              <w:end w:w="80" w:type="dxa"/>
            </w:tcMar>
            <w:shd w:fill="F5F8FC"/>
          </w:tcPr>
          <w:p>
            <w:pPr>
              <w:spacing w:after="0" w:line="240" w:lineRule="auto"/>
            </w:pPr>
            <w:r>
              <w:rPr>
                <w:sz w:val="17"/>
              </w:rPr>
              <w:t>Harden both switches, create VLANs, assign access ports, configure trunks, secure unused ports, verify the result, and save the configurations.</w:t>
            </w:r>
          </w:p>
        </w:tc>
        <w:tc>
          <w:tcPr>
            <w:tcW w:type="dxa" w:w="2232"/>
            <w:vAlign w:val="center"/>
            <w:tcMar>
              <w:top w:w="80" w:type="dxa"/>
              <w:start w:w="80" w:type="dxa"/>
              <w:bottom w:w="80" w:type="dxa"/>
              <w:end w:w="80" w:type="dxa"/>
            </w:tcMar>
            <w:shd w:fill="F5F8FC"/>
          </w:tcPr>
          <w:p>
            <w:pPr>
              <w:spacing w:after="0" w:line="240" w:lineRule="auto"/>
            </w:pPr>
            <w:r>
              <w:rPr>
                <w:i/>
                <w:sz w:val="17"/>
              </w:rPr>
              <w:t>VLAN and trunk outputs are correct.</w:t>
            </w:r>
          </w:p>
        </w:tc>
      </w:tr>
      <w:tr>
        <w:tc>
          <w:tcPr>
            <w:tcW w:type="dxa" w:w="1512"/>
            <w:vAlign w:val="center"/>
            <w:tcMar>
              <w:top w:w="80" w:type="dxa"/>
              <w:start w:w="80" w:type="dxa"/>
              <w:bottom w:w="80" w:type="dxa"/>
              <w:end w:w="80" w:type="dxa"/>
            </w:tcMar>
          </w:tcPr>
          <w:p>
            <w:pPr>
              <w:spacing w:after="0" w:line="240" w:lineRule="auto"/>
            </w:pPr>
            <w:r>
              <w:rPr>
                <w:b/>
                <w:sz w:val="17"/>
              </w:rPr>
              <w:t>WP3</w:t>
            </w:r>
            <w:r>
              <w:br/>
            </w:r>
            <w:r>
              <w:rPr>
                <w:b/>
                <w:sz w:val="17"/>
              </w:rPr>
              <w:t>Routing</w:t>
            </w:r>
          </w:p>
        </w:tc>
        <w:tc>
          <w:tcPr>
            <w:tcW w:type="dxa" w:w="6840"/>
            <w:vAlign w:val="center"/>
            <w:tcMar>
              <w:top w:w="80" w:type="dxa"/>
              <w:start w:w="80" w:type="dxa"/>
              <w:bottom w:w="80" w:type="dxa"/>
              <w:end w:w="80" w:type="dxa"/>
            </w:tcMar>
          </w:tcPr>
          <w:p>
            <w:pPr>
              <w:spacing w:after="0" w:line="240" w:lineRule="auto"/>
            </w:pPr>
            <w:r>
              <w:rPr>
                <w:sz w:val="17"/>
              </w:rPr>
              <w:t>Secure the router, configure routed VLAN gateways, address the WAN interface, add the provider route, and test gateway, cross-VLAN, and provider reachability.</w:t>
            </w:r>
          </w:p>
        </w:tc>
        <w:tc>
          <w:tcPr>
            <w:tcW w:type="dxa" w:w="2232"/>
            <w:vAlign w:val="center"/>
            <w:tcMar>
              <w:top w:w="80" w:type="dxa"/>
              <w:start w:w="80" w:type="dxa"/>
              <w:bottom w:w="80" w:type="dxa"/>
              <w:end w:w="80" w:type="dxa"/>
            </w:tcMar>
          </w:tcPr>
          <w:p>
            <w:pPr>
              <w:spacing w:after="0" w:line="240" w:lineRule="auto"/>
            </w:pPr>
            <w:r>
              <w:rPr>
                <w:i/>
                <w:sz w:val="17"/>
              </w:rPr>
              <w:t>Pings and route table prove reachability.</w:t>
            </w:r>
          </w:p>
        </w:tc>
      </w:tr>
      <w:tr>
        <w:tc>
          <w:tcPr>
            <w:tcW w:type="dxa" w:w="1512"/>
            <w:vAlign w:val="center"/>
            <w:tcMar>
              <w:top w:w="80" w:type="dxa"/>
              <w:start w:w="80" w:type="dxa"/>
              <w:bottom w:w="80" w:type="dxa"/>
              <w:end w:w="80" w:type="dxa"/>
            </w:tcMar>
            <w:shd w:fill="F5F8FC"/>
          </w:tcPr>
          <w:p>
            <w:pPr>
              <w:spacing w:after="0" w:line="240" w:lineRule="auto"/>
            </w:pPr>
            <w:r>
              <w:rPr>
                <w:b/>
                <w:sz w:val="17"/>
              </w:rPr>
              <w:t>WP4</w:t>
            </w:r>
            <w:r>
              <w:br/>
            </w:r>
            <w:r>
              <w:rPr>
                <w:b/>
                <w:sz w:val="17"/>
              </w:rPr>
              <w:t>Wireless</w:t>
            </w:r>
          </w:p>
        </w:tc>
        <w:tc>
          <w:tcPr>
            <w:tcW w:type="dxa" w:w="6840"/>
            <w:vAlign w:val="center"/>
            <w:tcMar>
              <w:top w:w="80" w:type="dxa"/>
              <w:start w:w="80" w:type="dxa"/>
              <w:bottom w:w="80" w:type="dxa"/>
              <w:end w:w="80" w:type="dxa"/>
            </w:tcMar>
            <w:shd w:fill="F5F8FC"/>
          </w:tcPr>
          <w:p>
            <w:pPr>
              <w:spacing w:after="0" w:line="240" w:lineRule="auto"/>
            </w:pPr>
            <w:r>
              <w:rPr>
                <w:sz w:val="17"/>
              </w:rPr>
              <w:t>Mount and cable the AP, activate its switchport, configure wireless security, join the test laptop, and verify gateway, provider, and browser access.</w:t>
            </w:r>
          </w:p>
        </w:tc>
        <w:tc>
          <w:tcPr>
            <w:tcW w:type="dxa" w:w="2232"/>
            <w:vAlign w:val="center"/>
            <w:tcMar>
              <w:top w:w="80" w:type="dxa"/>
              <w:start w:w="80" w:type="dxa"/>
              <w:bottom w:w="80" w:type="dxa"/>
              <w:end w:w="80" w:type="dxa"/>
            </w:tcMar>
            <w:shd w:fill="F5F8FC"/>
          </w:tcPr>
          <w:p>
            <w:pPr>
              <w:spacing w:after="0" w:line="240" w:lineRule="auto"/>
            </w:pPr>
            <w:r>
              <w:rPr>
                <w:i/>
                <w:sz w:val="17"/>
              </w:rPr>
              <w:t>Wireless works and the final report is generated.</w:t>
            </w:r>
          </w:p>
        </w:tc>
      </w:tr>
    </w:tbl>
    <w:p>
      <w:pPr>
        <w:pStyle w:val="Heading1"/>
      </w:pPr>
      <w:r>
        <w:t>Successful completion</w:t>
      </w:r>
    </w:p>
    <w:p>
      <w:pPr>
        <w:spacing w:after="40"/>
        <w:ind w:left="259" w:hanging="216"/>
      </w:pPr>
      <w:r>
        <w:rPr>
          <w:b/>
        </w:rPr>
        <w:t xml:space="preserve">- </w:t>
      </w:r>
      <w:r>
        <w:t>Complete all four Work Package checkpoints.</w:t>
      </w:r>
    </w:p>
    <w:p>
      <w:pPr>
        <w:spacing w:after="40"/>
        <w:ind w:left="259" w:hanging="216"/>
      </w:pPr>
      <w:r>
        <w:rPr>
          <w:b/>
        </w:rPr>
        <w:t xml:space="preserve">- </w:t>
      </w:r>
      <w:r>
        <w:t>Explain how the physical, switching, routing, and wireless layers depend on one another.</w:t>
      </w:r>
    </w:p>
    <w:p>
      <w:pPr>
        <w:spacing w:after="40"/>
        <w:ind w:left="259" w:hanging="216"/>
      </w:pPr>
      <w:r>
        <w:rPr>
          <w:b/>
        </w:rPr>
        <w:t xml:space="preserve">- </w:t>
      </w:r>
      <w:r>
        <w:t>Produce a completion record with Work Package times, instructor sign-off, timestamp, and verification code.</w:t>
      </w:r>
    </w:p>
    <w:sectPr w:rsidR="00FC693F" w:rsidRPr="0006063C" w:rsidSect="00034616">
      <w:pgSz w:w="12240" w:h="15840"/>
      <w:pgMar w:top="691" w:right="893" w:bottom="60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TSS2 Network Capstone Simulator Executive Summary</dc:title>
  <dc:subject>Customer and learner overview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