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BEA8A" w14:textId="77777777" w:rsidR="00726134" w:rsidRDefault="00000000">
      <w:pPr>
        <w:pStyle w:val="Title"/>
      </w:pPr>
      <w:r>
        <w:t>Naming Standard</w:t>
      </w:r>
    </w:p>
    <w:p w14:paraId="2D51742B" w14:textId="77777777" w:rsidR="00726134" w:rsidRDefault="00000000">
      <w:pPr>
        <w:pStyle w:val="Subtitle"/>
      </w:pPr>
      <w:r>
        <w:rPr>
          <w:color w:val="595959"/>
        </w:rPr>
        <w:t>Technical Order 1042</w:t>
      </w:r>
    </w:p>
    <w:p w14:paraId="28E26CC4" w14:textId="77777777" w:rsidR="00726134" w:rsidRDefault="00000000">
      <w:pPr>
        <w:pStyle w:val="Heading1"/>
      </w:pPr>
      <w:r>
        <w:t>Rack Naming and Mounting Standard</w:t>
      </w:r>
    </w:p>
    <w:p w14:paraId="11735833" w14:textId="5E8AB0D5" w:rsidR="00726134" w:rsidRDefault="00000000">
      <w:r>
        <w:t xml:space="preserve">AN = Access Node (switch). CN = Core Node (router). Rack order is not cosmetic: power at the top, away from data; patch panel directly above the switch it feeds; router </w:t>
      </w:r>
      <w:r w:rsidR="00842026">
        <w:t>below</w:t>
      </w:r>
      <w:r>
        <w:t xml:space="preserve"> the switch it uplinks to; and the heavy box lowest for center of gravity.</w:t>
      </w:r>
    </w:p>
    <w:p w14:paraId="110B4A76" w14:textId="77777777" w:rsidR="00726134" w:rsidRDefault="00000000">
      <w:pPr>
        <w:pStyle w:val="Heading1"/>
      </w:pPr>
      <w:r>
        <w:t>First Floor Rack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26134" w14:paraId="15FAD4BF" w14:textId="77777777">
        <w:trPr>
          <w:jc w:val="center"/>
        </w:trPr>
        <w:tc>
          <w:tcPr>
            <w:tcW w:w="2484" w:type="dxa"/>
            <w:shd w:val="clear" w:color="auto" w:fill="1F4E78"/>
            <w:vAlign w:val="center"/>
          </w:tcPr>
          <w:p w14:paraId="7934519A" w14:textId="6E745BB2" w:rsidR="00726134" w:rsidRDefault="00000000">
            <w:pPr>
              <w:spacing w:after="0"/>
            </w:pPr>
            <w:r>
              <w:rPr>
                <w:b/>
                <w:color w:val="FFFFFF"/>
              </w:rPr>
              <w:t>Slot</w:t>
            </w:r>
            <w:r w:rsidR="00842026">
              <w:rPr>
                <w:b/>
                <w:color w:val="FFFFFF"/>
              </w:rPr>
              <w:t xml:space="preserve"> Range</w:t>
            </w:r>
          </w:p>
        </w:tc>
        <w:tc>
          <w:tcPr>
            <w:tcW w:w="2484" w:type="dxa"/>
            <w:shd w:val="clear" w:color="auto" w:fill="1F4E78"/>
            <w:vAlign w:val="center"/>
          </w:tcPr>
          <w:p w14:paraId="672B7EBF" w14:textId="77777777" w:rsidR="00726134" w:rsidRDefault="00000000">
            <w:pPr>
              <w:spacing w:after="0"/>
            </w:pPr>
            <w:r>
              <w:rPr>
                <w:b/>
                <w:color w:val="FFFFFF"/>
              </w:rPr>
              <w:t>Device</w:t>
            </w:r>
          </w:p>
        </w:tc>
        <w:tc>
          <w:tcPr>
            <w:tcW w:w="2484" w:type="dxa"/>
            <w:shd w:val="clear" w:color="auto" w:fill="1F4E78"/>
            <w:vAlign w:val="center"/>
          </w:tcPr>
          <w:p w14:paraId="0AAA64B2" w14:textId="77777777" w:rsidR="00726134" w:rsidRDefault="00000000">
            <w:pPr>
              <w:spacing w:after="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w="2484" w:type="dxa"/>
            <w:shd w:val="clear" w:color="auto" w:fill="1F4E78"/>
            <w:vAlign w:val="center"/>
          </w:tcPr>
          <w:p w14:paraId="45E5A514" w14:textId="77777777" w:rsidR="00726134" w:rsidRDefault="00000000">
            <w:pPr>
              <w:spacing w:after="0"/>
            </w:pPr>
            <w:r>
              <w:rPr>
                <w:b/>
                <w:color w:val="FFFFFF"/>
              </w:rPr>
              <w:t>Why</w:t>
            </w:r>
          </w:p>
        </w:tc>
      </w:tr>
      <w:tr w:rsidR="00726134" w:rsidRPr="00842026" w14:paraId="450800B7" w14:textId="77777777">
        <w:trPr>
          <w:jc w:val="center"/>
        </w:trPr>
        <w:tc>
          <w:tcPr>
            <w:tcW w:w="2484" w:type="dxa"/>
            <w:vAlign w:val="center"/>
          </w:tcPr>
          <w:p w14:paraId="52C06D1E" w14:textId="3E9C4BA2" w:rsidR="00726134" w:rsidRPr="00842026" w:rsidRDefault="00842026">
            <w:pPr>
              <w:spacing w:after="0"/>
              <w:rPr>
                <w:bCs/>
              </w:rPr>
            </w:pPr>
            <w:r w:rsidRPr="00842026">
              <w:rPr>
                <w:bCs/>
                <w:color w:val="000000"/>
              </w:rPr>
              <w:t xml:space="preserve">Rear </w:t>
            </w:r>
            <w:r w:rsidR="00000000" w:rsidRPr="00842026">
              <w:rPr>
                <w:bCs/>
                <w:color w:val="000000"/>
              </w:rPr>
              <w:t>U</w:t>
            </w:r>
            <w:r w:rsidRPr="00842026">
              <w:rPr>
                <w:bCs/>
                <w:color w:val="000000"/>
              </w:rPr>
              <w:t>38 – U35</w:t>
            </w:r>
          </w:p>
        </w:tc>
        <w:tc>
          <w:tcPr>
            <w:tcW w:w="2484" w:type="dxa"/>
            <w:vAlign w:val="center"/>
          </w:tcPr>
          <w:p w14:paraId="3B26E78C" w14:textId="77777777" w:rsidR="00726134" w:rsidRPr="00842026" w:rsidRDefault="00000000">
            <w:pPr>
              <w:spacing w:after="0"/>
              <w:rPr>
                <w:bCs/>
              </w:rPr>
            </w:pPr>
            <w:r w:rsidRPr="00842026">
              <w:rPr>
                <w:bCs/>
                <w:color w:val="000000"/>
              </w:rPr>
              <w:t>Rack PDU</w:t>
            </w:r>
          </w:p>
        </w:tc>
        <w:tc>
          <w:tcPr>
            <w:tcW w:w="2484" w:type="dxa"/>
            <w:vAlign w:val="center"/>
          </w:tcPr>
          <w:p w14:paraId="5E8DC2EB" w14:textId="77777777" w:rsidR="00726134" w:rsidRPr="00842026" w:rsidRDefault="00000000">
            <w:pPr>
              <w:spacing w:after="0"/>
              <w:rPr>
                <w:bCs/>
              </w:rPr>
            </w:pPr>
            <w:r w:rsidRPr="00842026">
              <w:rPr>
                <w:bCs/>
                <w:color w:val="000000"/>
              </w:rPr>
              <w:t>PDU1</w:t>
            </w:r>
          </w:p>
        </w:tc>
        <w:tc>
          <w:tcPr>
            <w:tcW w:w="2484" w:type="dxa"/>
            <w:vAlign w:val="center"/>
          </w:tcPr>
          <w:p w14:paraId="7F7BA222" w14:textId="77302ED2" w:rsidR="00726134" w:rsidRPr="00842026" w:rsidRDefault="00000000">
            <w:pPr>
              <w:spacing w:after="0"/>
              <w:rPr>
                <w:bCs/>
              </w:rPr>
            </w:pPr>
            <w:r w:rsidRPr="00842026">
              <w:rPr>
                <w:bCs/>
                <w:color w:val="000000"/>
              </w:rPr>
              <w:t>Power at the top</w:t>
            </w:r>
            <w:r w:rsidR="00842026" w:rsidRPr="00842026">
              <w:rPr>
                <w:bCs/>
                <w:color w:val="000000"/>
              </w:rPr>
              <w:t xml:space="preserve"> rear</w:t>
            </w:r>
            <w:r w:rsidRPr="00842026">
              <w:rPr>
                <w:bCs/>
                <w:color w:val="000000"/>
              </w:rPr>
              <w:t>, away from data cabling</w:t>
            </w:r>
          </w:p>
        </w:tc>
      </w:tr>
      <w:tr w:rsidR="00726134" w14:paraId="79DB2FC8" w14:textId="77777777">
        <w:trPr>
          <w:jc w:val="center"/>
        </w:trPr>
        <w:tc>
          <w:tcPr>
            <w:tcW w:w="2484" w:type="dxa"/>
            <w:shd w:val="clear" w:color="auto" w:fill="EAF2F8"/>
            <w:vAlign w:val="center"/>
          </w:tcPr>
          <w:p w14:paraId="5F104AD0" w14:textId="33EF48AD" w:rsidR="00726134" w:rsidRDefault="00842026">
            <w:pPr>
              <w:spacing w:after="0"/>
            </w:pPr>
            <w:r>
              <w:rPr>
                <w:color w:val="000000"/>
              </w:rPr>
              <w:t xml:space="preserve">Front </w:t>
            </w:r>
            <w:r w:rsidR="00000000">
              <w:rPr>
                <w:color w:val="000000"/>
              </w:rPr>
              <w:t>U</w:t>
            </w:r>
            <w:r>
              <w:rPr>
                <w:color w:val="000000"/>
              </w:rPr>
              <w:t>40</w:t>
            </w:r>
          </w:p>
        </w:tc>
        <w:tc>
          <w:tcPr>
            <w:tcW w:w="2484" w:type="dxa"/>
            <w:shd w:val="clear" w:color="auto" w:fill="EAF2F8"/>
            <w:vAlign w:val="center"/>
          </w:tcPr>
          <w:p w14:paraId="0F1301B4" w14:textId="3530F1D5" w:rsidR="00726134" w:rsidRDefault="00842026">
            <w:pPr>
              <w:spacing w:after="0"/>
            </w:pPr>
            <w:r>
              <w:rPr>
                <w:color w:val="000000"/>
              </w:rPr>
              <w:t>24</w:t>
            </w:r>
            <w:r w:rsidR="00000000">
              <w:rPr>
                <w:color w:val="000000"/>
              </w:rPr>
              <w:t xml:space="preserve">-port </w:t>
            </w:r>
            <w:r w:rsidR="00201493">
              <w:rPr>
                <w:color w:val="000000"/>
              </w:rPr>
              <w:t>P</w:t>
            </w:r>
            <w:r w:rsidR="00000000">
              <w:rPr>
                <w:color w:val="000000"/>
              </w:rPr>
              <w:t xml:space="preserve">atch </w:t>
            </w:r>
            <w:r w:rsidR="00201493">
              <w:rPr>
                <w:color w:val="000000"/>
              </w:rPr>
              <w:t>P</w:t>
            </w:r>
            <w:r w:rsidR="00000000">
              <w:rPr>
                <w:color w:val="000000"/>
              </w:rPr>
              <w:t>anel</w:t>
            </w:r>
          </w:p>
        </w:tc>
        <w:tc>
          <w:tcPr>
            <w:tcW w:w="2484" w:type="dxa"/>
            <w:shd w:val="clear" w:color="auto" w:fill="EAF2F8"/>
            <w:vAlign w:val="center"/>
          </w:tcPr>
          <w:p w14:paraId="67351EB2" w14:textId="77777777" w:rsidR="00726134" w:rsidRDefault="00000000">
            <w:pPr>
              <w:spacing w:after="0"/>
            </w:pPr>
            <w:r>
              <w:rPr>
                <w:color w:val="000000"/>
              </w:rPr>
              <w:t>Patch1</w:t>
            </w:r>
          </w:p>
        </w:tc>
        <w:tc>
          <w:tcPr>
            <w:tcW w:w="2484" w:type="dxa"/>
            <w:shd w:val="clear" w:color="auto" w:fill="EAF2F8"/>
            <w:vAlign w:val="center"/>
          </w:tcPr>
          <w:p w14:paraId="7BE7775D" w14:textId="77777777" w:rsidR="00726134" w:rsidRDefault="00000000">
            <w:pPr>
              <w:spacing w:after="0"/>
            </w:pPr>
            <w:r>
              <w:rPr>
                <w:color w:val="000000"/>
              </w:rPr>
              <w:t>Directly above its switch – short patch runs</w:t>
            </w:r>
          </w:p>
        </w:tc>
      </w:tr>
      <w:tr w:rsidR="00726134" w14:paraId="39486EE3" w14:textId="77777777">
        <w:trPr>
          <w:jc w:val="center"/>
        </w:trPr>
        <w:tc>
          <w:tcPr>
            <w:tcW w:w="2484" w:type="dxa"/>
            <w:vAlign w:val="center"/>
          </w:tcPr>
          <w:p w14:paraId="68C4F561" w14:textId="396EF2F8" w:rsidR="00726134" w:rsidRDefault="00842026">
            <w:pPr>
              <w:spacing w:after="0"/>
            </w:pPr>
            <w:r>
              <w:rPr>
                <w:color w:val="000000"/>
              </w:rPr>
              <w:t xml:space="preserve">Front </w:t>
            </w:r>
            <w:r w:rsidR="00000000">
              <w:rPr>
                <w:color w:val="000000"/>
              </w:rPr>
              <w:t>U3</w:t>
            </w:r>
            <w:r>
              <w:rPr>
                <w:color w:val="000000"/>
              </w:rPr>
              <w:t>8 – U35</w:t>
            </w:r>
          </w:p>
        </w:tc>
        <w:tc>
          <w:tcPr>
            <w:tcW w:w="2484" w:type="dxa"/>
            <w:vAlign w:val="center"/>
          </w:tcPr>
          <w:p w14:paraId="67066F77" w14:textId="3C4FD40B" w:rsidR="00726134" w:rsidRDefault="00842026">
            <w:pPr>
              <w:spacing w:after="0"/>
            </w:pPr>
            <w:r>
              <w:rPr>
                <w:color w:val="000000"/>
              </w:rPr>
              <w:t>24</w:t>
            </w:r>
            <w:r w:rsidR="00000000">
              <w:rPr>
                <w:color w:val="000000"/>
              </w:rPr>
              <w:t xml:space="preserve">-port </w:t>
            </w:r>
            <w:r w:rsidR="00201493">
              <w:rPr>
                <w:color w:val="000000"/>
              </w:rPr>
              <w:t>S</w:t>
            </w:r>
            <w:r w:rsidR="00000000">
              <w:rPr>
                <w:color w:val="000000"/>
              </w:rPr>
              <w:t>witch</w:t>
            </w:r>
          </w:p>
        </w:tc>
        <w:tc>
          <w:tcPr>
            <w:tcW w:w="2484" w:type="dxa"/>
            <w:vAlign w:val="center"/>
          </w:tcPr>
          <w:p w14:paraId="7CEF1147" w14:textId="77777777" w:rsidR="00726134" w:rsidRDefault="00000000">
            <w:pPr>
              <w:spacing w:after="0"/>
            </w:pPr>
            <w:r>
              <w:rPr>
                <w:color w:val="000000"/>
              </w:rPr>
              <w:t>AN-1</w:t>
            </w:r>
          </w:p>
        </w:tc>
        <w:tc>
          <w:tcPr>
            <w:tcW w:w="2484" w:type="dxa"/>
            <w:vAlign w:val="center"/>
          </w:tcPr>
          <w:p w14:paraId="7A76C3F4" w14:textId="77777777" w:rsidR="00726134" w:rsidRDefault="00000000">
            <w:pPr>
              <w:spacing w:after="0"/>
            </w:pPr>
            <w:r>
              <w:rPr>
                <w:color w:val="000000"/>
              </w:rPr>
              <w:t>Access node, ground floor</w:t>
            </w:r>
          </w:p>
        </w:tc>
      </w:tr>
      <w:tr w:rsidR="00726134" w14:paraId="1AA7006C" w14:textId="77777777">
        <w:trPr>
          <w:jc w:val="center"/>
        </w:trPr>
        <w:tc>
          <w:tcPr>
            <w:tcW w:w="2484" w:type="dxa"/>
            <w:shd w:val="clear" w:color="auto" w:fill="EAF2F8"/>
            <w:vAlign w:val="center"/>
          </w:tcPr>
          <w:p w14:paraId="2AD2CF0F" w14:textId="09F75DC2" w:rsidR="00726134" w:rsidRDefault="00842026">
            <w:pPr>
              <w:spacing w:after="0"/>
            </w:pPr>
            <w:r>
              <w:t>Front U34 – U38</w:t>
            </w:r>
          </w:p>
        </w:tc>
        <w:tc>
          <w:tcPr>
            <w:tcW w:w="2484" w:type="dxa"/>
            <w:shd w:val="clear" w:color="auto" w:fill="EAF2F8"/>
            <w:vAlign w:val="center"/>
          </w:tcPr>
          <w:p w14:paraId="745E4F0F" w14:textId="51B4F9C0" w:rsidR="00726134" w:rsidRDefault="00000000">
            <w:pPr>
              <w:spacing w:after="0"/>
            </w:pPr>
            <w:r>
              <w:rPr>
                <w:color w:val="000000"/>
              </w:rPr>
              <w:t xml:space="preserve">Core </w:t>
            </w:r>
            <w:r w:rsidR="00201493">
              <w:rPr>
                <w:color w:val="000000"/>
              </w:rPr>
              <w:t>R</w:t>
            </w:r>
            <w:r>
              <w:rPr>
                <w:color w:val="000000"/>
              </w:rPr>
              <w:t>outer</w:t>
            </w:r>
          </w:p>
        </w:tc>
        <w:tc>
          <w:tcPr>
            <w:tcW w:w="2484" w:type="dxa"/>
            <w:shd w:val="clear" w:color="auto" w:fill="EAF2F8"/>
            <w:vAlign w:val="center"/>
          </w:tcPr>
          <w:p w14:paraId="610BDFC5" w14:textId="77777777" w:rsidR="00726134" w:rsidRDefault="00000000">
            <w:pPr>
              <w:spacing w:after="0"/>
            </w:pPr>
            <w:r>
              <w:rPr>
                <w:color w:val="000000"/>
              </w:rPr>
              <w:t>CN-1</w:t>
            </w:r>
          </w:p>
        </w:tc>
        <w:tc>
          <w:tcPr>
            <w:tcW w:w="2484" w:type="dxa"/>
            <w:shd w:val="clear" w:color="auto" w:fill="EAF2F8"/>
            <w:vAlign w:val="center"/>
          </w:tcPr>
          <w:p w14:paraId="1F946302" w14:textId="60B6B811" w:rsidR="00726134" w:rsidRDefault="00842026">
            <w:pPr>
              <w:spacing w:after="0"/>
            </w:pPr>
            <w:r>
              <w:rPr>
                <w:color w:val="000000"/>
              </w:rPr>
              <w:t>Below</w:t>
            </w:r>
            <w:r w:rsidR="00000000">
              <w:rPr>
                <w:color w:val="000000"/>
              </w:rPr>
              <w:t xml:space="preserve"> the switch it trunks to; feeds the demarc</w:t>
            </w:r>
          </w:p>
        </w:tc>
      </w:tr>
      <w:tr w:rsidR="00726134" w14:paraId="29F60583" w14:textId="77777777">
        <w:trPr>
          <w:jc w:val="center"/>
        </w:trPr>
        <w:tc>
          <w:tcPr>
            <w:tcW w:w="2484" w:type="dxa"/>
            <w:vAlign w:val="center"/>
          </w:tcPr>
          <w:p w14:paraId="13C7E7A9" w14:textId="7971C68F" w:rsidR="00726134" w:rsidRDefault="00842026">
            <w:pPr>
              <w:spacing w:after="0"/>
            </w:pPr>
            <w:r>
              <w:t>Front U8 – U3</w:t>
            </w:r>
          </w:p>
        </w:tc>
        <w:tc>
          <w:tcPr>
            <w:tcW w:w="2484" w:type="dxa"/>
            <w:vAlign w:val="center"/>
          </w:tcPr>
          <w:p w14:paraId="770EE940" w14:textId="32E23E58" w:rsidR="00726134" w:rsidRDefault="00000000">
            <w:pPr>
              <w:spacing w:after="0"/>
            </w:pPr>
            <w:r>
              <w:rPr>
                <w:color w:val="000000"/>
              </w:rPr>
              <w:t xml:space="preserve">Rack </w:t>
            </w:r>
            <w:r w:rsidR="00201493">
              <w:rPr>
                <w:color w:val="000000"/>
              </w:rPr>
              <w:t>S</w:t>
            </w:r>
            <w:r>
              <w:rPr>
                <w:color w:val="000000"/>
              </w:rPr>
              <w:t>erver</w:t>
            </w:r>
          </w:p>
        </w:tc>
        <w:tc>
          <w:tcPr>
            <w:tcW w:w="2484" w:type="dxa"/>
            <w:vAlign w:val="center"/>
          </w:tcPr>
          <w:p w14:paraId="1217388F" w14:textId="77777777" w:rsidR="00726134" w:rsidRDefault="00000000">
            <w:pPr>
              <w:spacing w:after="0"/>
            </w:pPr>
            <w:r>
              <w:rPr>
                <w:color w:val="000000"/>
              </w:rPr>
              <w:t>IT2</w:t>
            </w:r>
          </w:p>
        </w:tc>
        <w:tc>
          <w:tcPr>
            <w:tcW w:w="2484" w:type="dxa"/>
            <w:vAlign w:val="center"/>
          </w:tcPr>
          <w:p w14:paraId="1FE1869D" w14:textId="77777777" w:rsidR="00726134" w:rsidRDefault="00000000">
            <w:pPr>
              <w:spacing w:after="0"/>
            </w:pPr>
            <w:r>
              <w:rPr>
                <w:color w:val="000000"/>
              </w:rPr>
              <w:t>Heavy and hot – lowest in the rack</w:t>
            </w:r>
          </w:p>
        </w:tc>
      </w:tr>
    </w:tbl>
    <w:p w14:paraId="522EA8E3" w14:textId="77777777" w:rsidR="00726134" w:rsidRDefault="00726134"/>
    <w:p w14:paraId="6311F643" w14:textId="77777777" w:rsidR="00726134" w:rsidRDefault="00000000">
      <w:pPr>
        <w:pStyle w:val="Heading1"/>
      </w:pPr>
      <w:r>
        <w:t>Second Floor Rack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26134" w14:paraId="7A2DE80C" w14:textId="77777777">
        <w:trPr>
          <w:jc w:val="center"/>
        </w:trPr>
        <w:tc>
          <w:tcPr>
            <w:tcW w:w="3312" w:type="dxa"/>
            <w:shd w:val="clear" w:color="auto" w:fill="1F4E78"/>
            <w:vAlign w:val="center"/>
          </w:tcPr>
          <w:p w14:paraId="43215476" w14:textId="77777777" w:rsidR="00726134" w:rsidRDefault="00000000">
            <w:pPr>
              <w:spacing w:after="0"/>
            </w:pPr>
            <w:r>
              <w:rPr>
                <w:b/>
                <w:color w:val="FFFFFF"/>
              </w:rPr>
              <w:t>Slot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70B210D3" w14:textId="77777777" w:rsidR="00726134" w:rsidRDefault="00000000">
            <w:pPr>
              <w:spacing w:after="0"/>
            </w:pPr>
            <w:r>
              <w:rPr>
                <w:b/>
                <w:color w:val="FFFFFF"/>
              </w:rPr>
              <w:t>Device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7A3C664F" w14:textId="77777777" w:rsidR="00726134" w:rsidRDefault="00000000">
            <w:pPr>
              <w:spacing w:after="0"/>
            </w:pPr>
            <w:r>
              <w:rPr>
                <w:b/>
                <w:color w:val="FFFFFF"/>
              </w:rPr>
              <w:t>Name</w:t>
            </w:r>
          </w:p>
        </w:tc>
      </w:tr>
      <w:tr w:rsidR="00726134" w:rsidRPr="00201493" w14:paraId="173B2FE2" w14:textId="77777777">
        <w:trPr>
          <w:jc w:val="center"/>
        </w:trPr>
        <w:tc>
          <w:tcPr>
            <w:tcW w:w="3312" w:type="dxa"/>
            <w:vAlign w:val="center"/>
          </w:tcPr>
          <w:p w14:paraId="4E2BFE3C" w14:textId="6041C4B6" w:rsidR="00726134" w:rsidRPr="00201493" w:rsidRDefault="00842026">
            <w:pPr>
              <w:spacing w:after="0"/>
              <w:rPr>
                <w:bCs/>
              </w:rPr>
            </w:pPr>
            <w:r w:rsidRPr="00201493">
              <w:rPr>
                <w:bCs/>
                <w:color w:val="000000"/>
              </w:rPr>
              <w:t>Rear U38 – U35</w:t>
            </w:r>
          </w:p>
        </w:tc>
        <w:tc>
          <w:tcPr>
            <w:tcW w:w="3312" w:type="dxa"/>
            <w:vAlign w:val="center"/>
          </w:tcPr>
          <w:p w14:paraId="08C5109A" w14:textId="77777777" w:rsidR="00726134" w:rsidRPr="00201493" w:rsidRDefault="00000000">
            <w:pPr>
              <w:spacing w:after="0"/>
              <w:rPr>
                <w:bCs/>
              </w:rPr>
            </w:pPr>
            <w:r w:rsidRPr="00201493">
              <w:rPr>
                <w:bCs/>
                <w:color w:val="000000"/>
              </w:rPr>
              <w:t>Rack PDU</w:t>
            </w:r>
          </w:p>
        </w:tc>
        <w:tc>
          <w:tcPr>
            <w:tcW w:w="3312" w:type="dxa"/>
            <w:vAlign w:val="center"/>
          </w:tcPr>
          <w:p w14:paraId="0B1A9E65" w14:textId="77777777" w:rsidR="00726134" w:rsidRPr="00201493" w:rsidRDefault="00000000">
            <w:pPr>
              <w:spacing w:after="0"/>
              <w:rPr>
                <w:bCs/>
              </w:rPr>
            </w:pPr>
            <w:r w:rsidRPr="00201493">
              <w:rPr>
                <w:bCs/>
                <w:color w:val="000000"/>
              </w:rPr>
              <w:t>PDU2</w:t>
            </w:r>
          </w:p>
        </w:tc>
      </w:tr>
      <w:tr w:rsidR="00726134" w14:paraId="50BBC24A" w14:textId="77777777">
        <w:trPr>
          <w:jc w:val="center"/>
        </w:trPr>
        <w:tc>
          <w:tcPr>
            <w:tcW w:w="3312" w:type="dxa"/>
            <w:shd w:val="clear" w:color="auto" w:fill="EAF2F8"/>
            <w:vAlign w:val="center"/>
          </w:tcPr>
          <w:p w14:paraId="54A8A480" w14:textId="1E86839F" w:rsidR="00726134" w:rsidRDefault="00201493">
            <w:pPr>
              <w:spacing w:after="0"/>
            </w:pPr>
            <w:r>
              <w:rPr>
                <w:color w:val="000000"/>
              </w:rPr>
              <w:t xml:space="preserve">Front </w:t>
            </w:r>
            <w:r w:rsidR="00000000">
              <w:rPr>
                <w:color w:val="000000"/>
              </w:rPr>
              <w:t>U</w:t>
            </w:r>
            <w:r>
              <w:rPr>
                <w:color w:val="000000"/>
              </w:rPr>
              <w:t>40</w:t>
            </w:r>
          </w:p>
        </w:tc>
        <w:tc>
          <w:tcPr>
            <w:tcW w:w="3312" w:type="dxa"/>
            <w:shd w:val="clear" w:color="auto" w:fill="EAF2F8"/>
            <w:vAlign w:val="center"/>
          </w:tcPr>
          <w:p w14:paraId="64BBB391" w14:textId="0DCD3078" w:rsidR="00726134" w:rsidRDefault="00000000">
            <w:pPr>
              <w:spacing w:after="0"/>
            </w:pPr>
            <w:r>
              <w:rPr>
                <w:color w:val="000000"/>
              </w:rPr>
              <w:t xml:space="preserve">Patch </w:t>
            </w:r>
            <w:r w:rsidR="00201493">
              <w:rPr>
                <w:color w:val="000000"/>
              </w:rPr>
              <w:t>P</w:t>
            </w:r>
            <w:r>
              <w:rPr>
                <w:color w:val="000000"/>
              </w:rPr>
              <w:t>anel</w:t>
            </w:r>
          </w:p>
        </w:tc>
        <w:tc>
          <w:tcPr>
            <w:tcW w:w="3312" w:type="dxa"/>
            <w:shd w:val="clear" w:color="auto" w:fill="EAF2F8"/>
            <w:vAlign w:val="center"/>
          </w:tcPr>
          <w:p w14:paraId="0FE49F31" w14:textId="77777777" w:rsidR="00726134" w:rsidRDefault="00000000">
            <w:pPr>
              <w:spacing w:after="0"/>
            </w:pPr>
            <w:r>
              <w:rPr>
                <w:color w:val="000000"/>
              </w:rPr>
              <w:t>Patch2</w:t>
            </w:r>
          </w:p>
        </w:tc>
      </w:tr>
      <w:tr w:rsidR="00201493" w14:paraId="097FACA1" w14:textId="77777777">
        <w:trPr>
          <w:jc w:val="center"/>
        </w:trPr>
        <w:tc>
          <w:tcPr>
            <w:tcW w:w="3312" w:type="dxa"/>
            <w:vAlign w:val="center"/>
          </w:tcPr>
          <w:p w14:paraId="4E196028" w14:textId="1FD511CC" w:rsidR="00201493" w:rsidRDefault="00201493" w:rsidP="00201493">
            <w:pPr>
              <w:spacing w:after="0"/>
            </w:pPr>
            <w:r>
              <w:rPr>
                <w:color w:val="000000"/>
              </w:rPr>
              <w:t>Front U38 – U35</w:t>
            </w:r>
          </w:p>
        </w:tc>
        <w:tc>
          <w:tcPr>
            <w:tcW w:w="3312" w:type="dxa"/>
            <w:vAlign w:val="center"/>
          </w:tcPr>
          <w:p w14:paraId="3E8ABF1D" w14:textId="3D3E4753" w:rsidR="00201493" w:rsidRDefault="00201493" w:rsidP="00201493">
            <w:pPr>
              <w:spacing w:after="0"/>
            </w:pPr>
            <w:r>
              <w:rPr>
                <w:color w:val="000000"/>
              </w:rPr>
              <w:t xml:space="preserve">24-port </w:t>
            </w:r>
            <w:r>
              <w:rPr>
                <w:color w:val="000000"/>
              </w:rPr>
              <w:t>S</w:t>
            </w:r>
            <w:r>
              <w:rPr>
                <w:color w:val="000000"/>
              </w:rPr>
              <w:t>witch</w:t>
            </w:r>
          </w:p>
        </w:tc>
        <w:tc>
          <w:tcPr>
            <w:tcW w:w="3312" w:type="dxa"/>
            <w:vAlign w:val="center"/>
          </w:tcPr>
          <w:p w14:paraId="6BD29A8B" w14:textId="77777777" w:rsidR="00201493" w:rsidRDefault="00201493" w:rsidP="00201493">
            <w:pPr>
              <w:spacing w:after="0"/>
            </w:pPr>
            <w:r>
              <w:rPr>
                <w:color w:val="000000"/>
              </w:rPr>
              <w:t>AN-2</w:t>
            </w:r>
          </w:p>
        </w:tc>
      </w:tr>
    </w:tbl>
    <w:p w14:paraId="020E3FC9" w14:textId="77777777" w:rsidR="00726134" w:rsidRDefault="00726134"/>
    <w:p w14:paraId="77B1A455" w14:textId="77777777" w:rsidR="00726134" w:rsidRDefault="00000000" w:rsidP="00201493">
      <w:r w:rsidRPr="00201493">
        <w:t>No server upstairs. Wall mounts are already installed — facilities did that.</w:t>
      </w:r>
    </w:p>
    <w:sectPr w:rsidR="0072613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7199850">
    <w:abstractNumId w:val="8"/>
  </w:num>
  <w:num w:numId="2" w16cid:durableId="393044513">
    <w:abstractNumId w:val="6"/>
  </w:num>
  <w:num w:numId="3" w16cid:durableId="929119686">
    <w:abstractNumId w:val="5"/>
  </w:num>
  <w:num w:numId="4" w16cid:durableId="2125614367">
    <w:abstractNumId w:val="4"/>
  </w:num>
  <w:num w:numId="5" w16cid:durableId="1184976556">
    <w:abstractNumId w:val="7"/>
  </w:num>
  <w:num w:numId="6" w16cid:durableId="1626351230">
    <w:abstractNumId w:val="3"/>
  </w:num>
  <w:num w:numId="7" w16cid:durableId="340162435">
    <w:abstractNumId w:val="2"/>
  </w:num>
  <w:num w:numId="8" w16cid:durableId="1205797607">
    <w:abstractNumId w:val="1"/>
  </w:num>
  <w:num w:numId="9" w16cid:durableId="51125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493"/>
    <w:rsid w:val="0029639D"/>
    <w:rsid w:val="00326F90"/>
    <w:rsid w:val="003E168D"/>
    <w:rsid w:val="00726134"/>
    <w:rsid w:val="008420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3EA4C4"/>
  <w14:defaultImageDpi w14:val="300"/>
  <w15:docId w15:val="{C1A61475-10E8-4D4E-826B-F89D8211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Taylor</cp:lastModifiedBy>
  <cp:revision>2</cp:revision>
  <dcterms:created xsi:type="dcterms:W3CDTF">2013-12-23T23:15:00Z</dcterms:created>
  <dcterms:modified xsi:type="dcterms:W3CDTF">2026-10-20T14:13:00Z</dcterms:modified>
  <cp:category/>
</cp:coreProperties>
</file>