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宋体" w:hAnsi="宋体" w:eastAsia="宋体"/>
          <w:b/>
          <w:sz w:val="24"/>
        </w:rPr>
        <w:t>四、项目实施方案</w:t>
      </w:r>
    </w:p>
    <w:p>
      <w:pPr>
        <w:spacing w:before="156"/>
        <w:ind w:firstLine="120"/>
        <w:jc w:val="left"/>
      </w:pPr>
      <w:r>
        <w:rPr>
          <w:rFonts w:ascii="华文中宋" w:hAnsi="华文中宋" w:eastAsia="华文中宋"/>
          <w:sz w:val="24"/>
        </w:rPr>
        <w:t>（一）研究方案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1、理论基础与技术路线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本项目以图像处理、类型化电路拓扑建模、符号计算和教学可视化为理论基础，采用"数据层 → 图像处理层 → 分析引擎层 → 展示层"的分层架构设计。系统以电脑端本地软件为主体，支持手机在同一局域网内扫码拍照上传电路图，实现从图像采集到教学级分析报告的完整闭环。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2、研究方法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（1）图像处理方法：采用 OpenCV 进行预处理（灰度化、二值化、去噪、透视/倾斜校正），结合元件检测和 OCR 参数提取，生成带置信度的候选拓扑。对于低置信度元件、疑似断线、未连接端口等问题，系统将显式提示给用户确认。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（2）电路分析方法：采用"课程规则层 + 符号/仿真工具层"的混合方案。课程规则负责等效变换、器件模型和题型逻辑，SymPy、Lcapy、SPICE 等工具用于符号求解、线性电路分析和数值校验，通过插件式分析流程和分题型策略实现可测试、可追溯的分析过程。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（3）数据建模方法：采用 TypeScript / Zod Schema 定义类型化电路图数据结构，建立元件库和 Benchmark 数据集，支持 SPICE / netlist 导出和校验，确保数据的一致性和可验证性。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3、研究步骤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第一阶段（2026年6-8月）：完成数据层建设，包括类型化电路图 Schema 定义、元件库建立、Benchmark 样例收集与采集规范制定。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第二阶段（2026年9-12月）：完成图像处理层开发，包括 OpenCV 预处理、元件/OCR 识别、候选拓扑生成与置信度标注。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第三阶段（2026年12月-2027年1月）：完成分析引擎层构建，包括题型策略、课程规则、SymPy/Lcapy/SPICE 校验和 LaTeX 推导输出。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第四阶段（2027年2-4月）：完成展示层制作，包括电路编辑器、等效电路展示、步骤解释、报告导出和手机-电脑联动体验。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4、人员分工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项目负责人王子涵（24211119）：负责整体架构设计、数据层开发和项目管理。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项目成员金浩轩（24211085）：负责图像处理层开发、元件识别和 OCR 参数提取。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项目成员刘勃源（24211088）：负责分析引擎层开发、课程规则和符号计算集成。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5、计划使用的学校资源条件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（1）实验室资源：使用电子信息工程学院的计算机实验室进行开发和测试。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（2）软件资源：使用学校提供的正版软件授权，包括 MATLAB、Multisim 等仿真工具。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（3）数据资源：收集典型教材题和习题册，建立开发测试集和评测基准。</w:t>
      </w:r>
    </w:p>
    <w:p>
      <w:pPr>
        <w:spacing w:before="156"/>
        <w:ind w:firstLine="120"/>
        <w:jc w:val="left"/>
      </w:pPr>
      <w:r>
        <w:rPr>
          <w:rFonts w:ascii="华文中宋" w:hAnsi="华文中宋" w:eastAsia="华文中宋"/>
          <w:sz w:val="24"/>
        </w:rPr>
        <w:t>（二）实施进度安排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华文中宋" w:hAnsi="华文中宋" w:eastAsia="华文中宋"/>
                <w:sz w:val="24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华文中宋" w:hAnsi="华文中宋" w:eastAsia="华文中宋"/>
                <w:sz w:val="24"/>
              </w:rPr>
              <w:t>项目实施各阶段内容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华文中宋" w:hAnsi="华文中宋" w:eastAsia="华文中宋"/>
                <w:sz w:val="24"/>
              </w:rPr>
              <w:t>时间安排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华文中宋" w:hAnsi="华文中宋" w:eastAsia="华文中宋"/>
                <w:sz w:val="24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楷体" w:hAnsi="楷体" w:eastAsia="楷体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完成类型化电路图 Schema、元件库、benchmark 样例与采集规范，沉淀可复现数据标准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2026.6-8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数据层建设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楷体" w:hAnsi="楷体" w:eastAsia="楷体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OpenCV 预处理、元件/OCR 识别、候选拓扑与置信度标注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2026.9-12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图像处理层开发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楷体" w:hAnsi="楷体" w:eastAsia="楷体"/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构建题型策略、课程规则、SymPy/Lcapy/SPICE 校验和 LaTeX 推导输出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2026.12-2027.1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分析引擎层构建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楷体" w:hAnsi="楷体" w:eastAsia="楷体"/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制作电路编辑器、等效电路展示、步骤解释、报告导出和手机-电脑联动体验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2027.2-4</w:t>
            </w:r>
          </w:p>
        </w:tc>
        <w:tc>
          <w:tcPr>
            <w:tcW w:type="dxa" w:w="2160"/>
          </w:tcPr>
          <w:p>
            <w:r>
              <w:rPr>
                <w:rFonts w:ascii="楷体" w:hAnsi="楷体" w:eastAsia="楷体"/>
                <w:sz w:val="24"/>
              </w:rPr>
              <w:t>展示层制作</w:t>
            </w:r>
          </w:p>
        </w:tc>
      </w:tr>
    </w:tbl>
    <w:p>
      <w:pPr>
        <w:spacing w:line="348" w:lineRule="exact"/>
        <w:ind w:firstLine="420"/>
        <w:jc w:val="both"/>
      </w:pPr>
      <w:r>
        <w:rPr>
          <w:rFonts w:ascii="楷体" w:hAnsi="楷体" w:eastAsia="楷体"/>
          <w:sz w:val="24"/>
        </w:rPr>
        <w:t>计划主线：数据标准先行 → 图像处理生成候选拓扑 → 分析引擎完成课程化推导 → 展示层打通手机拍照与电脑解题联动。</w:t>
      </w:r>
    </w:p>
    <w:p>
      <w:pPr>
        <w:spacing w:before="156"/>
        <w:ind w:firstLine="120"/>
        <w:jc w:val="left"/>
      </w:pPr>
      <w:r>
        <w:rPr>
          <w:rFonts w:ascii="华文中宋" w:hAnsi="华文中宋" w:eastAsia="华文中宋"/>
          <w:sz w:val="24"/>
        </w:rPr>
        <w:t>（三）经费预算及使用计划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1、调研、差旅费：500元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用于购买参考教材、收集典型题目和调研同类工具。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2、用于项目研发的元器件、软硬件测试、小型硬件购置费等：1000元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用于购买测试用的电路板、元器件、摄像头等硬件设备，以及软件授权费用。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3、资料购置、打印、复印、印刷等费用：300元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用于购买技术书籍、打印测试文档和项目报告。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4、学生撰写与项目有关的论文版面费、申请专利费等：200元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用于项目成果的论文发表和专利申请。</w:t>
      </w:r>
    </w:p>
    <w:p>
      <w:pPr>
        <w:spacing w:line="348" w:lineRule="exact"/>
        <w:ind w:firstLine="420"/>
        <w:jc w:val="both"/>
      </w:pPr>
      <w:r>
        <w:rPr>
          <w:rFonts w:ascii="楷体" w:hAnsi="楷体" w:eastAsia="楷体"/>
          <w:sz w:val="24"/>
        </w:rPr>
        <w:t>经费使用计划：第一阶段（数据层建设）使用经费的30%，第二阶段（图像处理层开发）使用经费的30%，第三阶段（分析引擎层构建）使用经费的20%，第四阶段（展示层制作）使用经费的20%。</w:t>
      </w:r>
    </w:p>
    <w:p>
      <w:pPr>
        <w:jc w:val="left"/>
      </w:pPr>
      <w:r>
        <w:rPr>
          <w:rFonts w:ascii="宋体" w:hAnsi="宋体" w:eastAsia="宋体"/>
          <w:b/>
          <w:sz w:val="24"/>
        </w:rPr>
        <w:t>五、项目预期成果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1、软件成果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项目预期形成一个本地运行的原型系统，包括以下核心组件：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（1）数据层：类型化电路图数据结构（TypeScript / Zod Schema）、元件库、Benchmark 数据集和 SQLite 任务队列，为系统提供统一的数据基础。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（2）图像处理层：基于 OpenCV 的预处理模块、元件检测 + OCR 参数提取、导线/节点/环路识别，生成带置信度的候选拓扑并提示可疑点。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（3）分析引擎层：课程规则层、符号工具层，输出结构化推导、关键方程、等效电路与可解释步骤。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（4）展示层：网页电路图编辑器、分析结果展示、LaTeX 公式渲染、报告导出、手机拍照与电脑解题联动。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2、性能指标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第一阶段目标：在用户确认后的电路图上实现目标求解量正确率不低于 90%，LaTeX 渲染成功率不低于 95%，并完成可演示的端到端学习辅助流程。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3、学术成果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（1）建立覆盖典型模电题型的开发测试集（选取 30 道典型教材题），为后续迭代和开源研究提供可复现依据。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（2）发表与项目相关的学术论文 1-2 篇。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（3）申请软件著作权 1 项。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4、应用价值</w:t>
      </w:r>
    </w:p>
    <w:p>
      <w:pPr>
        <w:spacing w:line="400" w:lineRule="exact"/>
        <w:ind w:firstLine="480"/>
        <w:jc w:val="both"/>
      </w:pPr>
      <w:r>
        <w:rPr>
          <w:rFonts w:ascii="楷体" w:hAnsi="楷体" w:eastAsia="楷体"/>
          <w:sz w:val="24"/>
        </w:rPr>
        <w:t>项目完成后，可为学生提供一种可修正、可验证、可解释的电路学习工具，帮助其完成习题分析、理解等效模型、整理公式和撰写报告。后续可在现有架构基础上扩展电路分析基础题和数字电路分析，并逐步完善元件库、评测集和教学解释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