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  <w:jc w:val="center"/>
      </w:pPr>
      <w:r>
        <w:rPr>
          <w:rFonts w:ascii="Arial" w:hAnsi="Arial" w:eastAsia="STHeiti"/>
          <w:b/>
          <w:color w:val="1C1F24"/>
          <w:sz w:val="44"/>
        </w:rPr>
        <w:t>L10n TM Companion</w:t>
        <w:br/>
        <w:t>操作说明与 Inspire 接入需求</w:t>
      </w:r>
    </w:p>
    <w:p>
      <w:pPr>
        <w:spacing w:after="440"/>
        <w:jc w:val="center"/>
      </w:pPr>
      <w:r>
        <w:rPr>
          <w:rFonts w:ascii="Arial" w:hAnsi="Arial" w:eastAsia="STHeiti"/>
          <w:color w:val="606770"/>
          <w:sz w:val="22"/>
        </w:rPr>
        <w:t>面向文案、CD Reviewer、项目 Owner 与 Inspire 平台对接人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shd w:fill="EAF2FF"/>
          </w:tcPr>
          <w:p>
            <w:pPr>
              <w:spacing w:after="60"/>
            </w:pPr>
            <w:r>
              <w:rPr>
                <w:rFonts w:ascii="Arial" w:hAnsi="Arial" w:eastAsia="STHeiti"/>
                <w:b/>
              </w:rPr>
              <w:t>本文件回答两个问题</w:t>
            </w:r>
            <w:r>
              <w:rPr>
                <w:rFonts w:ascii="Arial" w:hAnsi="Arial" w:eastAsia="STHeiti"/>
              </w:rPr>
              <w:br/>
              <w:t>第一，如何使用插件完成 A → B → C 的 TM 优化与 ROI 归档。第二，当前要向 Inspire 平台索取哪些 API 信息，才能安全接入已有 API Key。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Arial" w:hAnsi="Arial" w:eastAsia="STHeiti"/>
          <w:b/>
          <w:sz w:val="21"/>
        </w:rPr>
        <w:t>当前状态：</w:t>
      </w:r>
      <w:r>
        <w:rPr>
          <w:rFonts w:ascii="Arial" w:hAnsi="Arial" w:eastAsia="STHeiti"/>
          <w:sz w:val="21"/>
        </w:rPr>
        <w:t>插件的 Sheet、TM、CD review 与 ROI 逻辑已具备；Inspire 目前只确认了 Bearer Key 方式，尚未获得 API Endpoint 与实际 model ID，因此 AI 改写不能接入该平台。</w:t>
      </w:r>
    </w:p>
    <w:p>
      <w:pPr>
        <w:pStyle w:val="Heading1"/>
        <w:spacing w:before="320" w:after="160"/>
      </w:pPr>
      <w:r>
        <w:t>一、先理解结果：A、B、C 分别是什么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版本</w:t>
            </w:r>
          </w:p>
        </w:tc>
        <w:tc>
          <w:tcPr>
            <w:tcW w:type="dxa" w:w="2948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形成方式</w:t>
            </w:r>
          </w:p>
        </w:tc>
        <w:tc>
          <w:tcPr>
            <w:tcW w:type="dxa" w:w="2381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TM 分数</w:t>
            </w:r>
          </w:p>
        </w:tc>
        <w:tc>
          <w:tcPr>
            <w:tcW w:type="dxa" w:w="2891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用途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A 原始文案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从 Spreadsheet 的 A 列读取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Score A：第一次 TM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翻译前基线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B AI 候选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LLM 仅改写英文 source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Score B：第二次真实 TM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帮助 CD 判断，不计入正式 ROI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C 最终文案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CD 在 D 列编辑 B 后确认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Score C：第三次真实 TM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最终送翻文案，正式 ROI 用 A−C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shd w:fill="E8F5E9"/>
          </w:tcPr>
          <w:p>
            <w:pPr>
              <w:spacing w:after="60"/>
            </w:pPr>
            <w:r>
              <w:rPr>
                <w:rFonts w:ascii="Arial" w:hAnsi="Arial" w:eastAsia="STHeiti"/>
                <w:b/>
              </w:rPr>
              <w:t>正式 ROI 口径</w:t>
            </w:r>
            <w:r>
              <w:rPr>
                <w:rFonts w:ascii="Arial" w:hAnsi="Arial" w:eastAsia="STHeiti"/>
              </w:rPr>
              <w:br/>
              <w:t>正式节省金额等于 TM cost(A) − TM cost(C)。Score B 是 AI 候选质量诊断，不能替代人工确认后的最终 C。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二、首次安装与配置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在 Chrome 打开 chrome://extensions，开启开发者模式，加载已解压目录 l10n-tm-companion。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在 native-host 目录执行 register-native-host.sh &lt;扩展ID&gt;，让扩展可调用本机 Starling 与 LLM 桥接。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打开扩展 Settings，填写 Starling AK 与 SK，点击 Save &amp; Verify；只有项目权限真实验证成功后，才能开始 TM 查询。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填写 Feishu App ID 与 App Secret，点击 Test Feishu connection；飞书应用应已发布 sheets:spreadsheet 权限，并作为目标 Spreadsheet 的可编辑协作者。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如需 AI 改写，开启 Enable AI rewrite；在未取得 Inspire API 契约前，保持关闭或继续使用已验证的现有 LLM 网关。</w:t>
      </w:r>
    </w:p>
    <w:p>
      <w:r>
        <w:drawing>
          <wp:inline xmlns:a="http://schemas.openxmlformats.org/drawingml/2006/main" xmlns:pic="http://schemas.openxmlformats.org/drawingml/2006/picture">
            <wp:extent cx="5212080" cy="9323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32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STHeiti"/>
          <w:i/>
          <w:color w:val="606770"/>
          <w:sz w:val="17"/>
        </w:rPr>
        <w:t>图 1：Settings 实测布局截图（测试 profile，AK/SK 与 Secret 均已遮挡）。截图中的旧 H–J 文案不再适用；当前 Sheet 标准 schema 以本文件的 A–G 为准。</w:t>
      </w:r>
    </w:p>
    <w:p>
      <w:pPr>
        <w:pStyle w:val="Heading1"/>
        <w:spacing w:before="320" w:after="160"/>
      </w:pPr>
      <w:r>
        <w:t>三、每一车文案的操作流程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在目标 Feishu Spreadsheet 页面打开 Popup；插件自动识别当前表。A 列是英文原文，B–F 由插件写入，G 列由 CD 人工选择 Yes 或 No。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在 Run configuration 选择 vendor、1–10 个有权限的 Starling 项目，并确认 ROI coverage languages。语言列表只展示当前 vendor 有精确按字费率的目标语言。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点击 Read column A from current sheet。插件先查询 Score A；低于 85% 的条目在启用 LLM 后生成候选 B，并再次查询得到真实 Score B。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点击 Write back to sheet。B 列写 Best TM Match，C 列写 Score A，D 列预填 B，E 列写 Score B，F 列写是否达到 85%，G 列留给人工。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CD 在 Spreadsheet 的 D 列直接编辑，得到最终 C；确认送翻的行在 G 列选择 Yes。若 G 不是 Yes，该行不会进入最终 C 验证。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回到 Popup，点击“确认最终 C，计算 Score C”。插件读取 G=Yes 的 D 列，第三次查询 TM，并基于 A−C 生成正式 ROI 原始输入。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需要审计时，配置 ROI archive Bitable 并点击 Write ROI archive；金额只由 Bitable 的 Formula 字段计算，Spreadsheet 与 Popup 不显示金额。</w:t>
      </w:r>
    </w:p>
    <w:p>
      <w:r>
        <w:drawing>
          <wp:inline xmlns:a="http://schemas.openxmlformats.org/drawingml/2006/main" xmlns:pic="http://schemas.openxmlformats.org/drawingml/2006/picture">
            <wp:extent cx="3108960" cy="4441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44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STHeiti"/>
          <w:i/>
          <w:color w:val="606770"/>
          <w:sz w:val="17"/>
        </w:rPr>
        <w:t>图 2：Popup 实测布局截图。展开 Run configuration 后选择 vendor、项目与语言范围，再读取 A 列。</w:t>
      </w:r>
    </w:p>
    <w:p>
      <w:pPr>
        <w:pStyle w:val="Heading1"/>
        <w:spacing w:before="320" w:after="160"/>
      </w:pPr>
      <w:r>
        <w:t>四、Spreadsheet 的固定列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10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列</w:t>
            </w:r>
          </w:p>
        </w:tc>
        <w:tc>
          <w:tcPr>
            <w:tcW w:type="dxa" w:w="2324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字段</w:t>
            </w:r>
          </w:p>
        </w:tc>
        <w:tc>
          <w:tcPr>
            <w:tcW w:type="dxa" w:w="2154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谁写入</w:t>
            </w:r>
          </w:p>
        </w:tc>
        <w:tc>
          <w:tcPr>
            <w:tcW w:type="dxa" w:w="2381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说明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A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Original Source Segment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原表 / 人工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英文原文 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B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Best TM Match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插件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TM 库中命中的英文 source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C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Orig Match %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插件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Score 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D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Rewritten Segment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插件预填，CD 编辑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候选 B，人工编辑后成为最终 C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E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New Match %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插件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Score B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F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Reached 85%?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插件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TM 阈值状态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G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CD review valid?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CD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选择 Yes 后，D 列才作为最终 C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五、Inspire 接入：已知信息与缺口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项目</w:t>
            </w:r>
          </w:p>
        </w:tc>
        <w:tc>
          <w:tcPr>
            <w:tcW w:type="dxa" w:w="4706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当前结论</w:t>
            </w:r>
          </w:p>
        </w:tc>
        <w:tc>
          <w:tcPr>
            <w:tcW w:type="dxa" w:w="2268"/>
            <w:shd w:fill="246BFD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/>
                <w:color w:val="FFFFFF"/>
              </w:rPr>
              <w:t>能否据此接入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Access Key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已创建个人 OpenAPI Access Key，前缀为 wak_。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可以作为凭证，但不能公开或粘贴到聊天中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鉴权方式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页面明确写明 Authorization: Bearer &lt;key&gt;。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已确认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模型展示名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网页显示 Gemini 3 Flash、Gemini 3.1 Pro、GPT 5.4、GPT 5.4 Mini。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不能假定为 API model ID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Endpoint 与协议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页面未提供 Endpoint、请求/响应格式或 curl 示例。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rial" w:hAnsi="Arial" w:eastAsia="STHeiti"/>
                <w:b w:val="0"/>
              </w:rPr>
              <w:t>尚不能接入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6217920" cy="834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fdf39d3-c98b-4ef0-82aa-f886ca14f71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3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STHeiti"/>
          <w:i/>
          <w:color w:val="606770"/>
          <w:sz w:val="17"/>
        </w:rPr>
        <w:t>图 3：Inspire Key 页面截图。它确认 Bearer 鉴权，但未包含可调用 Endpoint 或 model ID。</w:t>
      </w:r>
    </w:p>
    <w:p>
      <w:pPr>
        <w:pStyle w:val="Heading1"/>
        <w:spacing w:before="320" w:after="160"/>
      </w:pPr>
      <w:r>
        <w:t>六、请发给 Inspire 平台负责人的消息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shd w:fill="FFF3E0"/>
          </w:tcPr>
          <w:p>
            <w:pPr>
              <w:spacing w:after="60"/>
            </w:pPr>
            <w:r>
              <w:rPr>
                <w:rFonts w:ascii="Arial" w:hAnsi="Arial" w:eastAsia="STHeiti"/>
                <w:b/>
              </w:rPr>
              <w:t>可直接复制发送</w:t>
            </w:r>
            <w:r>
              <w:rPr>
                <w:rFonts w:ascii="Arial" w:hAnsi="Arial" w:eastAsia="STHeiti"/>
              </w:rPr>
              <w:br/>
              <w:t>你好，我们正在把 Inspire 接入一个本地 Chrome 插件，用于将英文 source 文案改写得更贴近 Translation Memory。我们已创建个人 OpenAPI Access Key，页面显示使用 Authorization: Bearer &lt;key&gt;。请提供：</w:t>
              <w:br/>
              <w:t>1. 生产环境 API Endpoint。</w:t>
              <w:br/>
              <w:t>2. 可调用模型列表及真实 API model ID，尤其是 GPT 5.4 Mini 与 GPT 5.4。</w:t>
              <w:br/>
              <w:t>3. 最小可运行的 curl 示例，包含请求路径、Header、JSON body 与成功响应示例。</w:t>
              <w:br/>
              <w:t>4. 接口是否 OpenAI Chat Completions 兼容；若不是，请提供 messages、system prompt、max tokens、temperature 的字段定义。</w:t>
              <w:br/>
              <w:t>5. 非流式调用是否支持；插件当前需要一次请求直接返回完整文本。</w:t>
              <w:br/>
              <w:t>6. 限流、单请求 token 上限、超时、重试建议及费用/配额口径。</w:t>
              <w:br/>
              <w:t>7. 数据合规边界：文案是否会被留存、是否用于训练、可用地域与审批要求。</w:t>
              <w:br/>
              <w:t>我们不需要你提供或查看任何 Key，只需要以上公开接口契约。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七、拿到 Inspire 信息后如何配置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在 Settings 勾选 Enable AI rewrite。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若 Inspire 是 OpenAI-compatible，Provider 选择 Custom；Endpoint 填 Inspire 给出的完整 chat completion URL，API Key 填入本机设置，Model 填真实 API model ID。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先用一条不敏感英文文案验证：请求成功、返回内容可解析、改写仍为英文、随后 Score B 能被 Starling 真实查询。</w:t>
      </w:r>
    </w:p>
    <w:p>
      <w:pPr>
        <w:pStyle w:val="ListNumber"/>
        <w:spacing w:after="100"/>
      </w:pPr>
      <w:r>
        <w:rPr>
          <w:rFonts w:ascii="Arial" w:hAnsi="Arial" w:eastAsia="STHeiti"/>
          <w:sz w:val="21"/>
        </w:rPr>
        <w:t>建议默认模型先用 GPT 5.4 Mini 做批量改写；对高价值文案可切 GPT 5.4。最终选择以 Inspire 返回的 API 模型能力、限流和成本说明为准。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shd w:fill="EAF2FF"/>
          </w:tcPr>
          <w:p>
            <w:pPr>
              <w:spacing w:after="60"/>
            </w:pPr>
            <w:r>
              <w:rPr>
                <w:rFonts w:ascii="Arial" w:hAnsi="Arial" w:eastAsia="STHeiti"/>
                <w:b/>
              </w:rPr>
              <w:t>验证边界</w:t>
            </w:r>
            <w:r>
              <w:rPr>
                <w:rFonts w:ascii="Arial" w:hAnsi="Arial" w:eastAsia="STHeiti"/>
              </w:rPr>
              <w:br/>
              <w:t>本次未提交真实 Starling、飞书或 Inspire 请求。原因是未收到可安全使用的真实业务凭证与 Inspire Endpoint。插件自动化测试已通过，真实联调应在获得上述接口契约后执行。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770"/>
        <w:sz w:val="17"/>
      </w:rPr>
      <w:t>内部使用｜2026-07-20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6770"/>
        <w:sz w:val="17"/>
      </w:rPr>
      <w:t>L10n TM Companion｜操作说明与 Inspire 接入需求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THeiti"/>
      <w:b/>
      <w:bCs/>
      <w:color w:val="1C1F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THeiti"/>
      <w:b/>
      <w:bCs/>
      <w:color w:val="1C1F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THeiti"/>
      <w:b/>
      <w:bCs/>
      <w:color w:val="1C1F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