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1E0" w:rsidRPr="00865A56" w:rsidRDefault="00C211E0" w:rsidP="00C211E0">
      <w:pPr>
        <w:rPr>
          <w:rFonts w:ascii="Verdana" w:hAnsi="Verdana"/>
          <w:color w:val="00B050"/>
          <w:sz w:val="36"/>
          <w:szCs w:val="36"/>
          <w:u w:val="double"/>
        </w:rPr>
      </w:pPr>
      <w:r w:rsidRPr="00865A56">
        <w:rPr>
          <w:rFonts w:ascii="Verdana" w:hAnsi="Verdana"/>
          <w:color w:val="00B050"/>
          <w:sz w:val="36"/>
          <w:szCs w:val="36"/>
          <w:u w:val="double"/>
        </w:rPr>
        <w:t>Turismo natural</w:t>
      </w:r>
    </w:p>
    <w:p w:rsidR="00C211E0" w:rsidRDefault="00C211E0" w:rsidP="00C211E0"/>
    <w:p w:rsidR="00C211E0" w:rsidRPr="00865A56" w:rsidRDefault="00457552" w:rsidP="00865A56">
      <w:pPr>
        <w:spacing w:line="276" w:lineRule="auto"/>
        <w:ind w:right="3089"/>
        <w:jc w:val="both"/>
        <w:rPr>
          <w:rFonts w:ascii="Comic Sans MS" w:hAnsi="Comic Sans M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1.85pt;margin-top:7.1pt;width:108pt;height:154.9pt;z-index:251659264;mso-position-horizontal-relative:text;mso-position-vertical-relative:text;mso-width-relative:page;mso-height-relative:page">
            <v:imagedata r:id="rId7" o:title="imagenTarea03"/>
            <w10:wrap type="square"/>
          </v:shape>
        </w:pict>
      </w:r>
      <w:r w:rsidR="00C211E0" w:rsidRPr="00865A56">
        <w:rPr>
          <w:rFonts w:ascii="Comic Sans MS" w:hAnsi="Comic Sans MS"/>
        </w:rPr>
        <w:t>Uruguay ofrece espacios de extrema pureza ambiental libre de contaminaciones, donde se respira aire puro, se escucha el canto de las aves silvestres, se disfruta de la frondosidad de la vegetación y se aprecia panoramas de belleza extraordinaria. Como país natural ofrece un sinfín de lugares donde el protagonista es la naturaleza en toda su dimensión.</w:t>
      </w:r>
    </w:p>
    <w:p w:rsidR="00C211E0" w:rsidRPr="00865A56" w:rsidRDefault="00C211E0" w:rsidP="00865A56">
      <w:pPr>
        <w:spacing w:line="276" w:lineRule="auto"/>
        <w:ind w:right="3089"/>
        <w:jc w:val="both"/>
        <w:rPr>
          <w:rFonts w:ascii="Comic Sans MS" w:hAnsi="Comic Sans MS"/>
        </w:rPr>
      </w:pPr>
      <w:r w:rsidRPr="00865A56">
        <w:rPr>
          <w:rFonts w:ascii="Comic Sans MS" w:hAnsi="Comic Sans MS"/>
        </w:rPr>
        <w:t>El turista tiene la posibilidad de realizar paseos a caballo, acampar en lugares agrestes, caminar por el campo, andar en bicicleta, o simplemente descansar observando un hermoso atardecer con el acompañamiento de los sonidos de la naturaleza.</w:t>
      </w:r>
    </w:p>
    <w:p w:rsidR="00C211E0" w:rsidRDefault="00C211E0" w:rsidP="00865A56">
      <w:pPr>
        <w:spacing w:line="276" w:lineRule="auto"/>
      </w:pPr>
    </w:p>
    <w:tbl>
      <w:tblPr>
        <w:tblStyle w:val="Tablaconcuadrcula"/>
        <w:tblW w:w="0" w:type="auto"/>
        <w:tblLook w:val="04A0" w:firstRow="1" w:lastRow="0" w:firstColumn="1" w:lastColumn="0" w:noHBand="0" w:noVBand="1"/>
      </w:tblPr>
      <w:tblGrid>
        <w:gridCol w:w="1978"/>
        <w:gridCol w:w="2263"/>
        <w:gridCol w:w="4622"/>
      </w:tblGrid>
      <w:tr w:rsidR="007F23CA" w:rsidTr="0037598E">
        <w:tc>
          <w:tcPr>
            <w:tcW w:w="1980" w:type="dxa"/>
            <w:tcBorders>
              <w:left w:val="single" w:sz="18" w:space="0" w:color="auto"/>
              <w:bottom w:val="double" w:sz="4" w:space="0" w:color="auto"/>
              <w:right w:val="single" w:sz="18" w:space="0" w:color="auto"/>
            </w:tcBorders>
            <w:shd w:val="clear" w:color="auto" w:fill="FFE599" w:themeFill="accent4" w:themeFillTint="66"/>
          </w:tcPr>
          <w:p w:rsidR="007F23CA" w:rsidRPr="0037598E" w:rsidRDefault="007F23CA" w:rsidP="0037598E">
            <w:pPr>
              <w:spacing w:line="276" w:lineRule="auto"/>
              <w:ind w:left="360"/>
              <w:rPr>
                <w:rFonts w:ascii="Comic Sans MS" w:hAnsi="Comic Sans MS"/>
                <w:b/>
                <w:color w:val="FF0000"/>
              </w:rPr>
            </w:pPr>
            <w:r w:rsidRPr="0037598E">
              <w:rPr>
                <w:rFonts w:ascii="Comic Sans MS" w:hAnsi="Comic Sans MS"/>
                <w:b/>
                <w:color w:val="FF0000"/>
              </w:rPr>
              <w:t>Alternativa</w:t>
            </w:r>
          </w:p>
        </w:tc>
        <w:tc>
          <w:tcPr>
            <w:tcW w:w="2268" w:type="dxa"/>
            <w:tcBorders>
              <w:left w:val="single" w:sz="18" w:space="0" w:color="auto"/>
              <w:bottom w:val="double" w:sz="4" w:space="0" w:color="auto"/>
              <w:right w:val="double" w:sz="4" w:space="0" w:color="auto"/>
            </w:tcBorders>
            <w:shd w:val="clear" w:color="auto" w:fill="FFE599" w:themeFill="accent4" w:themeFillTint="66"/>
          </w:tcPr>
          <w:p w:rsidR="007F23CA" w:rsidRPr="0037598E" w:rsidRDefault="007F23CA" w:rsidP="00865A56">
            <w:pPr>
              <w:spacing w:line="276" w:lineRule="auto"/>
              <w:rPr>
                <w:rFonts w:ascii="Comic Sans MS" w:hAnsi="Comic Sans MS"/>
                <w:b/>
                <w:color w:val="FF0000"/>
              </w:rPr>
            </w:pPr>
            <w:r w:rsidRPr="0037598E">
              <w:rPr>
                <w:rFonts w:ascii="Comic Sans MS" w:hAnsi="Comic Sans MS"/>
                <w:b/>
                <w:color w:val="FF0000"/>
              </w:rPr>
              <w:t>Departamento</w:t>
            </w:r>
          </w:p>
        </w:tc>
        <w:tc>
          <w:tcPr>
            <w:tcW w:w="4643" w:type="dxa"/>
            <w:tcBorders>
              <w:left w:val="double" w:sz="4" w:space="0" w:color="auto"/>
              <w:bottom w:val="double" w:sz="4" w:space="0" w:color="auto"/>
              <w:right w:val="double" w:sz="4" w:space="0" w:color="auto"/>
            </w:tcBorders>
            <w:shd w:val="clear" w:color="auto" w:fill="FFE599" w:themeFill="accent4" w:themeFillTint="66"/>
          </w:tcPr>
          <w:p w:rsidR="007F23CA" w:rsidRPr="0037598E" w:rsidRDefault="007F23CA" w:rsidP="00865A56">
            <w:pPr>
              <w:spacing w:line="276" w:lineRule="auto"/>
              <w:rPr>
                <w:rFonts w:ascii="Comic Sans MS" w:hAnsi="Comic Sans MS"/>
                <w:b/>
                <w:color w:val="FF0000"/>
              </w:rPr>
            </w:pPr>
            <w:r w:rsidRPr="0037598E">
              <w:rPr>
                <w:rFonts w:ascii="Comic Sans MS" w:hAnsi="Comic Sans MS"/>
                <w:b/>
                <w:color w:val="FF0000"/>
              </w:rPr>
              <w:t>Descripción y ubicación</w:t>
            </w:r>
          </w:p>
        </w:tc>
      </w:tr>
      <w:tr w:rsidR="007F23CA" w:rsidTr="0037598E">
        <w:tc>
          <w:tcPr>
            <w:tcW w:w="1980" w:type="dxa"/>
            <w:tcBorders>
              <w:top w:val="double" w:sz="4" w:space="0" w:color="auto"/>
              <w:left w:val="single" w:sz="18" w:space="0" w:color="auto"/>
              <w:bottom w:val="single" w:sz="18" w:space="0" w:color="auto"/>
              <w:right w:val="single" w:sz="18" w:space="0" w:color="auto"/>
            </w:tcBorders>
          </w:tcPr>
          <w:p w:rsidR="007F23CA" w:rsidRPr="0037598E" w:rsidRDefault="007F23CA" w:rsidP="0037598E">
            <w:pPr>
              <w:pStyle w:val="Prrafodelista"/>
              <w:numPr>
                <w:ilvl w:val="0"/>
                <w:numId w:val="6"/>
              </w:numPr>
              <w:spacing w:line="276" w:lineRule="auto"/>
              <w:ind w:left="434"/>
              <w:rPr>
                <w:rFonts w:ascii="Comic Sans MS" w:hAnsi="Comic Sans MS"/>
                <w:color w:val="2E74B5" w:themeColor="accent1" w:themeShade="BF"/>
              </w:rPr>
            </w:pPr>
            <w:r w:rsidRPr="0037598E">
              <w:rPr>
                <w:rFonts w:ascii="Comic Sans MS" w:hAnsi="Comic Sans MS"/>
                <w:color w:val="2E74B5" w:themeColor="accent1" w:themeShade="BF"/>
              </w:rPr>
              <w:t>Salto del penitente</w:t>
            </w:r>
          </w:p>
        </w:tc>
        <w:tc>
          <w:tcPr>
            <w:tcW w:w="2268" w:type="dxa"/>
            <w:tcBorders>
              <w:top w:val="double" w:sz="4" w:space="0" w:color="auto"/>
              <w:left w:val="single" w:sz="18" w:space="0" w:color="auto"/>
              <w:bottom w:val="single" w:sz="18"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Lavalleja</w:t>
            </w:r>
          </w:p>
        </w:tc>
        <w:tc>
          <w:tcPr>
            <w:tcW w:w="4643" w:type="dxa"/>
            <w:tcBorders>
              <w:top w:val="double" w:sz="4" w:space="0" w:color="auto"/>
              <w:left w:val="double" w:sz="4" w:space="0" w:color="auto"/>
              <w:bottom w:val="single" w:sz="18"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 xml:space="preserve">El singular salto de agua que se precipita en una cascada de más de 20 </w:t>
            </w:r>
            <w:proofErr w:type="spellStart"/>
            <w:r w:rsidRPr="0037598E">
              <w:rPr>
                <w:rFonts w:ascii="Comic Sans MS" w:hAnsi="Comic Sans MS"/>
                <w:color w:val="2E74B5" w:themeColor="accent1" w:themeShade="BF"/>
              </w:rPr>
              <w:t>mts</w:t>
            </w:r>
            <w:proofErr w:type="spellEnd"/>
            <w:r w:rsidRPr="0037598E">
              <w:rPr>
                <w:rFonts w:ascii="Comic Sans MS" w:hAnsi="Comic Sans MS"/>
                <w:color w:val="2E74B5" w:themeColor="accent1" w:themeShade="BF"/>
              </w:rPr>
              <w:t xml:space="preserve">. de altura y su acceso se ubica a 7 </w:t>
            </w:r>
            <w:proofErr w:type="spellStart"/>
            <w:r w:rsidRPr="0037598E">
              <w:rPr>
                <w:rFonts w:ascii="Comic Sans MS" w:hAnsi="Comic Sans MS"/>
                <w:color w:val="2E74B5" w:themeColor="accent1" w:themeShade="BF"/>
              </w:rPr>
              <w:t>kms</w:t>
            </w:r>
            <w:proofErr w:type="spellEnd"/>
            <w:r w:rsidRPr="0037598E">
              <w:rPr>
                <w:rFonts w:ascii="Comic Sans MS" w:hAnsi="Comic Sans MS"/>
                <w:color w:val="2E74B5" w:themeColor="accent1" w:themeShade="BF"/>
              </w:rPr>
              <w:t>. de la ciudad de Minas.</w:t>
            </w:r>
          </w:p>
        </w:tc>
      </w:tr>
      <w:tr w:rsidR="007F23CA" w:rsidTr="0037598E">
        <w:tc>
          <w:tcPr>
            <w:tcW w:w="1980" w:type="dxa"/>
            <w:tcBorders>
              <w:top w:val="single" w:sz="18" w:space="0" w:color="auto"/>
              <w:left w:val="single" w:sz="18" w:space="0" w:color="auto"/>
              <w:bottom w:val="single" w:sz="18" w:space="0" w:color="auto"/>
              <w:right w:val="single" w:sz="18" w:space="0" w:color="auto"/>
            </w:tcBorders>
          </w:tcPr>
          <w:p w:rsidR="007F23CA" w:rsidRPr="0037598E" w:rsidRDefault="007F23CA" w:rsidP="0037598E">
            <w:pPr>
              <w:pStyle w:val="Prrafodelista"/>
              <w:numPr>
                <w:ilvl w:val="0"/>
                <w:numId w:val="6"/>
              </w:numPr>
              <w:spacing w:line="276" w:lineRule="auto"/>
              <w:ind w:left="434"/>
              <w:rPr>
                <w:rFonts w:ascii="Comic Sans MS" w:hAnsi="Comic Sans MS"/>
                <w:color w:val="2E74B5" w:themeColor="accent1" w:themeShade="BF"/>
              </w:rPr>
            </w:pPr>
            <w:r w:rsidRPr="0037598E">
              <w:rPr>
                <w:rFonts w:ascii="Comic Sans MS" w:hAnsi="Comic Sans MS"/>
                <w:color w:val="2E74B5" w:themeColor="accent1" w:themeShade="BF"/>
              </w:rPr>
              <w:t>Quebrada de los Cuervos</w:t>
            </w:r>
          </w:p>
        </w:tc>
        <w:tc>
          <w:tcPr>
            <w:tcW w:w="2268" w:type="dxa"/>
            <w:tcBorders>
              <w:top w:val="single" w:sz="18" w:space="0" w:color="auto"/>
              <w:left w:val="single" w:sz="18" w:space="0" w:color="auto"/>
              <w:bottom w:val="single" w:sz="18"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Treinta y Tres</w:t>
            </w:r>
          </w:p>
        </w:tc>
        <w:tc>
          <w:tcPr>
            <w:tcW w:w="4643" w:type="dxa"/>
            <w:tcBorders>
              <w:top w:val="single" w:sz="18" w:space="0" w:color="auto"/>
              <w:left w:val="double" w:sz="4" w:space="0" w:color="auto"/>
              <w:bottom w:val="single" w:sz="18"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 xml:space="preserve">Es el lugar perfecto a la hora de realizar un turismo de contacto con la naturaleza y de aventura. La zona forma parte de la primera área natural protegida del Uruguay y se ubica a unos 20 </w:t>
            </w:r>
            <w:proofErr w:type="spellStart"/>
            <w:r w:rsidRPr="0037598E">
              <w:rPr>
                <w:rFonts w:ascii="Comic Sans MS" w:hAnsi="Comic Sans MS"/>
                <w:color w:val="2E74B5" w:themeColor="accent1" w:themeShade="BF"/>
              </w:rPr>
              <w:t>kms</w:t>
            </w:r>
            <w:proofErr w:type="spellEnd"/>
            <w:r w:rsidRPr="0037598E">
              <w:rPr>
                <w:rFonts w:ascii="Comic Sans MS" w:hAnsi="Comic Sans MS"/>
                <w:color w:val="2E74B5" w:themeColor="accent1" w:themeShade="BF"/>
              </w:rPr>
              <w:t>. de la ciudad de Treinta y Tres.</w:t>
            </w:r>
          </w:p>
        </w:tc>
      </w:tr>
      <w:tr w:rsidR="007F23CA" w:rsidTr="0037598E">
        <w:trPr>
          <w:trHeight w:val="548"/>
        </w:trPr>
        <w:tc>
          <w:tcPr>
            <w:tcW w:w="1980" w:type="dxa"/>
            <w:tcBorders>
              <w:top w:val="single" w:sz="18" w:space="0" w:color="auto"/>
              <w:left w:val="single" w:sz="18" w:space="0" w:color="auto"/>
              <w:bottom w:val="double" w:sz="6" w:space="0" w:color="auto"/>
              <w:right w:val="single" w:sz="18" w:space="0" w:color="auto"/>
            </w:tcBorders>
          </w:tcPr>
          <w:p w:rsidR="007F23CA" w:rsidRPr="0037598E" w:rsidRDefault="007F23CA" w:rsidP="0037598E">
            <w:pPr>
              <w:pStyle w:val="Prrafodelista"/>
              <w:numPr>
                <w:ilvl w:val="0"/>
                <w:numId w:val="6"/>
              </w:numPr>
              <w:spacing w:line="276" w:lineRule="auto"/>
              <w:ind w:left="434"/>
              <w:rPr>
                <w:rFonts w:ascii="Comic Sans MS" w:hAnsi="Comic Sans MS"/>
                <w:color w:val="2E74B5" w:themeColor="accent1" w:themeShade="BF"/>
              </w:rPr>
            </w:pPr>
            <w:r w:rsidRPr="0037598E">
              <w:rPr>
                <w:rFonts w:ascii="Comic Sans MS" w:hAnsi="Comic Sans MS"/>
                <w:color w:val="2E74B5" w:themeColor="accent1" w:themeShade="BF"/>
              </w:rPr>
              <w:t>Bosque de Ombúes</w:t>
            </w:r>
          </w:p>
        </w:tc>
        <w:tc>
          <w:tcPr>
            <w:tcW w:w="2268" w:type="dxa"/>
            <w:tcBorders>
              <w:top w:val="single" w:sz="18" w:space="0" w:color="auto"/>
              <w:left w:val="single" w:sz="18" w:space="0" w:color="auto"/>
              <w:bottom w:val="double" w:sz="6"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Rocha</w:t>
            </w:r>
          </w:p>
        </w:tc>
        <w:tc>
          <w:tcPr>
            <w:tcW w:w="4643" w:type="dxa"/>
            <w:tcBorders>
              <w:top w:val="single" w:sz="18" w:space="0" w:color="auto"/>
              <w:left w:val="double" w:sz="4" w:space="0" w:color="auto"/>
              <w:bottom w:val="double" w:sz="6" w:space="0" w:color="auto"/>
              <w:right w:val="double" w:sz="4" w:space="0" w:color="auto"/>
            </w:tcBorders>
          </w:tcPr>
          <w:p w:rsidR="007F23CA" w:rsidRPr="0037598E" w:rsidRDefault="007F23CA" w:rsidP="00865A56">
            <w:pPr>
              <w:spacing w:line="276" w:lineRule="auto"/>
              <w:rPr>
                <w:rFonts w:ascii="Comic Sans MS" w:hAnsi="Comic Sans MS"/>
                <w:color w:val="2E74B5" w:themeColor="accent1" w:themeShade="BF"/>
              </w:rPr>
            </w:pPr>
            <w:r w:rsidRPr="0037598E">
              <w:rPr>
                <w:rFonts w:ascii="Comic Sans MS" w:hAnsi="Comic Sans MS"/>
                <w:color w:val="2E74B5" w:themeColor="accent1" w:themeShade="BF"/>
              </w:rPr>
              <w:t xml:space="preserve">Es la agrupación más grande de ombúes en la región del Plata y extiende en una franja de 20 </w:t>
            </w:r>
            <w:proofErr w:type="spellStart"/>
            <w:r w:rsidRPr="0037598E">
              <w:rPr>
                <w:rFonts w:ascii="Comic Sans MS" w:hAnsi="Comic Sans MS"/>
                <w:color w:val="2E74B5" w:themeColor="accent1" w:themeShade="BF"/>
              </w:rPr>
              <w:t>kms</w:t>
            </w:r>
            <w:proofErr w:type="spellEnd"/>
            <w:r w:rsidRPr="0037598E">
              <w:rPr>
                <w:rFonts w:ascii="Comic Sans MS" w:hAnsi="Comic Sans MS"/>
                <w:color w:val="2E74B5" w:themeColor="accent1" w:themeShade="BF"/>
              </w:rPr>
              <w:t xml:space="preserve"> sobre las orillas de la Laguna de Castillos. El acceso se encuentra en el km. 267 de la Ruta a 270 kilómetros de Montevideo.</w:t>
            </w:r>
          </w:p>
        </w:tc>
      </w:tr>
    </w:tbl>
    <w:p w:rsidR="007F23CA" w:rsidRDefault="007F23CA" w:rsidP="00865A56">
      <w:pPr>
        <w:spacing w:line="276" w:lineRule="auto"/>
      </w:pPr>
    </w:p>
    <w:p w:rsidR="00C211E0" w:rsidRDefault="00C211E0" w:rsidP="00865A56">
      <w:pPr>
        <w:spacing w:line="276" w:lineRule="auto"/>
      </w:pPr>
    </w:p>
    <w:p w:rsidR="00C211E0" w:rsidRDefault="00C211E0" w:rsidP="0037598E">
      <w:pPr>
        <w:pBdr>
          <w:bottom w:val="single" w:sz="24" w:space="1" w:color="auto"/>
        </w:pBdr>
        <w:tabs>
          <w:tab w:val="left" w:leader="dot" w:pos="7088"/>
        </w:tabs>
        <w:spacing w:line="276" w:lineRule="auto"/>
      </w:pPr>
      <w:r>
        <w:t>Por informes</w:t>
      </w:r>
      <w:r w:rsidR="00EF08F3">
        <w:tab/>
      </w:r>
      <w:r>
        <w:t>Ministerio de Turismo</w:t>
      </w:r>
    </w:p>
    <w:p w:rsidR="007F4F35" w:rsidRDefault="007F4F35"/>
    <w:sectPr w:rsidR="007F4F35" w:rsidSect="0037598E">
      <w:headerReference w:type="even" r:id="rId8"/>
      <w:headerReference w:type="default" r:id="rId9"/>
      <w:footerReference w:type="even" r:id="rId10"/>
      <w:footerReference w:type="default" r:id="rId11"/>
      <w:headerReference w:type="first" r:id="rId12"/>
      <w:footerReference w:type="first" r:id="rId13"/>
      <w:pgSz w:w="11906" w:h="16838"/>
      <w:pgMar w:top="1418" w:right="1304" w:bottom="1418" w:left="1701"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A56" w:rsidRDefault="00865A56" w:rsidP="00865A56">
      <w:r>
        <w:separator/>
      </w:r>
    </w:p>
  </w:endnote>
  <w:endnote w:type="continuationSeparator" w:id="0">
    <w:p w:rsidR="00865A56" w:rsidRDefault="00865A56" w:rsidP="0086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98E" w:rsidRDefault="0037598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148693"/>
      <w:docPartObj>
        <w:docPartGallery w:val="Page Numbers (Bottom of Page)"/>
        <w:docPartUnique/>
      </w:docPartObj>
    </w:sdtPr>
    <w:sdtContent>
      <w:bookmarkStart w:id="0" w:name="_GoBack" w:displacedByCustomXml="prev"/>
      <w:p w:rsidR="0037598E" w:rsidRDefault="0037598E" w:rsidP="00E246BF">
        <w:pPr>
          <w:pStyle w:val="Piedepgina"/>
        </w:pPr>
        <w:r>
          <w:fldChar w:fldCharType="begin"/>
        </w:r>
        <w:r>
          <w:instrText>PAGE   \* MERGEFORMAT</w:instrText>
        </w:r>
        <w:r>
          <w:fldChar w:fldCharType="separate"/>
        </w:r>
        <w:r w:rsidR="00457552">
          <w:rPr>
            <w:noProof/>
          </w:rPr>
          <w:t>I</w:t>
        </w:r>
        <w:r>
          <w:fldChar w:fldCharType="end"/>
        </w:r>
        <w:bookmarkEnd w:id="0"/>
        <w:r w:rsidR="00E246BF">
          <w:sym w:font="Wingdings" w:char="F032"/>
        </w:r>
      </w:p>
    </w:sdtContent>
  </w:sdt>
  <w:p w:rsidR="00865A56" w:rsidRDefault="00865A56" w:rsidP="00865A56">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98E" w:rsidRDefault="003759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A56" w:rsidRDefault="00865A56" w:rsidP="00865A56">
      <w:r>
        <w:separator/>
      </w:r>
    </w:p>
  </w:footnote>
  <w:footnote w:type="continuationSeparator" w:id="0">
    <w:p w:rsidR="00865A56" w:rsidRDefault="00865A56" w:rsidP="00865A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98E" w:rsidRDefault="003759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98E" w:rsidRDefault="0037598E">
    <w:pPr>
      <w:pStyle w:val="Encabezado"/>
    </w:pPr>
    <w:r>
      <w:t>Diego Extremiana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98E" w:rsidRDefault="003759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F8F"/>
    <w:multiLevelType w:val="hybridMultilevel"/>
    <w:tmpl w:val="1FC29D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2FB5944"/>
    <w:multiLevelType w:val="hybridMultilevel"/>
    <w:tmpl w:val="8E306A6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1246C0"/>
    <w:multiLevelType w:val="hybridMultilevel"/>
    <w:tmpl w:val="024A15F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1692ABC"/>
    <w:multiLevelType w:val="hybridMultilevel"/>
    <w:tmpl w:val="DBB657BE"/>
    <w:lvl w:ilvl="0" w:tplc="1BA2724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DF3859"/>
    <w:multiLevelType w:val="hybridMultilevel"/>
    <w:tmpl w:val="D0F62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5A5928"/>
    <w:multiLevelType w:val="hybridMultilevel"/>
    <w:tmpl w:val="2D28A4E4"/>
    <w:lvl w:ilvl="0" w:tplc="339C63F2">
      <w:start w:val="1"/>
      <w:numFmt w:val="bullet"/>
      <w:lvlText w:val=""/>
      <w:lvlJc w:val="left"/>
      <w:pPr>
        <w:ind w:left="1080" w:hanging="360"/>
      </w:pPr>
      <w:rPr>
        <w:rFonts w:ascii="Symbol" w:hAnsi="Symbol" w:hint="default"/>
        <w:color w:val="FF0000"/>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1C"/>
    <w:rsid w:val="00164F19"/>
    <w:rsid w:val="001810EE"/>
    <w:rsid w:val="0037598E"/>
    <w:rsid w:val="00457552"/>
    <w:rsid w:val="00534CB4"/>
    <w:rsid w:val="0058351C"/>
    <w:rsid w:val="007F23CA"/>
    <w:rsid w:val="007F4F35"/>
    <w:rsid w:val="00865A56"/>
    <w:rsid w:val="0089339F"/>
    <w:rsid w:val="00C211E0"/>
    <w:rsid w:val="00E17DF3"/>
    <w:rsid w:val="00E246BF"/>
    <w:rsid w:val="00EF08F3"/>
    <w:rsid w:val="00F76B79"/>
    <w:rsid w:val="00F97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B6351"/>
  <w15:chartTrackingRefBased/>
  <w15:docId w15:val="{81D14F50-CDF3-4BA8-AA4B-119F2E57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1C"/>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56"/>
    <w:pPr>
      <w:tabs>
        <w:tab w:val="center" w:pos="4252"/>
        <w:tab w:val="right" w:pos="8504"/>
      </w:tabs>
    </w:pPr>
  </w:style>
  <w:style w:type="character" w:customStyle="1" w:styleId="EncabezadoCar">
    <w:name w:val="Encabezado Car"/>
    <w:basedOn w:val="Fuentedeprrafopredeter"/>
    <w:link w:val="Encabezado"/>
    <w:uiPriority w:val="99"/>
    <w:rsid w:val="00865A56"/>
    <w:rPr>
      <w:rFonts w:ascii="Times New Roman" w:eastAsia="Times New Roman" w:hAnsi="Times New Roman"/>
    </w:rPr>
  </w:style>
  <w:style w:type="paragraph" w:styleId="Piedepgina">
    <w:name w:val="footer"/>
    <w:basedOn w:val="Normal"/>
    <w:link w:val="PiedepginaCar"/>
    <w:uiPriority w:val="99"/>
    <w:unhideWhenUsed/>
    <w:rsid w:val="00865A56"/>
    <w:pPr>
      <w:tabs>
        <w:tab w:val="center" w:pos="4252"/>
        <w:tab w:val="right" w:pos="8504"/>
      </w:tabs>
    </w:pPr>
  </w:style>
  <w:style w:type="character" w:customStyle="1" w:styleId="PiedepginaCar">
    <w:name w:val="Pie de página Car"/>
    <w:basedOn w:val="Fuentedeprrafopredeter"/>
    <w:link w:val="Piedepgina"/>
    <w:uiPriority w:val="99"/>
    <w:rsid w:val="00865A56"/>
    <w:rPr>
      <w:rFonts w:ascii="Times New Roman" w:eastAsia="Times New Roman" w:hAnsi="Times New Roman"/>
    </w:rPr>
  </w:style>
  <w:style w:type="table" w:styleId="Tablaconcuadrcula">
    <w:name w:val="Table Grid"/>
    <w:basedOn w:val="Tablanormal"/>
    <w:uiPriority w:val="59"/>
    <w:rsid w:val="007F2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Ejercicios Practico Word</vt:lpstr>
    </vt:vector>
  </TitlesOfParts>
  <Company>Ing. de Sistemas e Informatica</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Practico Word</dc:title>
  <dc:subject/>
  <dc:creator>Jesús E. Sequeiros A.</dc:creator>
  <cp:keywords/>
  <dc:description>Texto del ejercicio para desarrollar en clases</dc:description>
  <cp:lastModifiedBy>Diego Extremiana Palacín</cp:lastModifiedBy>
  <cp:revision>5</cp:revision>
  <dcterms:created xsi:type="dcterms:W3CDTF">2019-12-12T20:21:00Z</dcterms:created>
  <dcterms:modified xsi:type="dcterms:W3CDTF">2019-12-12T20:48:00Z</dcterms:modified>
  <cp:category>cecinfo</cp:category>
</cp:coreProperties>
</file>