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D62" w:rsidRDefault="00625F2E" w:rsidP="00625F2E">
      <w:pPr>
        <w:jc w:val="center"/>
        <w:rPr>
          <w:rFonts w:ascii="Arial" w:hAnsi="Arial" w:cs="Arial"/>
          <w:color w:val="4472C4" w:themeColor="accent1"/>
          <w:sz w:val="28"/>
          <w:szCs w:val="28"/>
          <w:u w:val="single"/>
        </w:rPr>
      </w:pP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La</w:t>
      </w:r>
      <w:r w:rsidRPr="00625F2E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exploración</w:t>
      </w:r>
      <w:r w:rsidRPr="00625F2E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del</w:t>
      </w:r>
      <w:r w:rsidRPr="00625F2E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espacio</w:t>
      </w:r>
    </w:p>
    <w:p w:rsidR="00625F2E" w:rsidRDefault="00625F2E" w:rsidP="00625F2E">
      <w:pPr>
        <w:rPr>
          <w:rFonts w:ascii="Arial" w:hAnsi="Arial" w:cs="Arial"/>
          <w:color w:val="4472C4" w:themeColor="accent1"/>
          <w:sz w:val="28"/>
          <w:szCs w:val="28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780415" cy="1114425"/>
            <wp:effectExtent l="0" t="0" r="63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F2E" w:rsidRDefault="00625F2E" w:rsidP="00625F2E">
      <w:pPr>
        <w:rPr>
          <w:sz w:val="18"/>
          <w:szCs w:val="18"/>
        </w:rPr>
        <w:sectPr w:rsidR="00625F2E" w:rsidSect="005F056A">
          <w:pgSz w:w="11906" w:h="16838"/>
          <w:pgMar w:top="1417" w:right="1701" w:bottom="1417" w:left="1701" w:header="708" w:footer="708" w:gutter="0"/>
          <w:cols w:num="2" w:space="284"/>
          <w:docGrid w:linePitch="360"/>
        </w:sectPr>
      </w:pPr>
    </w:p>
    <w:p w:rsidR="00625F2E" w:rsidRPr="00625F2E" w:rsidRDefault="00625F2E" w:rsidP="00625F2E">
      <w:pPr>
        <w:jc w:val="both"/>
        <w:rPr>
          <w:rFonts w:ascii="Times New Roman" w:hAnsi="Times New Roman" w:cs="Times New Roman"/>
        </w:rPr>
      </w:pPr>
      <w:r w:rsidRPr="00625F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151130</wp:posOffset>
            </wp:positionV>
            <wp:extent cx="733425" cy="7334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F2E">
        <w:rPr>
          <w:rFonts w:ascii="Times New Roman" w:hAnsi="Times New Roman" w:cs="Times New Roman"/>
        </w:rPr>
        <w:t>Las sondas espaciales han aportado una enorme cantidad de datos científicos sobre la naturaleza y origen del Sistema Solar y del Universo. Los satélites que giran en la órbita terrestre han contribuido a mejorar las comunicaciones, la predicción del tiempo, la ayuda a la navegación y el reconocimiento de la superficie terrestre para la localización de recursos minerales, además de los usos militares.</w:t>
      </w:r>
    </w:p>
    <w:p w:rsidR="00625F2E" w:rsidRPr="00625F2E" w:rsidRDefault="00625F2E" w:rsidP="00625F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382845</wp:posOffset>
                </wp:positionV>
                <wp:extent cx="524510" cy="454660"/>
                <wp:effectExtent l="38100" t="19050" r="27940" b="40640"/>
                <wp:wrapSquare wrapText="bothSides"/>
                <wp:docPr id="5" name="Estrella: 5 pu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45466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673B" id="Estrella: 5 puntas 5" o:spid="_x0000_s1026" style="position:absolute;margin-left:-9.9pt;margin-top:30.15pt;width:41.3pt;height:35.8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coordsize="524510,45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" path="m1,173664r200345,1l262255,r61909,173665l524509,173664,362426,280994r61911,173665l262255,347327,100173,454659,162084,280994,1,173664xe" fillcolor="white [3212]" strokecolor="black [3213]" strokeweight="1pt">
                <v:stroke joinstyle="miter"/>
                <v:path arrowok="t" o:connecttype="custom" o:connectlocs="1,173664;200346,173665;262255,0;324164,173665;524509,173664;362426,280994;424337,454659;262255,347327;100173,454659;162084,280994;1,173664" o:connectangles="0,0,0,0,0,0,0,0,0,0,0"/>
                <w10:wrap type="square"/>
              </v:shape>
            </w:pict>
          </mc:Fallback>
        </mc:AlternateContent>
      </w:r>
      <w:r w:rsidRPr="00625F2E">
        <w:rPr>
          <w:rFonts w:ascii="Times New Roman" w:hAnsi="Times New Roman" w:cs="Times New Roman"/>
        </w:rPr>
        <w:t>La era espacial y la astronáutica práctica arrancan con el lanzamiento del Sputnik 1 por la Unión de Repúblicas Socialistas Soviéticas (URSS) en octubre de 1957, y con el del Explorer 1 por Estados Unidos en enero de 1958. En octubre de 1958 se creó en Estados Unidos la NASA. En las dos décadas siguientes se han llegado a lanzar más de 1.600 naves espaciales de todo tipo, la mayoría de ellas en la órbita terrestre. Sobre la superficie de la Luna han estado doce hombres, regresando después a la Tierra. En el año 1986 había varios miles de objetos girando alrededor de la Tierra, en su mayoría restos de cohetes y equipos de sus fases de lanzamiento, y otros materiales semejantes. Hay unos 300 satélites y sondas espaciales en funcionamiento.</w:t>
      </w:r>
    </w:p>
    <w:p w:rsidR="00625F2E" w:rsidRDefault="00625F2E" w:rsidP="00625F2E">
      <w:pPr>
        <w:rPr>
          <w:rFonts w:ascii="Arial" w:hAnsi="Arial" w:cs="Arial"/>
          <w:color w:val="4472C4" w:themeColor="accent1"/>
          <w:sz w:val="28"/>
          <w:szCs w:val="28"/>
        </w:rPr>
        <w:sectPr w:rsidR="00625F2E" w:rsidSect="005F056A">
          <w:type w:val="continuous"/>
          <w:pgSz w:w="11906" w:h="16838"/>
          <w:pgMar w:top="1417" w:right="1701" w:bottom="1417" w:left="1701" w:header="708" w:footer="708" w:gutter="0"/>
          <w:cols w:num="2" w:sep="1" w:space="284"/>
          <w:docGrid w:linePitch="360"/>
        </w:sectPr>
      </w:pPr>
    </w:p>
    <w:p w:rsidR="00625F2E" w:rsidRDefault="00625F2E" w:rsidP="00625F2E">
      <w:pPr>
        <w:rPr>
          <w:rFonts w:ascii="Arial" w:hAnsi="Arial" w:cs="Arial"/>
          <w:color w:val="4472C4" w:themeColor="accent1"/>
          <w:sz w:val="28"/>
          <w:szCs w:val="28"/>
        </w:rPr>
      </w:pPr>
      <w:bookmarkStart w:id="0" w:name="_GoBack"/>
      <w:bookmarkEnd w:id="0"/>
    </w:p>
    <w:p w:rsidR="00625F2E" w:rsidRDefault="00625F2E" w:rsidP="00625F2E">
      <w:pPr>
        <w:rPr>
          <w:rFonts w:ascii="Arial" w:hAnsi="Arial" w:cs="Arial"/>
          <w:color w:val="4472C4" w:themeColor="accent1"/>
          <w:sz w:val="28"/>
          <w:szCs w:val="28"/>
          <w:u w:val="single"/>
        </w:rPr>
      </w:pP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Física</w:t>
      </w:r>
      <w:r w:rsidRPr="00625F2E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del</w:t>
      </w:r>
      <w:r w:rsidRPr="00625F2E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625F2E">
        <w:rPr>
          <w:rFonts w:ascii="Arial" w:hAnsi="Arial" w:cs="Arial"/>
          <w:color w:val="4472C4" w:themeColor="accent1"/>
          <w:sz w:val="28"/>
          <w:szCs w:val="28"/>
          <w:u w:val="single"/>
        </w:rPr>
        <w:t>espacio</w:t>
      </w:r>
    </w:p>
    <w:p w:rsidR="00625F2E" w:rsidRDefault="00625F2E" w:rsidP="00625F2E">
      <w:pPr>
        <w:rPr>
          <w:rFonts w:ascii="Arial" w:hAnsi="Arial" w:cs="Arial"/>
          <w:color w:val="4472C4" w:themeColor="accent1"/>
          <w:sz w:val="28"/>
          <w:szCs w:val="28"/>
        </w:rPr>
      </w:pPr>
    </w:p>
    <w:p w:rsidR="00625F2E" w:rsidRDefault="00625F2E" w:rsidP="00625F2E">
      <w:pPr>
        <w:rPr>
          <w:sz w:val="18"/>
          <w:szCs w:val="18"/>
        </w:rPr>
        <w:sectPr w:rsidR="00625F2E" w:rsidSect="00625F2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2E" w:rsidRPr="00625F2E" w:rsidRDefault="00625F2E" w:rsidP="00625F2E">
      <w:pPr>
        <w:jc w:val="both"/>
        <w:rPr>
          <w:rFonts w:ascii="Times New Roman" w:hAnsi="Times New Roman" w:cs="Times New Roman"/>
        </w:rPr>
        <w:sectPr w:rsidR="00625F2E" w:rsidRPr="00625F2E" w:rsidSect="00625F2E">
          <w:type w:val="continuous"/>
          <w:pgSz w:w="11906" w:h="16838"/>
          <w:pgMar w:top="1417" w:right="1701" w:bottom="1417" w:left="1701" w:header="708" w:footer="708" w:gutter="0"/>
          <w:cols w:num="3" w:space="284"/>
          <w:docGrid w:linePitch="360"/>
        </w:sectPr>
      </w:pPr>
      <w:r w:rsidRPr="00625F2E">
        <w:rPr>
          <w:rFonts w:ascii="Times New Roman" w:hAnsi="Times New Roman" w:cs="Times New Roman"/>
        </w:rPr>
        <w:t xml:space="preserve">El límite entre la atmósfera terrestre y el espacio exterior es difuso y no está bien definido. Al disminuir gradualmente la densidad del aire con la altitud, el aire de las capas superiores de la atmósfera es tan tenue que se </w:t>
      </w:r>
      <w:r w:rsidRPr="00625F2E">
        <w:rPr>
          <w:rFonts w:ascii="Times New Roman" w:hAnsi="Times New Roman" w:cs="Times New Roman"/>
        </w:rPr>
        <w:t xml:space="preserve">confunde con el espacio. A 30 km sobre el nivel del mar, la presión barométrica es un octavo de la presión a nivel del mar. A 60 km sobre el nivel del mar, es 1/3.600; a 90 km es 1/400.000. Incluso a una altitud de 200 km hay la </w:t>
      </w:r>
      <w:r w:rsidRPr="00625F2E">
        <w:rPr>
          <w:rFonts w:ascii="Times New Roman" w:hAnsi="Times New Roman" w:cs="Times New Roman"/>
        </w:rPr>
        <w:t>suficiente masa atmosférica como para frenar los satélites artificiales, debido a la resistencia aerodinámica, por lo que los satélites de larga vida han de alcanzar órbitas de gran altitud.</w:t>
      </w:r>
    </w:p>
    <w:p w:rsidR="00625F2E" w:rsidRPr="00B307B2" w:rsidRDefault="00625F2E" w:rsidP="00625F2E">
      <w:pPr>
        <w:rPr>
          <w:sz w:val="18"/>
          <w:szCs w:val="18"/>
        </w:rPr>
      </w:pPr>
    </w:p>
    <w:p w:rsidR="00625F2E" w:rsidRPr="00B307B2" w:rsidRDefault="00625F2E" w:rsidP="00625F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680426</wp:posOffset>
                </wp:positionH>
                <wp:positionV relativeFrom="paragraph">
                  <wp:posOffset>11089</wp:posOffset>
                </wp:positionV>
                <wp:extent cx="4019550" cy="1241946"/>
                <wp:effectExtent l="0" t="0" r="19050" b="15875"/>
                <wp:wrapNone/>
                <wp:docPr id="4" name="Pergamino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241946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2E" w:rsidRPr="00B307B2" w:rsidRDefault="00625F2E" w:rsidP="00625F2E">
                            <w:pPr>
                              <w:spacing w:before="120" w:after="120" w:line="240" w:lineRule="auto"/>
                              <w:ind w:left="284" w:right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25F2E">
                              <w:rPr>
                                <w:rFonts w:ascii="Times New Roman" w:hAnsi="Times New Roman" w:cs="Times New Roman"/>
                              </w:rPr>
                              <w:t>Además de la Luna, las naves espaciales han llegado a Marte y Venus, han alcanzado las proximidades de todos los planetas solares, excepto Plutón, y han llevado a cabo estudios sobre los cometas</w:t>
                            </w:r>
                            <w:r w:rsidRPr="00B307B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25F2E" w:rsidRDefault="00625F2E" w:rsidP="00625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4" o:spid="_x0000_s1026" type="#_x0000_t98" style="position:absolute;margin-left:53.6pt;margin-top:.85pt;width:316.5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" fillcolor="white [3212]" strokecolor="black [3213]" strokeweight="1pt">
                <v:stroke joinstyle="miter"/>
                <v:textbox>
                  <w:txbxContent>
                    <w:p w:rsidR="00625F2E" w:rsidRPr="00B307B2" w:rsidRDefault="00625F2E" w:rsidP="00625F2E">
                      <w:pPr>
                        <w:spacing w:before="120" w:after="120" w:line="240" w:lineRule="auto"/>
                        <w:ind w:left="284" w:right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625F2E">
                        <w:rPr>
                          <w:rFonts w:ascii="Times New Roman" w:hAnsi="Times New Roman" w:cs="Times New Roman"/>
                        </w:rPr>
                        <w:t>Además de la Luna, las naves espaciales han llegado a Marte y Venus, han alcanzado las proximidades de todos los planetas solares, excepto Plutón, y han llevado a cabo estudios sobre los cometas</w:t>
                      </w:r>
                      <w:r w:rsidRPr="00B307B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625F2E" w:rsidRDefault="00625F2E" w:rsidP="00625F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F2E" w:rsidRPr="00625F2E" w:rsidRDefault="00625F2E" w:rsidP="00625F2E">
      <w:pPr>
        <w:rPr>
          <w:rFonts w:ascii="Arial" w:hAnsi="Arial" w:cs="Arial"/>
          <w:color w:val="4472C4" w:themeColor="accent1"/>
          <w:sz w:val="28"/>
          <w:szCs w:val="28"/>
        </w:rPr>
      </w:pPr>
    </w:p>
    <w:sectPr w:rsidR="00625F2E" w:rsidRPr="00625F2E" w:rsidSect="00625F2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E"/>
    <w:rsid w:val="005F056A"/>
    <w:rsid w:val="00625F2E"/>
    <w:rsid w:val="007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62DF"/>
  <w15:chartTrackingRefBased/>
  <w15:docId w15:val="{8C66A853-A2A3-4576-A960-E04B8993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C043-F618-42D0-AAE2-B08FA39E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2020-01-16T09:13:00Z</dcterms:created>
  <dcterms:modified xsi:type="dcterms:W3CDTF">2020-01-16T09:32:00Z</dcterms:modified>
</cp:coreProperties>
</file>