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CC38D5">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CC38D5">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CC38D5">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CC38D5">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There are 4</w:t>
      </w:r>
      <w:r w:rsidR="00810580" w:rsidRPr="00A44ED4">
        <w:rPr>
          <w:rFonts w:eastAsia="Century"/>
          <w:sz w:val="20"/>
        </w:rPr>
        <w:t xml:space="preserve"> main stakeholders which take part in the functioning of the system. These </w:t>
      </w:r>
      <w:r w:rsidRPr="00A44ED4">
        <w:rPr>
          <w:rFonts w:eastAsia="Century"/>
          <w:sz w:val="20"/>
        </w:rPr>
        <w:t>are:</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1: General user (Seller)</w:t>
      </w:r>
    </w:p>
    <w:p w:rsidR="00810580" w:rsidRPr="00A44ED4" w:rsidRDefault="00AE041C" w:rsidP="00810580">
      <w:pPr>
        <w:spacing w:after="171" w:line="251" w:lineRule="auto"/>
        <w:ind w:left="-5" w:right="821" w:hanging="10"/>
        <w:jc w:val="both"/>
        <w:rPr>
          <w:rFonts w:eastAsia="Century"/>
          <w:sz w:val="20"/>
        </w:rPr>
      </w:pPr>
      <w:r w:rsidRPr="00A44ED4">
        <w:rPr>
          <w:rFonts w:eastAsia="Century"/>
          <w:sz w:val="20"/>
        </w:rPr>
        <w:t>Stakeholder 2: General user (Purchaser)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3: Administrator</w:t>
      </w:r>
    </w:p>
    <w:p w:rsidR="00AE041C" w:rsidRPr="00A44ED4" w:rsidRDefault="00AE041C" w:rsidP="00810580">
      <w:pPr>
        <w:spacing w:after="171" w:line="251" w:lineRule="auto"/>
        <w:ind w:left="-5" w:right="821" w:hanging="10"/>
        <w:jc w:val="both"/>
        <w:rPr>
          <w:rFonts w:eastAsia="Century"/>
          <w:sz w:val="20"/>
        </w:rPr>
      </w:pPr>
      <w:r w:rsidRPr="00A44ED4">
        <w:rPr>
          <w:rFonts w:eastAsia="Century"/>
          <w:sz w:val="20"/>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A44ED4" w:rsidRDefault="00810580" w:rsidP="00AE041C">
      <w:pPr>
        <w:spacing w:after="0" w:line="251" w:lineRule="auto"/>
        <w:ind w:left="-5" w:right="821" w:hanging="10"/>
        <w:jc w:val="both"/>
        <w:rPr>
          <w:rFonts w:eastAsia="Century"/>
          <w:sz w:val="20"/>
        </w:rPr>
      </w:pPr>
      <w:r w:rsidRPr="00A44ED4">
        <w:rPr>
          <w:rFonts w:eastAsia="Century"/>
          <w:sz w:val="20"/>
        </w:rPr>
        <w:t xml:space="preserve">The purpose of the </w:t>
      </w:r>
      <w:proofErr w:type="spellStart"/>
      <w:r w:rsidRPr="00A44ED4">
        <w:rPr>
          <w:rFonts w:eastAsia="Century"/>
          <w:sz w:val="20"/>
        </w:rPr>
        <w:t>BorrowMyBooks</w:t>
      </w:r>
      <w:proofErr w:type="spellEnd"/>
      <w:r w:rsidRPr="00A44ED4">
        <w:rPr>
          <w:rFonts w:eastAsia="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A44ED4">
        <w:rPr>
          <w:rFonts w:eastAsia="Century"/>
          <w:sz w:val="20"/>
        </w:rPr>
        <w:t xml:space="preserve">where the separation of concerns (as supported by the MVC architecture) and the isolation of application logic from the user interface is necessary. </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 xml:space="preserve">Furthermore, the Client-server network architecture will be suitable for the functioning of the </w:t>
      </w:r>
      <w:proofErr w:type="spellStart"/>
      <w:r w:rsidRPr="00A44ED4">
        <w:rPr>
          <w:rFonts w:eastAsia="Century"/>
          <w:sz w:val="20"/>
        </w:rPr>
        <w:t>BorrowMyBooks</w:t>
      </w:r>
      <w:proofErr w:type="spellEnd"/>
      <w:r w:rsidRPr="00A44ED4">
        <w:rPr>
          <w:rFonts w:eastAsia="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A44ED4" w:rsidRDefault="00D94B8E" w:rsidP="00AE041C">
      <w:pPr>
        <w:spacing w:after="0" w:line="251" w:lineRule="auto"/>
        <w:ind w:left="-5" w:right="821" w:hanging="10"/>
        <w:jc w:val="both"/>
        <w:rPr>
          <w:rFonts w:eastAsia="Century"/>
          <w:sz w:val="20"/>
        </w:rPr>
      </w:pPr>
      <w:r w:rsidRPr="00A44ED4">
        <w:rPr>
          <w:rFonts w:eastAsia="Century"/>
          <w:sz w:val="20"/>
        </w:rPr>
        <w:t>The feasibility of the system is dependent on the demand which students have for sec</w:t>
      </w:r>
      <w:r w:rsidR="00BF6453" w:rsidRPr="00A44ED4">
        <w:rPr>
          <w:rFonts w:eastAsia="Century"/>
          <w:sz w:val="20"/>
        </w:rPr>
        <w:t xml:space="preserve">ond hand textbooks. At tertiary </w:t>
      </w:r>
      <w:r w:rsidRPr="00A44ED4">
        <w:rPr>
          <w:rFonts w:eastAsia="Century"/>
          <w:sz w:val="20"/>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A44ED4">
        <w:rPr>
          <w:rFonts w:eastAsia="Century"/>
          <w:sz w:val="20"/>
        </w:rPr>
        <w:t>deployment of the system is feasible.</w:t>
      </w:r>
    </w:p>
    <w:p w:rsidR="00161A94" w:rsidRPr="00A44ED4" w:rsidRDefault="00161A94" w:rsidP="00AE041C">
      <w:pPr>
        <w:spacing w:after="0" w:line="251" w:lineRule="auto"/>
        <w:ind w:left="-5" w:right="821" w:hanging="10"/>
        <w:jc w:val="both"/>
        <w:rPr>
          <w:rFonts w:eastAsia="Century"/>
          <w:sz w:val="20"/>
        </w:rPr>
      </w:pPr>
      <w:r w:rsidRPr="00A44ED4">
        <w:rPr>
          <w:rFonts w:eastAsia="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Pr="00A44ED4" w:rsidRDefault="00925439" w:rsidP="00AE041C">
      <w:pPr>
        <w:spacing w:after="0" w:line="251" w:lineRule="auto"/>
        <w:ind w:left="-5" w:right="821" w:hanging="10"/>
        <w:jc w:val="both"/>
        <w:rPr>
          <w:rFonts w:eastAsia="Century"/>
          <w:sz w:val="20"/>
        </w:rPr>
      </w:pPr>
      <w:r w:rsidRPr="00A44ED4">
        <w:rPr>
          <w:rFonts w:eastAsia="Century"/>
          <w:sz w:val="20"/>
        </w:rPr>
        <w:t>Furthermore</w:t>
      </w:r>
      <w:r w:rsidR="00161A94" w:rsidRPr="00A44ED4">
        <w:rPr>
          <w:rFonts w:eastAsia="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A44ED4" w:rsidRDefault="00D91339" w:rsidP="00AE041C">
      <w:pPr>
        <w:spacing w:after="0" w:line="251" w:lineRule="auto"/>
        <w:ind w:left="-5" w:right="821" w:hanging="10"/>
        <w:jc w:val="both"/>
        <w:rPr>
          <w:rFonts w:eastAsia="Century"/>
          <w:sz w:val="20"/>
        </w:rPr>
      </w:pPr>
      <w:r w:rsidRPr="00A44ED4">
        <w:rPr>
          <w:rFonts w:eastAsia="Century"/>
          <w:sz w:val="20"/>
        </w:rPr>
        <w:t xml:space="preserve">The maintenance of the system will be carried out by the main developers, who will make sure that the system runs fluidly, </w:t>
      </w:r>
      <w:r w:rsidR="008D3A3D" w:rsidRPr="00A44ED4">
        <w:rPr>
          <w:rFonts w:eastAsia="Century"/>
          <w:sz w:val="20"/>
        </w:rPr>
        <w:t>any bugs are eliminated and that database communications are fast and reliable.</w:t>
      </w:r>
    </w:p>
    <w:p w:rsidR="008D3A3D" w:rsidRPr="00A44ED4" w:rsidRDefault="008D3A3D" w:rsidP="00AE041C">
      <w:pPr>
        <w:spacing w:after="0" w:line="251" w:lineRule="auto"/>
        <w:ind w:left="-5" w:right="821" w:hanging="10"/>
        <w:jc w:val="both"/>
        <w:rPr>
          <w:rFonts w:eastAsia="Century"/>
          <w:sz w:val="20"/>
        </w:rPr>
      </w:pPr>
      <w:r w:rsidRPr="00A44ED4">
        <w:rPr>
          <w:rFonts w:eastAsia="Century"/>
          <w:sz w:val="20"/>
        </w:rPr>
        <w:lastRenderedPageBreak/>
        <w:t xml:space="preserve">Lastly, the evolution of the system will depend on the future requirements of its users. </w:t>
      </w:r>
    </w:p>
    <w:p w:rsidR="00AE041C" w:rsidRPr="00A44ED4" w:rsidRDefault="00AE041C" w:rsidP="00AE041C">
      <w:pPr>
        <w:spacing w:after="0" w:line="251" w:lineRule="auto"/>
        <w:ind w:left="-5" w:right="821" w:hanging="10"/>
        <w:jc w:val="both"/>
        <w:rPr>
          <w:rFonts w:eastAsia="Century"/>
          <w:sz w:val="20"/>
        </w:rPr>
      </w:pPr>
    </w:p>
    <w:p w:rsidR="002354C3" w:rsidRPr="00A44ED4" w:rsidRDefault="002354C3" w:rsidP="00AE041C">
      <w:pPr>
        <w:spacing w:after="0" w:line="251" w:lineRule="auto"/>
        <w:ind w:left="-5" w:right="821" w:hanging="10"/>
        <w:jc w:val="both"/>
        <w:rPr>
          <w:rFonts w:eastAsia="Century"/>
          <w:sz w:val="20"/>
        </w:rPr>
      </w:pPr>
      <w:r w:rsidRPr="00A44ED4">
        <w:rPr>
          <w:rFonts w:eastAsia="Century"/>
          <w:sz w:val="20"/>
        </w:rPr>
        <w:t>The main concerns are laid out as follows:</w:t>
      </w:r>
    </w:p>
    <w:p w:rsidR="00AE041C" w:rsidRPr="00A44ED4" w:rsidRDefault="00AE041C" w:rsidP="00AE041C">
      <w:pPr>
        <w:spacing w:after="0" w:line="251" w:lineRule="auto"/>
        <w:ind w:left="-5" w:right="821" w:hanging="10"/>
        <w:jc w:val="both"/>
        <w:rPr>
          <w:rFonts w:eastAsia="Century"/>
          <w:sz w:val="20"/>
        </w:rPr>
      </w:pP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CN1: All users must be able to log in to the system in a secure manner.</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CN2: An administrator must be able to log in to the system with their credentials which will grant them access to admin functionality.</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CN3: An unregistered user must be able to sign up through the system’s sign up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CN4: </w:t>
      </w:r>
      <w:r w:rsidR="00FE1D69" w:rsidRPr="00A44ED4">
        <w:rPr>
          <w:rFonts w:eastAsia="Century"/>
          <w:sz w:val="20"/>
        </w:rPr>
        <w:t>Any</w:t>
      </w:r>
      <w:r w:rsidRPr="00A44ED4">
        <w:rPr>
          <w:rFonts w:eastAsia="Century"/>
          <w:sz w:val="20"/>
        </w:rPr>
        <w:t xml:space="preserve"> user on the system must be able to browse available books, their prices and descriptions.</w:t>
      </w:r>
    </w:p>
    <w:p w:rsidR="00AE041C" w:rsidRPr="00A44ED4" w:rsidRDefault="00BF6453" w:rsidP="00BF6453">
      <w:pPr>
        <w:pStyle w:val="ListParagraph"/>
        <w:numPr>
          <w:ilvl w:val="0"/>
          <w:numId w:val="17"/>
        </w:numPr>
        <w:spacing w:after="0" w:line="251" w:lineRule="auto"/>
        <w:ind w:right="821"/>
        <w:jc w:val="both"/>
        <w:rPr>
          <w:rFonts w:eastAsia="Century"/>
          <w:sz w:val="20"/>
        </w:rPr>
      </w:pPr>
      <w:r w:rsidRPr="00A44ED4">
        <w:rPr>
          <w:rFonts w:eastAsia="Century"/>
          <w:sz w:val="20"/>
        </w:rPr>
        <w:t xml:space="preserve">CN5: </w:t>
      </w:r>
      <w:r w:rsidR="00AE041C" w:rsidRPr="00A44ED4">
        <w:rPr>
          <w:rFonts w:eastAsia="Century"/>
          <w:sz w:val="20"/>
        </w:rPr>
        <w:t xml:space="preserve">A seller on the system </w:t>
      </w:r>
      <w:r w:rsidRPr="00A44ED4">
        <w:rPr>
          <w:rFonts w:eastAsia="Century"/>
          <w:sz w:val="20"/>
        </w:rPr>
        <w:t>must be able to upload a book which they wish to trade and provide all relevant details for the book.</w:t>
      </w:r>
      <w:r w:rsidR="00AE041C" w:rsidRPr="00A44ED4">
        <w:rPr>
          <w:rFonts w:eastAsia="Century"/>
          <w:sz w:val="20"/>
        </w:rPr>
        <w:t xml:space="preserve"> </w:t>
      </w:r>
    </w:p>
    <w:p w:rsidR="00AE041C"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CN6: A purchaser on the system must be able to browse all available books and view their relevant details through the explore page.</w:t>
      </w:r>
    </w:p>
    <w:p w:rsidR="00BF6453" w:rsidRPr="00A44ED4" w:rsidRDefault="00BF6453" w:rsidP="00AE041C">
      <w:pPr>
        <w:pStyle w:val="ListParagraph"/>
        <w:numPr>
          <w:ilvl w:val="0"/>
          <w:numId w:val="17"/>
        </w:numPr>
        <w:spacing w:after="0" w:line="251" w:lineRule="auto"/>
        <w:ind w:right="821"/>
        <w:jc w:val="both"/>
        <w:rPr>
          <w:rFonts w:eastAsia="Century"/>
          <w:sz w:val="20"/>
        </w:rPr>
      </w:pPr>
      <w:r w:rsidRPr="00A44ED4">
        <w:rPr>
          <w:rFonts w:eastAsia="Century"/>
          <w:sz w:val="20"/>
        </w:rPr>
        <w:t>CN7: A purchaser on the system must be able to search for a specific book on the system through the built in search engine.</w:t>
      </w:r>
    </w:p>
    <w:p w:rsidR="00BF6453"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CN8: A purchaser</w:t>
      </w:r>
      <w:r w:rsidR="00BF6453" w:rsidRPr="00A44ED4">
        <w:rPr>
          <w:rFonts w:eastAsia="Century"/>
          <w:sz w:val="20"/>
        </w:rPr>
        <w:t xml:space="preserve"> must be able to perform a successful transaction on the system </w:t>
      </w:r>
      <w:r w:rsidR="00FE1D69" w:rsidRPr="00A44ED4">
        <w:rPr>
          <w:rFonts w:eastAsia="Century"/>
          <w:sz w:val="20"/>
        </w:rPr>
        <w:t>for a book which they are interested in purchasing.</w:t>
      </w:r>
    </w:p>
    <w:p w:rsidR="00FE1D69" w:rsidRPr="00A44ED4" w:rsidRDefault="00821B75" w:rsidP="00AE041C">
      <w:pPr>
        <w:pStyle w:val="ListParagraph"/>
        <w:numPr>
          <w:ilvl w:val="0"/>
          <w:numId w:val="17"/>
        </w:numPr>
        <w:spacing w:after="0" w:line="251" w:lineRule="auto"/>
        <w:ind w:right="821"/>
        <w:jc w:val="both"/>
        <w:rPr>
          <w:rFonts w:eastAsia="Century"/>
          <w:sz w:val="20"/>
        </w:rPr>
      </w:pPr>
      <w:r>
        <w:rPr>
          <w:rFonts w:eastAsia="Century"/>
          <w:sz w:val="20"/>
        </w:rPr>
        <w:t>CN9: A seller</w:t>
      </w:r>
      <w:r w:rsidR="00FE1D69" w:rsidRPr="00A44ED4">
        <w:rPr>
          <w:rFonts w:eastAsia="Century"/>
          <w:sz w:val="20"/>
        </w:rPr>
        <w:t xml:space="preserve"> must be able to view transaction requests for books which they are selling and accept or reject them.</w:t>
      </w:r>
    </w:p>
    <w:p w:rsidR="00FE1D69" w:rsidRPr="00A44ED4" w:rsidRDefault="00FE1D69" w:rsidP="00FE1D69">
      <w:pPr>
        <w:pStyle w:val="ListParagraph"/>
        <w:numPr>
          <w:ilvl w:val="0"/>
          <w:numId w:val="17"/>
        </w:numPr>
        <w:spacing w:after="0" w:line="251" w:lineRule="auto"/>
        <w:ind w:right="821"/>
        <w:jc w:val="both"/>
        <w:rPr>
          <w:rFonts w:eastAsia="Century"/>
          <w:sz w:val="20"/>
        </w:rPr>
      </w:pPr>
      <w:r w:rsidRPr="00A44ED4">
        <w:rPr>
          <w:rFonts w:eastAsia="Century"/>
          <w:sz w:val="20"/>
        </w:rPr>
        <w:t>CN10: A user of the system must be able to report another user for bad conduct through the site’s functionality.</w:t>
      </w:r>
    </w:p>
    <w:p w:rsidR="00FE1D69" w:rsidRPr="00A44ED4"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 xml:space="preserve">CN11: An administrator must be able to view and act upon any reports made relating to bad user conduct. </w:t>
      </w:r>
    </w:p>
    <w:p w:rsidR="00FE1D69" w:rsidRDefault="00FE1D69" w:rsidP="00AE041C">
      <w:pPr>
        <w:pStyle w:val="ListParagraph"/>
        <w:numPr>
          <w:ilvl w:val="0"/>
          <w:numId w:val="17"/>
        </w:numPr>
        <w:spacing w:after="0" w:line="251" w:lineRule="auto"/>
        <w:ind w:right="821"/>
        <w:jc w:val="both"/>
        <w:rPr>
          <w:rFonts w:eastAsia="Century"/>
          <w:sz w:val="20"/>
        </w:rPr>
      </w:pPr>
      <w:r w:rsidRPr="00A44ED4">
        <w:rPr>
          <w:rFonts w:eastAsia="Century"/>
          <w:sz w:val="20"/>
        </w:rPr>
        <w:t>CN12: An administrator must be able to view all transactions made for all books through the system and sort out any issues which may arise which are beyond the control of the purchaser and</w:t>
      </w:r>
      <w:r w:rsidR="00A44ED4" w:rsidRPr="00A44ED4">
        <w:rPr>
          <w:rFonts w:eastAsia="Century"/>
          <w:sz w:val="20"/>
        </w:rPr>
        <w:t xml:space="preserve"> seller, and are system-related</w:t>
      </w:r>
      <w:r w:rsidRPr="00A44ED4">
        <w:rPr>
          <w:rFonts w:eastAsia="Century"/>
          <w:sz w:val="20"/>
        </w:rPr>
        <w:t>.</w:t>
      </w:r>
    </w:p>
    <w:p w:rsidR="00923239" w:rsidRPr="00A44ED4" w:rsidRDefault="00923239" w:rsidP="00923239">
      <w:pPr>
        <w:pStyle w:val="ListParagraph"/>
        <w:spacing w:after="0" w:line="251" w:lineRule="auto"/>
        <w:ind w:left="705" w:right="821"/>
        <w:jc w:val="both"/>
        <w:rPr>
          <w:rFonts w:eastAsia="Century"/>
          <w:sz w:val="20"/>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lastRenderedPageBreak/>
        <w:t>2.3</w:t>
      </w:r>
      <w:r w:rsidRPr="00A44ED4">
        <w:rPr>
          <w:rFonts w:ascii="Calibri" w:hAnsi="Calibri" w:cs="Calibri"/>
        </w:rPr>
        <w:tab/>
        <w:t>Concern–Stakeholder Traceability</w:t>
      </w:r>
    </w:p>
    <w:p w:rsidR="00974D1F" w:rsidRDefault="00B076E5">
      <w:pPr>
        <w:spacing w:after="7" w:line="251" w:lineRule="auto"/>
        <w:ind w:left="-5" w:right="821" w:hanging="10"/>
        <w:jc w:val="both"/>
        <w:rPr>
          <w:rFonts w:eastAsia="Cambria"/>
          <w:color w:val="auto"/>
          <w:sz w:val="20"/>
        </w:rPr>
      </w:pPr>
      <w:r>
        <w:rPr>
          <w:rFonts w:eastAsia="Cambria"/>
          <w:color w:val="auto"/>
          <w:sz w:val="20"/>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lastRenderedPageBreak/>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lastRenderedPageBreak/>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w:t>
      </w:r>
      <w:proofErr w:type="spellStart"/>
      <w:proofErr w:type="gramStart"/>
      <w:r>
        <w:t>It</w:t>
      </w:r>
      <w:r w:rsidR="00163AD1">
        <w:t>’</w:t>
      </w:r>
      <w:r>
        <w:t>s</w:t>
      </w:r>
      <w:proofErr w:type="spellEnd"/>
      <w:proofErr w:type="gramEnd"/>
      <w:r>
        <w:t xml:space="preserve">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lastRenderedPageBreak/>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EF054A" w:rsidRPr="00923239" w:rsidRDefault="00EF054A" w:rsidP="00EF054A">
      <w:pPr>
        <w:spacing w:after="500" w:line="265" w:lineRule="auto"/>
        <w:rPr>
          <w:u w:val="single"/>
        </w:rPr>
      </w:pPr>
      <w:r w:rsidRPr="00923239">
        <w:rPr>
          <w:u w:val="single"/>
        </w:rPr>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lastRenderedPageBreak/>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Pr="00923239" w:rsidRDefault="007E7BFA" w:rsidP="007E7BFA">
      <w:pPr>
        <w:spacing w:after="173" w:line="253" w:lineRule="auto"/>
        <w:ind w:right="821"/>
        <w:jc w:val="both"/>
        <w:rPr>
          <w:rFonts w:eastAsia="Century"/>
        </w:rPr>
      </w:pPr>
      <w:r w:rsidRPr="00923239">
        <w:rPr>
          <w:rFonts w:eastAsia="Century"/>
        </w:rPr>
        <w:lastRenderedPageBreak/>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923239" w:rsidRPr="00923239"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23239" w:rsidRPr="007E7BFA" w:rsidRDefault="00923239" w:rsidP="007E7BFA">
      <w:pPr>
        <w:spacing w:after="173" w:line="253" w:lineRule="auto"/>
        <w:ind w:right="821"/>
        <w:jc w:val="both"/>
        <w:rPr>
          <w:rFonts w:eastAsia="Century"/>
          <w:sz w:val="18"/>
        </w:rPr>
      </w:pP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lastRenderedPageBreak/>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w:t>
      </w:r>
      <w:r w:rsidRPr="00A44ED4">
        <w:rPr>
          <w:rFonts w:eastAsia="Century"/>
          <w:sz w:val="18"/>
        </w:rPr>
        <w:lastRenderedPageBreak/>
        <w:t xml:space="preserve">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EB6D34">
      <w:pPr>
        <w:spacing w:line="260" w:lineRule="auto"/>
        <w:ind w:left="-5" w:right="821" w:hanging="10"/>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t>The database structure has been designed in such a way that ensures all necessary and relevant information to the Borrow My Books system is stored and accessible. This is a key feature in the system to guarantee the successful operation of the Borrow My Books system.</w:t>
      </w:r>
    </w:p>
    <w:p w:rsidR="00557D35" w:rsidRDefault="00557D35">
      <w:pPr>
        <w:spacing w:after="151" w:line="265" w:lineRule="auto"/>
        <w:ind w:left="-5" w:hanging="10"/>
      </w:pP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CC38D5" w:rsidP="00EB6D34">
      <w:pPr>
        <w:spacing w:after="151" w:line="265" w:lineRule="auto"/>
        <w:ind w:left="-5" w:hanging="10"/>
        <w:rPr>
          <w:sz w:val="24"/>
        </w:rPr>
      </w:pPr>
      <w:r>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EB6D34" w:rsidRDefault="00EB6D34" w:rsidP="00EB6D34">
      <w:pPr>
        <w:spacing w:after="151" w:line="265" w:lineRule="auto"/>
        <w:ind w:left="-5" w:hanging="10"/>
      </w:pPr>
      <w:r>
        <w:lastRenderedPageBreak/>
        <w:pict>
          <v:shape id="_x0000_i1026" type="#_x0000_t75" style="width:438.1pt;height:614.7pt">
            <v:imagedata r:id="rId25" o:title="BorrowMyBooksLoginActivityDraw"/>
          </v:shape>
        </w:pict>
      </w: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Pr="00A44ED4" w:rsidRDefault="00622173">
      <w:pPr>
        <w:spacing w:after="151" w:line="265" w:lineRule="auto"/>
        <w:ind w:left="-5" w:hanging="10"/>
      </w:pPr>
      <w:r>
        <w:lastRenderedPageBreak/>
        <w:tab/>
      </w:r>
      <w:r>
        <w:pict>
          <v:shape id="_x0000_i1027" type="#_x0000_t75" style="width:438.1pt;height:607.9pt">
            <v:imagedata r:id="rId26" o:title="BorrowMyBooksSignupActivityDraw.io"/>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974D1F" w:rsidRPr="00A44ED4" w:rsidRDefault="00D73953">
      <w:pPr>
        <w:spacing w:after="514" w:line="253" w:lineRule="auto"/>
        <w:ind w:left="-5" w:right="821" w:hanging="10"/>
        <w:jc w:val="both"/>
      </w:pPr>
      <w:r w:rsidRPr="00A44ED4">
        <w:rPr>
          <w:rFonts w:eastAsia="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Pr="00A44ED4">
        <w:rPr>
          <w:rFonts w:eastAsia="Century"/>
          <w:color w:val="008C4A"/>
          <w:sz w:val="18"/>
        </w:rPr>
        <w:t>7</w:t>
      </w:r>
      <w:r w:rsidRPr="00A44ED4">
        <w:rPr>
          <w:rFonts w:eastAsia="Century"/>
          <w:sz w:val="18"/>
        </w:rPr>
        <w:t>] and architecture textures [</w:t>
      </w:r>
      <w:r w:rsidRPr="00A44ED4">
        <w:rPr>
          <w:rFonts w:eastAsia="Century"/>
          <w:color w:val="008C4A"/>
          <w:sz w:val="18"/>
        </w:rPr>
        <w:t>6</w:t>
      </w:r>
      <w:r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Pr="00A44ED4">
        <w:rPr>
          <w:rFonts w:eastAsia="Century"/>
          <w:sz w:val="18"/>
        </w:rPr>
        <w:t>model</w:t>
      </w:r>
      <w:proofErr w:type="gramEnd"/>
      <w:r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A44ED4" w:rsidRDefault="00F03F18">
      <w:pPr>
        <w:spacing w:after="173" w:line="253" w:lineRule="auto"/>
        <w:ind w:left="-5" w:right="821" w:hanging="10"/>
        <w:jc w:val="both"/>
      </w:pPr>
      <w:bookmarkStart w:id="0" w:name="_GoBack"/>
      <w:bookmarkEnd w:id="0"/>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lastRenderedPageBreak/>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7">
        <w:r w:rsidRPr="00A44ED4">
          <w:rPr>
            <w:color w:val="E72582"/>
            <w:sz w:val="20"/>
          </w:rPr>
          <w:t>10.1016/j.jss.2011.</w:t>
        </w:r>
      </w:hyperlink>
    </w:p>
    <w:p w:rsidR="00974D1F" w:rsidRPr="00A44ED4" w:rsidRDefault="00CC38D5">
      <w:pPr>
        <w:spacing w:after="0" w:line="265" w:lineRule="auto"/>
        <w:ind w:left="309" w:hanging="10"/>
      </w:pPr>
      <w:hyperlink r:id="rId28">
        <w:r w:rsidR="00D73953" w:rsidRPr="00A44ED4">
          <w:rPr>
            <w:color w:val="E72582"/>
            <w:sz w:val="20"/>
          </w:rPr>
          <w:t>10.017</w:t>
        </w:r>
      </w:hyperlink>
      <w:hyperlink r:id="rId29">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lastRenderedPageBreak/>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622173">
      <w:footerReference w:type="even" r:id="rId30"/>
      <w:footerReference w:type="default" r:id="rId31"/>
      <w:footerReference w:type="first" r:id="rId32"/>
      <w:pgSz w:w="12240" w:h="15840"/>
      <w:pgMar w:top="126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774" w:rsidRDefault="00E24774">
      <w:pPr>
        <w:spacing w:after="0" w:line="240" w:lineRule="auto"/>
      </w:pPr>
      <w:r>
        <w:separator/>
      </w:r>
    </w:p>
  </w:endnote>
  <w:endnote w:type="continuationSeparator" w:id="0">
    <w:p w:rsidR="00E24774" w:rsidRDefault="00E2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sidR="007A0E01" w:rsidRPr="007A0E01">
      <w:rPr>
        <w:rFonts w:ascii="Century" w:eastAsia="Century" w:hAnsi="Century" w:cs="Century"/>
        <w:noProof/>
        <w:sz w:val="20"/>
      </w:rPr>
      <w:t>23</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774" w:rsidRDefault="00E24774">
      <w:pPr>
        <w:spacing w:after="0" w:line="240" w:lineRule="auto"/>
      </w:pPr>
      <w:r>
        <w:separator/>
      </w:r>
    </w:p>
  </w:footnote>
  <w:footnote w:type="continuationSeparator" w:id="0">
    <w:p w:rsidR="00E24774" w:rsidRDefault="00E247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4"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0"/>
  </w:num>
  <w:num w:numId="5">
    <w:abstractNumId w:val="7"/>
  </w:num>
  <w:num w:numId="6">
    <w:abstractNumId w:val="15"/>
  </w:num>
  <w:num w:numId="7">
    <w:abstractNumId w:val="2"/>
  </w:num>
  <w:num w:numId="8">
    <w:abstractNumId w:val="3"/>
  </w:num>
  <w:num w:numId="9">
    <w:abstractNumId w:val="0"/>
  </w:num>
  <w:num w:numId="10">
    <w:abstractNumId w:val="5"/>
  </w:num>
  <w:num w:numId="11">
    <w:abstractNumId w:val="1"/>
  </w:num>
  <w:num w:numId="12">
    <w:abstractNumId w:val="8"/>
  </w:num>
  <w:num w:numId="13">
    <w:abstractNumId w:val="18"/>
  </w:num>
  <w:num w:numId="14">
    <w:abstractNumId w:val="16"/>
  </w:num>
  <w:num w:numId="15">
    <w:abstractNumId w:val="12"/>
  </w:num>
  <w:num w:numId="16">
    <w:abstractNumId w:val="4"/>
  </w:num>
  <w:num w:numId="17">
    <w:abstractNumId w:val="11"/>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354C3"/>
    <w:rsid w:val="002476C0"/>
    <w:rsid w:val="0025131B"/>
    <w:rsid w:val="0025193B"/>
    <w:rsid w:val="00251960"/>
    <w:rsid w:val="003030BC"/>
    <w:rsid w:val="00307FED"/>
    <w:rsid w:val="00321078"/>
    <w:rsid w:val="00324E5B"/>
    <w:rsid w:val="003324CF"/>
    <w:rsid w:val="00420A1F"/>
    <w:rsid w:val="00496819"/>
    <w:rsid w:val="004A5F44"/>
    <w:rsid w:val="00532460"/>
    <w:rsid w:val="00557D35"/>
    <w:rsid w:val="005A7A15"/>
    <w:rsid w:val="00614576"/>
    <w:rsid w:val="00621E4F"/>
    <w:rsid w:val="00622173"/>
    <w:rsid w:val="006903AC"/>
    <w:rsid w:val="006B053B"/>
    <w:rsid w:val="006D17E7"/>
    <w:rsid w:val="00703338"/>
    <w:rsid w:val="00736827"/>
    <w:rsid w:val="00783547"/>
    <w:rsid w:val="007A0E01"/>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A1CDF"/>
    <w:rsid w:val="009C3803"/>
    <w:rsid w:val="009C3AEA"/>
    <w:rsid w:val="009F0D55"/>
    <w:rsid w:val="00A22F6E"/>
    <w:rsid w:val="00A33E3C"/>
    <w:rsid w:val="00A44ED4"/>
    <w:rsid w:val="00A87BCB"/>
    <w:rsid w:val="00AC3070"/>
    <w:rsid w:val="00AE041C"/>
    <w:rsid w:val="00B076E5"/>
    <w:rsid w:val="00B2475A"/>
    <w:rsid w:val="00B5796C"/>
    <w:rsid w:val="00B732A5"/>
    <w:rsid w:val="00BF6453"/>
    <w:rsid w:val="00C215ED"/>
    <w:rsid w:val="00C53D93"/>
    <w:rsid w:val="00C94089"/>
    <w:rsid w:val="00CC106B"/>
    <w:rsid w:val="00CC38D5"/>
    <w:rsid w:val="00CF17D4"/>
    <w:rsid w:val="00D35F4E"/>
    <w:rsid w:val="00D502C3"/>
    <w:rsid w:val="00D72F19"/>
    <w:rsid w:val="00D73953"/>
    <w:rsid w:val="00D91339"/>
    <w:rsid w:val="00D94B8E"/>
    <w:rsid w:val="00DA2244"/>
    <w:rsid w:val="00E10753"/>
    <w:rsid w:val="00E24774"/>
    <w:rsid w:val="00E2582C"/>
    <w:rsid w:val="00E27D6D"/>
    <w:rsid w:val="00E35305"/>
    <w:rsid w:val="00E40245"/>
    <w:rsid w:val="00E54DE5"/>
    <w:rsid w:val="00E86222"/>
    <w:rsid w:val="00EB6D34"/>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hyperlink" Target="http://dx.doi.org/10.1016/j.jss.2011.10.017" TargetMode="External"/><Relationship Id="rId30" Type="http://schemas.openxmlformats.org/officeDocument/2006/relationships/footer" Target="footer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C9C74-6942-4953-8BCF-9A578B6C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5631</TotalTime>
  <Pages>1</Pages>
  <Words>4737</Words>
  <Characters>27006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17</cp:revision>
  <dcterms:created xsi:type="dcterms:W3CDTF">2016-09-28T12:19:00Z</dcterms:created>
  <dcterms:modified xsi:type="dcterms:W3CDTF">2016-10-24T10:13:00Z</dcterms:modified>
</cp:coreProperties>
</file>