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pPr>
        <w:spacing w:after="1850" w:line="249" w:lineRule="auto"/>
        <w:ind w:left="836" w:right="836"/>
        <w:jc w:val="center"/>
      </w:pPr>
      <w:bookmarkStart w:id="0" w:name="_GoBack"/>
      <w:bookmarkEnd w:id="0"/>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pPr>
        <w:spacing w:after="0"/>
        <w:jc w:val="center"/>
      </w:pPr>
      <w:r w:rsidRPr="00A44ED4">
        <w:rPr>
          <w:rFonts w:eastAsia="Century"/>
          <w:sz w:val="41"/>
        </w:rPr>
        <w:t>Architecture Description of</w:t>
      </w:r>
    </w:p>
    <w:p w:rsidR="00E27D6D" w:rsidRPr="00A44ED4" w:rsidRDefault="00E27D6D">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D73953">
      <w:pPr>
        <w:spacing w:after="0"/>
        <w:ind w:left="10" w:hanging="10"/>
        <w:jc w:val="center"/>
      </w:pPr>
      <w:r w:rsidRPr="00A44ED4">
        <w:rPr>
          <w:rFonts w:eastAsia="Cambria"/>
          <w:i/>
          <w:color w:val="E4322B"/>
          <w:sz w:val="41"/>
        </w:rPr>
        <w:t xml:space="preserve"> </w:t>
      </w:r>
      <w:r w:rsidR="00A87BCB" w:rsidRPr="00A44ED4">
        <w:rPr>
          <w:rFonts w:eastAsia="Century"/>
          <w:sz w:val="41"/>
        </w:rPr>
        <w:t>For</w:t>
      </w:r>
    </w:p>
    <w:p w:rsidR="00974D1F" w:rsidRPr="00A44ED4" w:rsidRDefault="00736827">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pPr>
        <w:spacing w:after="1711" w:line="232" w:lineRule="auto"/>
        <w:ind w:left="2794" w:right="1442" w:hanging="479"/>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Creative Commons Attribution 3.0 Unported License. For terms of use see:</w:t>
      </w:r>
    </w:p>
    <w:p w:rsidR="00974D1F" w:rsidRPr="00A44ED4" w:rsidRDefault="006903AC">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6903AC">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w:t>
      </w:r>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6903AC">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The template is licensed under a Creative Commons Attribution 3.0 Unported License. For terms of use, see:</w:t>
      </w:r>
    </w:p>
    <w:p w:rsidR="00974D1F" w:rsidRPr="00A44ED4" w:rsidRDefault="006903AC">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ii</w:t>
      </w:r>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974D1F" w:rsidRPr="00A44ED4" w:rsidRDefault="00D73953">
      <w:pPr>
        <w:spacing w:after="165" w:line="257" w:lineRule="auto"/>
        <w:ind w:left="-5" w:right="555" w:hanging="10"/>
        <w:jc w:val="both"/>
        <w:rPr>
          <w:color w:val="AEAAAA" w:themeColor="background2" w:themeShade="BF"/>
        </w:rPr>
      </w:pPr>
      <w:r w:rsidRPr="00A44ED4">
        <w:rPr>
          <w:rFonts w:eastAsia="Cambria"/>
          <w:i/>
          <w:color w:val="AEAAAA" w:themeColor="background2" w:themeShade="BF"/>
          <w:sz w:val="20"/>
        </w:rPr>
        <w:t xml:space="preserve">? </w:t>
      </w:r>
      <w:r w:rsidRPr="00A44ED4">
        <w:rPr>
          <w:rFonts w:eastAsia="Century"/>
          <w:color w:val="AEAAAA" w:themeColor="background2" w:themeShade="BF"/>
          <w:sz w:val="20"/>
        </w:rPr>
        <w:t xml:space="preserve">Identify the architecture being expressed, such as via an </w:t>
      </w:r>
      <w:r w:rsidRPr="00A44ED4">
        <w:rPr>
          <w:rFonts w:eastAsia="Cambria"/>
          <w:i/>
          <w:color w:val="AEAAAA" w:themeColor="background2" w:themeShade="BF"/>
          <w:sz w:val="20"/>
        </w:rPr>
        <w:t>&lt;</w:t>
      </w:r>
      <w:r w:rsidRPr="00A44ED4">
        <w:rPr>
          <w:rFonts w:eastAsia="Century"/>
          <w:color w:val="AEAAAA" w:themeColor="background2" w:themeShade="BF"/>
          <w:sz w:val="20"/>
        </w:rPr>
        <w:t>Architecture Name</w:t>
      </w:r>
      <w:r w:rsidRPr="00A44ED4">
        <w:rPr>
          <w:rFonts w:eastAsia="Cambria"/>
          <w:i/>
          <w:color w:val="AEAAAA" w:themeColor="background2" w:themeShade="BF"/>
          <w:sz w:val="20"/>
        </w:rPr>
        <w:t>&gt;</w:t>
      </w:r>
      <w:r w:rsidRPr="00A44ED4">
        <w:rPr>
          <w:rFonts w:eastAsia="Century"/>
          <w:color w:val="AEAAAA" w:themeColor="background2" w:themeShade="BF"/>
          <w:sz w:val="20"/>
        </w:rPr>
        <w:t>, or as appropriate.</w:t>
      </w:r>
    </w:p>
    <w:p w:rsidR="00974D1F" w:rsidRPr="00A44ED4" w:rsidRDefault="00D73953">
      <w:pPr>
        <w:spacing w:after="165" w:line="257" w:lineRule="auto"/>
        <w:ind w:left="-5" w:right="555" w:hanging="10"/>
        <w:jc w:val="both"/>
        <w:rPr>
          <w:rFonts w:eastAsia="Century"/>
          <w:color w:val="AEAAAA" w:themeColor="background2" w:themeShade="BF"/>
          <w:sz w:val="20"/>
        </w:rPr>
      </w:pPr>
      <w:r w:rsidRPr="00A44ED4">
        <w:rPr>
          <w:rFonts w:eastAsia="Cambria"/>
          <w:i/>
          <w:color w:val="AEAAAA" w:themeColor="background2" w:themeShade="BF"/>
          <w:sz w:val="20"/>
        </w:rPr>
        <w:t xml:space="preserve">? </w:t>
      </w:r>
      <w:r w:rsidRPr="00A44ED4">
        <w:rPr>
          <w:rFonts w:eastAsia="Century"/>
          <w:color w:val="AEAAAA" w:themeColor="background2" w:themeShade="BF"/>
          <w:sz w:val="20"/>
        </w:rPr>
        <w:t xml:space="preserve">Identify the </w:t>
      </w:r>
      <w:r w:rsidRPr="00A44ED4">
        <w:rPr>
          <w:rFonts w:eastAsia="Cambria"/>
          <w:i/>
          <w:color w:val="AEAAAA" w:themeColor="background2" w:themeShade="BF"/>
          <w:sz w:val="20"/>
        </w:rPr>
        <w:t>&lt;</w:t>
      </w:r>
      <w:r w:rsidRPr="00A44ED4">
        <w:rPr>
          <w:rFonts w:eastAsia="Century"/>
          <w:color w:val="AEAAAA" w:themeColor="background2" w:themeShade="BF"/>
          <w:sz w:val="20"/>
        </w:rPr>
        <w:t>System of Interest</w:t>
      </w:r>
      <w:r w:rsidRPr="00A44ED4">
        <w:rPr>
          <w:rFonts w:eastAsia="Cambria"/>
          <w:i/>
          <w:color w:val="AEAAAA" w:themeColor="background2" w:themeShade="BF"/>
          <w:sz w:val="20"/>
        </w:rPr>
        <w:t xml:space="preserve">&gt; </w:t>
      </w:r>
      <w:r w:rsidRPr="00A44ED4">
        <w:rPr>
          <w:rFonts w:eastAsia="Century"/>
          <w:color w:val="AEAAAA" w:themeColor="background2" w:themeShade="BF"/>
          <w:sz w:val="20"/>
        </w:rPr>
        <w:t>for which this is an architecture description.</w:t>
      </w:r>
    </w:p>
    <w:p w:rsidR="00ED2E64" w:rsidRPr="00A44ED4" w:rsidRDefault="00ED2E64">
      <w:pPr>
        <w:spacing w:after="165" w:line="257" w:lineRule="auto"/>
        <w:ind w:left="-5" w:right="555" w:hanging="10"/>
        <w:jc w:val="both"/>
        <w:rPr>
          <w:color w:val="auto"/>
        </w:rPr>
      </w:pPr>
      <w:r w:rsidRPr="00A44ED4">
        <w:rPr>
          <w:rFonts w:eastAsia="Cambria"/>
          <w:color w:val="auto"/>
          <w:sz w:val="20"/>
        </w:rPr>
        <w:t>The Software Architecture chosen for the development of the BorrowMyBooks system is a hybrid one, consisting of a Model View Controller (MVC)</w:t>
      </w:r>
      <w:r w:rsidR="00E27D6D" w:rsidRPr="00A44ED4">
        <w:rPr>
          <w:rFonts w:eastAsia="Cambria"/>
          <w:color w:val="auto"/>
          <w:sz w:val="20"/>
        </w:rPr>
        <w:t xml:space="preserve"> type of system called ExpressJS</w:t>
      </w:r>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NodeJS. We make heavy use of the callback code pattern. </w:t>
      </w:r>
      <w:r w:rsidR="00621E4F" w:rsidRPr="00A44ED4">
        <w:t xml:space="preserve">The system </w:t>
      </w:r>
      <w:r w:rsidR="00621E4F" w:rsidRPr="00A44ED4">
        <w:lastRenderedPageBreak/>
        <w:t xml:space="preserve">is based on a single process model which is event driven. These event occur mainly with user input and/or asynchronous calls. Other code patterns we have used when they are necessary are both the yield/await directives and also the async.waterfall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not the standard that comes with our use of the database connection driver (mongoose) and ExpressJS.</w:t>
      </w:r>
    </w:p>
    <w:p w:rsidR="007A1DA3" w:rsidRPr="00A44ED4" w:rsidRDefault="007A1DA3">
      <w:pPr>
        <w:spacing w:after="523" w:line="251" w:lineRule="auto"/>
        <w:ind w:left="-5" w:right="821" w:hanging="10"/>
        <w:jc w:val="both"/>
      </w:pPr>
      <w:r w:rsidRPr="00A44ED4">
        <w:t>The live version of the site is hosted on Heroku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This site provides hosting for the server side code and public assets. The MongoDb database is stored on another site who is affiliated with Heroku called mLab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BorrowMyBooks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Furthermore, the Client-server network architecture will be suitable for the functioning of the BorrowMyBooks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lastRenderedPageBreak/>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FE1D69" w:rsidRPr="00A44ED4" w:rsidRDefault="00FE1D69" w:rsidP="00AE041C">
      <w:pPr>
        <w:pStyle w:val="ListParagraph"/>
        <w:numPr>
          <w:ilvl w:val="0"/>
          <w:numId w:val="17"/>
        </w:numPr>
        <w:spacing w:after="0" w:line="251" w:lineRule="auto"/>
        <w:ind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lastRenderedPageBreak/>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spacing w:after="171" w:line="251" w:lineRule="auto"/>
        <w:ind w:left="-5" w:right="821" w:hanging="10"/>
        <w:jc w:val="both"/>
      </w:pPr>
      <w:r w:rsidRPr="00A44ED4">
        <w:rPr>
          <w:rFonts w:eastAsia="Century"/>
          <w:sz w:val="20"/>
        </w:rPr>
        <w:t xml:space="preserve">An AD contains multiple architecture views; each view adheres to the conventions of an </w:t>
      </w:r>
      <w:r w:rsidRPr="00A44ED4">
        <w:rPr>
          <w:rFonts w:eastAsia="Century"/>
          <w:i/>
          <w:sz w:val="20"/>
        </w:rPr>
        <w:t>architecture viewpoint</w:t>
      </w:r>
      <w:r w:rsidRPr="00A44ED4">
        <w:rPr>
          <w:rFonts w:eastAsia="Century"/>
          <w:sz w:val="20"/>
        </w:rPr>
        <w:t>. This chapter describes the requirements on documenting viewpoints for an AD.</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Include a specification for each architecture viewpoint used in this AD.</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Viewpoints must be chosen for the AD such that each identified concern from </w:t>
      </w:r>
      <w:r w:rsidRPr="00A44ED4">
        <w:rPr>
          <w:rFonts w:eastAsia="Cambria"/>
          <w:color w:val="2F629F"/>
          <w:sz w:val="20"/>
        </w:rPr>
        <w:t>§</w:t>
      </w:r>
      <w:r w:rsidRPr="00A44ED4">
        <w:rPr>
          <w:rFonts w:eastAsia="Century"/>
          <w:color w:val="2F629F"/>
          <w:sz w:val="20"/>
        </w:rPr>
        <w:t>2.2 is framed by at least one viewpoint.</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Provide a rationale for each viewpoint used.</w:t>
      </w:r>
    </w:p>
    <w:p w:rsidR="00974D1F" w:rsidRPr="00A44ED4" w:rsidRDefault="00D73953">
      <w:pPr>
        <w:spacing w:after="171" w:line="251" w:lineRule="auto"/>
        <w:ind w:left="-5" w:right="821" w:hanging="10"/>
        <w:jc w:val="both"/>
      </w:pPr>
      <w:r w:rsidRPr="00A44ED4">
        <w:rPr>
          <w:rFonts w:eastAsia="Century"/>
          <w:sz w:val="20"/>
        </w:rPr>
        <w:lastRenderedPageBreak/>
        <w:t>Rationale could include discussion in terms of its stakeholders, the concerns framed by the viewpoint, relevance of its model kinds and modeling conventions.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Each architecture viewpoint used in the AD must be specified in accordance with the provisions of </w:t>
      </w:r>
      <w:r w:rsidRPr="00A44ED4">
        <w:rPr>
          <w:rFonts w:eastAsia="Century"/>
          <w:color w:val="A43B3C"/>
          <w:sz w:val="20"/>
        </w:rPr>
        <w:t>ISO/IEC/IEEE 42010, 7</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A detailed template for specifying viewpoints in accordance with the Standard is included in </w:t>
      </w:r>
      <w:r w:rsidRPr="00A44ED4">
        <w:rPr>
          <w:rFonts w:eastAsia="Cambria"/>
          <w:sz w:val="20"/>
        </w:rPr>
        <w:t>§</w:t>
      </w:r>
      <w:r w:rsidRPr="00A44ED4">
        <w:rPr>
          <w:rFonts w:eastAsia="Century"/>
          <w:color w:val="2F629F"/>
          <w:sz w:val="20"/>
        </w:rPr>
        <w:t xml:space="preserve">3.1 </w:t>
      </w:r>
      <w:r w:rsidRPr="00A44ED4">
        <w:rPr>
          <w:rFonts w:eastAsia="Century"/>
          <w:sz w:val="20"/>
        </w:rPr>
        <w:t>below.</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r w:rsidRPr="00A44ED4">
        <w:rPr>
          <w:rFonts w:eastAsia="Century"/>
          <w:i/>
          <w:sz w:val="18"/>
        </w:rPr>
        <w:t xml:space="preserve">The latest version of the viewpoint template can be found at </w:t>
      </w:r>
      <w:hyperlink r:id="rId24">
        <w:r w:rsidRPr="00A44ED4">
          <w:rPr>
            <w:i/>
            <w:color w:val="E72582"/>
            <w:sz w:val="18"/>
          </w:rPr>
          <w:t>http://www.iso-architecture.org/42010/templates/</w:t>
        </w:r>
      </w:hyperlink>
      <w:hyperlink r:id="rId25">
        <w:r w:rsidRPr="00A44ED4">
          <w:rPr>
            <w:rFonts w:eastAsia="Century"/>
            <w:i/>
            <w:sz w:val="18"/>
          </w:rPr>
          <w:t>.</w:t>
        </w:r>
      </w:hyperlink>
    </w:p>
    <w:p w:rsidR="00974D1F" w:rsidRPr="00A44ED4" w:rsidRDefault="00D73953">
      <w:pPr>
        <w:spacing w:after="173" w:line="253" w:lineRule="auto"/>
        <w:ind w:left="-5" w:right="821" w:hanging="10"/>
        <w:jc w:val="both"/>
      </w:pPr>
      <w:r w:rsidRPr="00A44ED4">
        <w:rPr>
          <w:rFonts w:eastAsia="Century"/>
          <w:sz w:val="18"/>
        </w:rPr>
        <w:t>Repeat and fill-in viewpoint template as needed for each viewpoint used in the AD.</w:t>
      </w:r>
    </w:p>
    <w:p w:rsidR="00974D1F" w:rsidRPr="00A44ED4" w:rsidRDefault="00D73953">
      <w:pPr>
        <w:spacing w:after="173" w:line="253" w:lineRule="auto"/>
        <w:ind w:left="-5" w:right="821" w:hanging="10"/>
        <w:jc w:val="both"/>
      </w:pPr>
      <w:r w:rsidRPr="00A44ED4">
        <w:rPr>
          <w:rFonts w:eastAsia="Century"/>
          <w:sz w:val="18"/>
        </w:rPr>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w:t>
      </w:r>
      <w:r w:rsidRPr="00A44ED4">
        <w:rPr>
          <w:rFonts w:eastAsia="Cambria"/>
          <w:i/>
          <w:sz w:val="18"/>
        </w:rPr>
        <w:t>v</w:t>
      </w:r>
      <w:r w:rsidRPr="00A44ED4">
        <w:rPr>
          <w:rFonts w:eastAsia="Cambria"/>
          <w:i/>
          <w:sz w:val="18"/>
          <w:vertAlign w:val="subscript"/>
        </w:rPr>
        <w:t>i</w:t>
      </w:r>
      <w:r w:rsidRPr="00A44ED4">
        <w:rPr>
          <w:rFonts w:eastAsia="Century"/>
          <w:sz w:val="18"/>
        </w:rPr>
        <w:t>) and their viewpoints (</w:t>
      </w:r>
      <w:r w:rsidRPr="00A44ED4">
        <w:rPr>
          <w:sz w:val="18"/>
        </w:rPr>
        <w:t>VP</w:t>
      </w:r>
      <w:r w:rsidRPr="00A44ED4">
        <w:rPr>
          <w:rFonts w:eastAsia="Cambria"/>
          <w:i/>
          <w:sz w:val="18"/>
          <w:vertAlign w:val="subscript"/>
        </w:rPr>
        <w:t>i</w:t>
      </w:r>
      <w:r w:rsidRPr="00A44ED4">
        <w:rPr>
          <w:rFonts w:eastAsia="Century"/>
          <w:sz w:val="18"/>
        </w:rPr>
        <w:t>), the architect might consider the following possible arrangements:</w:t>
      </w:r>
    </w:p>
    <w:p w:rsidR="00974D1F" w:rsidRPr="00A44ED4" w:rsidRDefault="00D73953">
      <w:pPr>
        <w:numPr>
          <w:ilvl w:val="0"/>
          <w:numId w:val="3"/>
        </w:numPr>
        <w:spacing w:after="94" w:line="253" w:lineRule="auto"/>
        <w:ind w:right="821" w:hanging="192"/>
        <w:jc w:val="both"/>
      </w:pPr>
      <w:r w:rsidRPr="00A44ED4">
        <w:rPr>
          <w:rFonts w:eastAsia="Century"/>
          <w:sz w:val="18"/>
        </w:rPr>
        <w:t xml:space="preserve">Viewpoints, first: </w:t>
      </w:r>
      <w:r w:rsidRPr="00A44ED4">
        <w:rPr>
          <w:sz w:val="18"/>
        </w:rPr>
        <w:t>VP</w:t>
      </w:r>
      <w:r w:rsidRPr="00A44ED4">
        <w:rPr>
          <w:rFonts w:eastAsia="Cambria"/>
          <w:i/>
          <w:sz w:val="18"/>
          <w:vertAlign w:val="subscript"/>
        </w:rPr>
        <w:t>i</w:t>
      </w:r>
      <w:r w:rsidRPr="00A44ED4">
        <w:rPr>
          <w:rFonts w:eastAsia="Century"/>
          <w:sz w:val="18"/>
        </w:rPr>
        <w:t xml:space="preserve">, followed by the views: </w:t>
      </w:r>
      <w:r w:rsidRPr="00A44ED4">
        <w:rPr>
          <w:rFonts w:eastAsia="Cambria"/>
          <w:i/>
          <w:sz w:val="18"/>
        </w:rPr>
        <w:t>v</w:t>
      </w:r>
      <w:r w:rsidRPr="00A44ED4">
        <w:rPr>
          <w:rFonts w:eastAsia="Cambria"/>
          <w:i/>
          <w:sz w:val="18"/>
          <w:vertAlign w:val="subscript"/>
        </w:rPr>
        <w:t>i</w:t>
      </w:r>
    </w:p>
    <w:p w:rsidR="00974D1F" w:rsidRPr="00A44ED4" w:rsidRDefault="00D73953">
      <w:pPr>
        <w:numPr>
          <w:ilvl w:val="0"/>
          <w:numId w:val="3"/>
        </w:numPr>
        <w:spacing w:after="92" w:line="253" w:lineRule="auto"/>
        <w:ind w:right="821" w:hanging="192"/>
        <w:jc w:val="both"/>
      </w:pPr>
      <w:r w:rsidRPr="00A44ED4">
        <w:rPr>
          <w:rFonts w:eastAsia="Century"/>
          <w:sz w:val="18"/>
        </w:rPr>
        <w:t xml:space="preserve">Interleaved views with their viewpoints: </w:t>
      </w:r>
      <w:r w:rsidRPr="00A44ED4">
        <w:rPr>
          <w:rFonts w:eastAsia="Cambria"/>
          <w:i/>
          <w:sz w:val="18"/>
        </w:rPr>
        <w:t>v</w:t>
      </w:r>
      <w:r w:rsidRPr="00A44ED4">
        <w:rPr>
          <w:rFonts w:eastAsia="Cambria"/>
          <w:i/>
          <w:sz w:val="18"/>
          <w:vertAlign w:val="subscript"/>
        </w:rPr>
        <w:t>i</w:t>
      </w:r>
      <w:r w:rsidRPr="00A44ED4">
        <w:rPr>
          <w:rFonts w:eastAsia="Century"/>
          <w:sz w:val="18"/>
        </w:rPr>
        <w:t xml:space="preserve">, </w:t>
      </w:r>
      <w:r w:rsidRPr="00A44ED4">
        <w:rPr>
          <w:sz w:val="18"/>
        </w:rPr>
        <w:t>VP</w:t>
      </w:r>
      <w:r w:rsidRPr="00A44ED4">
        <w:rPr>
          <w:rFonts w:eastAsia="Cambria"/>
          <w:i/>
          <w:sz w:val="18"/>
          <w:vertAlign w:val="subscript"/>
        </w:rPr>
        <w:t>i</w:t>
      </w:r>
      <w:r w:rsidRPr="00A44ED4">
        <w:rPr>
          <w:rFonts w:eastAsia="Century"/>
          <w:sz w:val="18"/>
        </w:rPr>
        <w:t xml:space="preserve">, </w:t>
      </w:r>
      <w:r w:rsidRPr="00A44ED4">
        <w:rPr>
          <w:rFonts w:eastAsia="Cambria"/>
          <w:i/>
          <w:sz w:val="18"/>
        </w:rPr>
        <w:t>v</w:t>
      </w:r>
      <w:r w:rsidRPr="00A44ED4">
        <w:rPr>
          <w:rFonts w:eastAsia="Cambria"/>
          <w:i/>
          <w:sz w:val="18"/>
          <w:vertAlign w:val="subscript"/>
        </w:rPr>
        <w:t>j</w:t>
      </w:r>
      <w:r w:rsidRPr="00A44ED4">
        <w:rPr>
          <w:rFonts w:eastAsia="Century"/>
          <w:sz w:val="18"/>
        </w:rPr>
        <w:t xml:space="preserve">, </w:t>
      </w:r>
      <w:r w:rsidRPr="00A44ED4">
        <w:rPr>
          <w:sz w:val="18"/>
        </w:rPr>
        <w:t>VP</w:t>
      </w:r>
      <w:r w:rsidRPr="00A44ED4">
        <w:rPr>
          <w:rFonts w:eastAsia="Cambria"/>
          <w:i/>
          <w:sz w:val="18"/>
          <w:vertAlign w:val="subscript"/>
        </w:rPr>
        <w:t>j</w:t>
      </w:r>
      <w:r w:rsidRPr="00A44ED4">
        <w:rPr>
          <w:rFonts w:eastAsia="Century"/>
          <w:sz w:val="18"/>
        </w:rPr>
        <w:t>, . . .</w:t>
      </w:r>
    </w:p>
    <w:p w:rsidR="00974D1F" w:rsidRPr="00A44ED4" w:rsidRDefault="00D73953">
      <w:pPr>
        <w:numPr>
          <w:ilvl w:val="0"/>
          <w:numId w:val="3"/>
        </w:numPr>
        <w:spacing w:after="625" w:line="253" w:lineRule="auto"/>
        <w:ind w:right="821" w:hanging="192"/>
        <w:jc w:val="both"/>
      </w:pPr>
      <w:r w:rsidRPr="00A44ED4">
        <w:rPr>
          <w:rFonts w:eastAsia="Century"/>
          <w:sz w:val="18"/>
        </w:rPr>
        <w:t xml:space="preserve">Views up front: </w:t>
      </w:r>
      <w:r w:rsidRPr="00A44ED4">
        <w:rPr>
          <w:rFonts w:eastAsia="Cambria"/>
          <w:i/>
          <w:sz w:val="18"/>
        </w:rPr>
        <w:t>v</w:t>
      </w:r>
      <w:r w:rsidRPr="00A44ED4">
        <w:rPr>
          <w:rFonts w:eastAsia="Cambria"/>
          <w:i/>
          <w:sz w:val="18"/>
          <w:vertAlign w:val="subscript"/>
        </w:rPr>
        <w:t xml:space="preserve">i </w:t>
      </w:r>
      <w:r w:rsidRPr="00A44ED4">
        <w:rPr>
          <w:rFonts w:eastAsia="Century"/>
          <w:sz w:val="18"/>
        </w:rPr>
        <w:t xml:space="preserve">with the viewpoints deferred to appendices, </w:t>
      </w:r>
      <w:r w:rsidRPr="00A44ED4">
        <w:rPr>
          <w:sz w:val="18"/>
        </w:rPr>
        <w:t>VP</w:t>
      </w:r>
      <w:r w:rsidRPr="00A44ED4">
        <w:rPr>
          <w:rFonts w:eastAsia="Cambria"/>
          <w:i/>
          <w:sz w:val="18"/>
          <w:vertAlign w:val="subscript"/>
        </w:rPr>
        <w:t>i</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9F0D55" w:rsidRPr="00A44ED4">
        <w:rPr>
          <w:rFonts w:ascii="Calibri" w:eastAsia="Cambria" w:hAnsi="Calibri" w:cs="Calibri"/>
          <w:b w:val="0"/>
          <w:i/>
          <w:color w:val="E4322B"/>
        </w:rPr>
        <w:t>Context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All systems exist in some larger environment, be it a department, an organisation’s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BorrowMyBooks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lastRenderedPageBreak/>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database system which BorrowMyBooks</w:t>
      </w:r>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A44ED4">
        <w:rPr>
          <w:rFonts w:ascii="Calibri" w:hAnsi="Calibri" w:cs="Calibri"/>
          <w:sz w:val="24"/>
          <w:highlight w:val="yellow"/>
        </w:rPr>
        <w:lastRenderedPageBreak/>
        <w:t>3.1.4</w:t>
      </w:r>
      <w:r w:rsidRPr="00A44ED4">
        <w:rPr>
          <w:rFonts w:ascii="Calibri" w:hAnsi="Calibri" w:cs="Calibri"/>
          <w:sz w:val="24"/>
          <w:highlight w:val="yellow"/>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25131B">
      <w:pPr>
        <w:pStyle w:val="ListParagraph"/>
        <w:numPr>
          <w:ilvl w:val="0"/>
          <w:numId w:val="16"/>
        </w:numPr>
      </w:pPr>
    </w:p>
    <w:p w:rsidR="0025131B" w:rsidRPr="00A44ED4" w:rsidRDefault="0025131B" w:rsidP="0025131B"/>
    <w:p w:rsidR="0025131B" w:rsidRPr="00A44ED4" w:rsidRDefault="0025131B" w:rsidP="0025131B"/>
    <w:p w:rsidR="0025131B" w:rsidRPr="00A44ED4" w:rsidRDefault="0025131B" w:rsidP="0025131B"/>
    <w:p w:rsidR="0025131B" w:rsidRPr="00A44ED4" w:rsidRDefault="0025131B" w:rsidP="0025131B"/>
    <w:p w:rsidR="0025131B" w:rsidRPr="00A44ED4" w:rsidRDefault="0025131B" w:rsidP="0025131B">
      <w:pPr>
        <w:pStyle w:val="Heading4"/>
        <w:tabs>
          <w:tab w:val="center" w:pos="2402"/>
        </w:tabs>
        <w:spacing w:after="211"/>
        <w:ind w:left="-15" w:firstLine="0"/>
        <w:rPr>
          <w:rFonts w:ascii="Calibri" w:hAnsi="Calibri" w:cs="Calibri"/>
        </w:rPr>
      </w:pPr>
      <w:r w:rsidRPr="00A44ED4">
        <w:rPr>
          <w:rFonts w:ascii="Calibri" w:hAnsi="Calibri" w:cs="Calibri"/>
          <w:sz w:val="24"/>
        </w:rPr>
        <w:t>3.1.5</w:t>
      </w:r>
      <w:r w:rsidRPr="00A44ED4">
        <w:rPr>
          <w:rFonts w:ascii="Calibri" w:hAnsi="Calibri" w:cs="Calibri"/>
          <w:sz w:val="24"/>
        </w:rPr>
        <w:tab/>
        <w:t xml:space="preserve">“Anti-concerns” </w:t>
      </w:r>
      <w:r w:rsidRPr="00A44ED4">
        <w:rPr>
          <w:rFonts w:ascii="Calibri" w:eastAsia="Calibri" w:hAnsi="Calibri" w:cs="Calibri"/>
          <w:b w:val="0"/>
          <w:color w:val="999A9A"/>
          <w:sz w:val="24"/>
        </w:rPr>
        <w:t>(</w:t>
      </w:r>
      <w:r w:rsidRPr="00A44ED4">
        <w:rPr>
          <w:rFonts w:ascii="Calibri" w:hAnsi="Calibri" w:cs="Calibri"/>
          <w:color w:val="999A9A"/>
          <w:sz w:val="24"/>
        </w:rPr>
        <w:t>optional)</w:t>
      </w:r>
    </w:p>
    <w:p w:rsidR="0025131B" w:rsidRPr="00A44ED4" w:rsidRDefault="0025131B" w:rsidP="0025131B">
      <w:pPr>
        <w:spacing w:after="173" w:line="253" w:lineRule="auto"/>
        <w:ind w:left="-5" w:right="821" w:hanging="10"/>
        <w:jc w:val="both"/>
      </w:pPr>
      <w:r w:rsidRPr="00A44ED4">
        <w:rPr>
          <w:rFonts w:eastAsia="Century"/>
          <w:sz w:val="18"/>
        </w:rPr>
        <w:t xml:space="preserve">It may be helpful to architects and stakeholders to document the kinds of issues for which this viewpoint is </w:t>
      </w:r>
      <w:r w:rsidRPr="00A44ED4">
        <w:rPr>
          <w:rFonts w:eastAsia="Century"/>
          <w:i/>
          <w:sz w:val="18"/>
        </w:rPr>
        <w:t>not appropriate or not particularly useful</w:t>
      </w:r>
      <w:r w:rsidRPr="00A44ED4">
        <w:rPr>
          <w:rFonts w:eastAsia="Century"/>
          <w:sz w:val="18"/>
        </w:rPr>
        <w:t>.</w:t>
      </w:r>
    </w:p>
    <w:p w:rsidR="0025131B" w:rsidRPr="00A44ED4" w:rsidRDefault="0025131B" w:rsidP="0025131B">
      <w:pPr>
        <w:spacing w:after="621" w:line="253" w:lineRule="auto"/>
        <w:ind w:left="-5" w:right="821" w:hanging="10"/>
        <w:jc w:val="both"/>
        <w:rPr>
          <w:rFonts w:eastAsia="Century"/>
          <w:sz w:val="18"/>
        </w:rPr>
      </w:pPr>
      <w:r w:rsidRPr="00A44ED4">
        <w:rPr>
          <w:rFonts w:eastAsia="Century"/>
          <w:sz w:val="18"/>
        </w:rPr>
        <w:t>Identifying the “anti-concerns” of a given notation or approach may be a good antidote for certain overly used models and notations.</w:t>
      </w:r>
    </w:p>
    <w:p w:rsidR="0025131B" w:rsidRPr="00A44ED4" w:rsidRDefault="0025131B" w:rsidP="0025131B"/>
    <w:p w:rsidR="0025131B" w:rsidRPr="00A44ED4" w:rsidRDefault="0025131B" w:rsidP="0025131B"/>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r w:rsidRPr="00A44ED4">
        <w:rPr>
          <w:rFonts w:ascii="Calibri" w:hAnsi="Calibri" w:cs="Calibri"/>
        </w:rPr>
        <w:t xml:space="preserve">3.2 </w:t>
      </w:r>
      <w:r w:rsidR="0025131B" w:rsidRPr="00A44ED4">
        <w:rPr>
          <w:rFonts w:ascii="Calibri" w:hAnsi="Calibri" w:cs="Calibri"/>
        </w:rPr>
        <w:t xml:space="preserve"> </w:t>
      </w:r>
      <w:r w:rsidRPr="00A44ED4">
        <w:rPr>
          <w:rFonts w:ascii="Calibri" w:eastAsia="Cambria" w:hAnsi="Calibri" w:cs="Calibri"/>
          <w:b w:val="0"/>
          <w:i/>
          <w:color w:val="E4322B"/>
        </w:rPr>
        <w:t>Context Viewpoint</w:t>
      </w:r>
    </w:p>
    <w:p w:rsidR="00E35305" w:rsidRPr="00A44ED4"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E35305" w:rsidP="00E35305">
      <w:r w:rsidRPr="00A44ED4">
        <w:t xml:space="preserve">All systems exist in some larger environment, be it a department, an organisation’s IT environment, a mobile communications system or even a virtual world. The Context view aims to elaborate on the existence and technical relationships of this environment that this system has with elements of the wider environment.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lastRenderedPageBreak/>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E35305" w:rsidRPr="00A44ED4" w:rsidRDefault="00E35305" w:rsidP="00E35305">
      <w:pPr>
        <w:rPr>
          <w:u w:val="single"/>
        </w:rPr>
      </w:pPr>
      <w:r w:rsidRPr="00A44ED4">
        <w:rPr>
          <w:u w:val="single"/>
        </w:rPr>
        <w:t>Identity and Responsibilities of External Entities:</w:t>
      </w:r>
    </w:p>
    <w:p w:rsidR="00E35305" w:rsidRPr="00A44ED4" w:rsidRDefault="00E35305" w:rsidP="00E35305">
      <w:r w:rsidRPr="00A44ED4">
        <w:t>The BorrowMyBooks system has a set of entities, internally and externally, with which it interacts through its processes. This set consists of human entities, mainly general users of the application. The responsibilities of the general user which interacts with the system is to:</w:t>
      </w:r>
    </w:p>
    <w:p w:rsidR="00E35305" w:rsidRPr="00A44ED4" w:rsidRDefault="00E35305" w:rsidP="00E35305">
      <w:pPr>
        <w:pStyle w:val="ListParagraph"/>
        <w:numPr>
          <w:ilvl w:val="0"/>
          <w:numId w:val="12"/>
        </w:numPr>
      </w:pPr>
      <w:r w:rsidRPr="00A44ED4">
        <w:t>Sign up on the system as an active user</w:t>
      </w:r>
    </w:p>
    <w:p w:rsidR="00E35305" w:rsidRPr="00A44ED4" w:rsidRDefault="00E35305" w:rsidP="00E35305">
      <w:pPr>
        <w:pStyle w:val="ListParagraph"/>
        <w:numPr>
          <w:ilvl w:val="0"/>
          <w:numId w:val="12"/>
        </w:numPr>
      </w:pPr>
      <w:r w:rsidRPr="00A44ED4">
        <w:t>Login to the system with their personal account details</w:t>
      </w:r>
    </w:p>
    <w:p w:rsidR="00E35305" w:rsidRPr="00A44ED4" w:rsidRDefault="00E35305" w:rsidP="00E35305">
      <w:pPr>
        <w:pStyle w:val="ListParagraph"/>
        <w:numPr>
          <w:ilvl w:val="0"/>
          <w:numId w:val="12"/>
        </w:numPr>
      </w:pPr>
      <w:r w:rsidRPr="00A44ED4">
        <w:t xml:space="preserve">Browse the available books and their details </w:t>
      </w:r>
    </w:p>
    <w:p w:rsidR="00E35305" w:rsidRPr="00A44ED4" w:rsidRDefault="00E35305" w:rsidP="00E35305">
      <w:pPr>
        <w:pStyle w:val="ListParagraph"/>
        <w:numPr>
          <w:ilvl w:val="0"/>
          <w:numId w:val="12"/>
        </w:numPr>
      </w:pPr>
      <w:r w:rsidRPr="00A44ED4">
        <w:t>Transact through the system, through either purchasing or buying a book</w:t>
      </w:r>
    </w:p>
    <w:p w:rsidR="00E35305" w:rsidRPr="00A44ED4" w:rsidRDefault="00E35305" w:rsidP="00E35305">
      <w:pPr>
        <w:pStyle w:val="ListParagraph"/>
        <w:numPr>
          <w:ilvl w:val="0"/>
          <w:numId w:val="12"/>
        </w:numPr>
      </w:pPr>
      <w:r w:rsidRPr="00A44ED4">
        <w:t>Upload books to be sold or rented out</w:t>
      </w:r>
    </w:p>
    <w:p w:rsidR="00E35305" w:rsidRPr="00A44ED4" w:rsidRDefault="00E35305" w:rsidP="00E35305">
      <w:pPr>
        <w:pStyle w:val="ListParagraph"/>
        <w:numPr>
          <w:ilvl w:val="0"/>
          <w:numId w:val="12"/>
        </w:numPr>
      </w:pPr>
      <w:r w:rsidRPr="00A44ED4">
        <w:t>Rate users for their reliability as buyers/sellers on the system</w:t>
      </w:r>
    </w:p>
    <w:p w:rsidR="00E35305" w:rsidRPr="00A44ED4" w:rsidRDefault="00E35305" w:rsidP="00E35305">
      <w:pPr>
        <w:pStyle w:val="ListParagraph"/>
        <w:numPr>
          <w:ilvl w:val="0"/>
          <w:numId w:val="12"/>
        </w:numPr>
      </w:pPr>
      <w:r w:rsidRPr="00A44ED4">
        <w:t>Report users for abusive or unethical behavior on the system</w:t>
      </w:r>
    </w:p>
    <w:p w:rsidR="00E35305" w:rsidRPr="00A44ED4" w:rsidRDefault="00E35305" w:rsidP="00E35305">
      <w:r w:rsidRPr="00A44ED4">
        <w:t>Another external user is the administrator of the system. The administrator of the system has more complex responsibilities regarding the functioning of the system which are stated below.</w:t>
      </w:r>
    </w:p>
    <w:p w:rsidR="00E35305" w:rsidRPr="00A44ED4" w:rsidRDefault="00E35305" w:rsidP="00E35305">
      <w:pPr>
        <w:pStyle w:val="ListParagraph"/>
        <w:numPr>
          <w:ilvl w:val="0"/>
          <w:numId w:val="13"/>
        </w:numPr>
      </w:pPr>
      <w:r w:rsidRPr="00A44ED4">
        <w:t>Signing in to the system with their relevant admin details.</w:t>
      </w:r>
    </w:p>
    <w:p w:rsidR="00E35305" w:rsidRPr="00A44ED4" w:rsidRDefault="00E35305" w:rsidP="00E35305">
      <w:pPr>
        <w:pStyle w:val="ListParagraph"/>
        <w:numPr>
          <w:ilvl w:val="0"/>
          <w:numId w:val="13"/>
        </w:numPr>
      </w:pPr>
      <w:r w:rsidRPr="00A44ED4">
        <w:t>View reported users and block or suspend their interaction with the system depending on the severity of their abusive behavior on the system.</w:t>
      </w:r>
    </w:p>
    <w:p w:rsidR="00E35305" w:rsidRPr="00A44ED4" w:rsidRDefault="00E35305" w:rsidP="00E35305">
      <w:pPr>
        <w:pStyle w:val="ListParagraph"/>
        <w:numPr>
          <w:ilvl w:val="0"/>
          <w:numId w:val="13"/>
        </w:numPr>
      </w:pPr>
      <w:r w:rsidRPr="00A44ED4">
        <w:t>Solve problems that arise with transactions which user attempt to make through the system</w:t>
      </w:r>
    </w:p>
    <w:p w:rsidR="00E35305" w:rsidRPr="00A44ED4" w:rsidRDefault="00E35305" w:rsidP="00E35305">
      <w:pPr>
        <w:pStyle w:val="ListParagraph"/>
        <w:numPr>
          <w:ilvl w:val="0"/>
          <w:numId w:val="13"/>
        </w:numPr>
      </w:pPr>
      <w:r w:rsidRPr="00A44ED4">
        <w:t>Monitor the performance of the system and make sure that any bugs which may arise are eradicated.</w:t>
      </w:r>
    </w:p>
    <w:p w:rsidR="00E35305" w:rsidRPr="00A44ED4" w:rsidRDefault="00E35305" w:rsidP="00E35305">
      <w:r w:rsidRPr="00A44ED4">
        <w:t>Most important for the proper functioning of the system, is the database system which BorrowMyBooks relies on to store and manage all the data. The responsibilities of the database are as follows:</w:t>
      </w:r>
    </w:p>
    <w:p w:rsidR="00E35305" w:rsidRPr="00A44ED4" w:rsidRDefault="00E35305" w:rsidP="00E35305">
      <w:pPr>
        <w:pStyle w:val="ListParagraph"/>
        <w:numPr>
          <w:ilvl w:val="0"/>
          <w:numId w:val="14"/>
        </w:numPr>
        <w:ind w:left="720"/>
      </w:pPr>
      <w:r w:rsidRPr="00A44ED4">
        <w:t xml:space="preserve">Storing all information of users who are signed up on the system in a secure way. </w:t>
      </w:r>
    </w:p>
    <w:p w:rsidR="00E35305" w:rsidRPr="00A44ED4" w:rsidRDefault="00E35305" w:rsidP="00E35305">
      <w:pPr>
        <w:pStyle w:val="ListParagraph"/>
        <w:numPr>
          <w:ilvl w:val="0"/>
          <w:numId w:val="14"/>
        </w:numPr>
        <w:ind w:left="720"/>
      </w:pPr>
      <w:r w:rsidRPr="00A44ED4">
        <w:t xml:space="preserve">Storing all information of books which are registered on the system for sale or rent, and the availability of each specific book. </w:t>
      </w:r>
    </w:p>
    <w:p w:rsidR="00E35305" w:rsidRPr="00A44ED4" w:rsidRDefault="00E35305" w:rsidP="00E35305">
      <w:pPr>
        <w:pStyle w:val="ListParagraph"/>
        <w:numPr>
          <w:ilvl w:val="0"/>
          <w:numId w:val="14"/>
        </w:numPr>
        <w:ind w:left="720"/>
      </w:pPr>
      <w:r w:rsidRPr="00A44ED4">
        <w:t>Provide a reliable and secure connection to the system to avoid external entities tapping into private system data</w:t>
      </w:r>
    </w:p>
    <w:p w:rsidR="00E35305" w:rsidRPr="00A44ED4" w:rsidRDefault="00E35305" w:rsidP="00E35305">
      <w:r w:rsidRPr="00A44ED4">
        <w:rPr>
          <w:u w:val="single"/>
        </w:rPr>
        <w:t>Nature of External Connections:</w:t>
      </w:r>
    </w:p>
    <w:p w:rsidR="00E35305" w:rsidRPr="00A44ED4" w:rsidRDefault="00E35305" w:rsidP="00E35305">
      <w:r w:rsidRPr="00A44ED4">
        <w:t>Each external actor on the system has its own way of interacting with the system. The different communication methods for each user is stated below.</w:t>
      </w:r>
    </w:p>
    <w:p w:rsidR="00E35305" w:rsidRPr="00A44ED4" w:rsidRDefault="00E35305" w:rsidP="00E35305">
      <w:pPr>
        <w:pStyle w:val="ListParagraph"/>
        <w:numPr>
          <w:ilvl w:val="0"/>
          <w:numId w:val="15"/>
        </w:numPr>
      </w:pPr>
      <w:r w:rsidRPr="00A44ED4">
        <w:lastRenderedPageBreak/>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and responsibilities of a general user of the system as described above. </w:t>
      </w:r>
    </w:p>
    <w:p w:rsidR="00E35305" w:rsidRPr="00A44ED4" w:rsidRDefault="00E35305" w:rsidP="00E35305">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E35305" w:rsidRPr="00A44ED4" w:rsidRDefault="00E35305" w:rsidP="00E35305">
      <w:pPr>
        <w:pStyle w:val="ListParagraph"/>
        <w:numPr>
          <w:ilvl w:val="0"/>
          <w:numId w:val="15"/>
        </w:numPr>
      </w:pPr>
      <w:r w:rsidRPr="00A44ED4">
        <w:t xml:space="preserve">Database system communications: The system </w:t>
      </w:r>
    </w:p>
    <w:p w:rsidR="00E35305" w:rsidRPr="00A44ED4" w:rsidRDefault="00E35305" w:rsidP="00E35305"/>
    <w:p w:rsidR="00E35305" w:rsidRPr="00A44ED4" w:rsidRDefault="00E35305" w:rsidP="00E35305">
      <w:pPr>
        <w:ind w:left="720"/>
      </w:pPr>
    </w:p>
    <w:p w:rsidR="00E35305" w:rsidRPr="00A44ED4" w:rsidRDefault="00E35305" w:rsidP="00E35305"/>
    <w:p w:rsidR="00E35305" w:rsidRPr="00A44ED4" w:rsidRDefault="00E35305" w:rsidP="00E35305">
      <w:pPr>
        <w:spacing w:after="500" w:line="265" w:lineRule="auto"/>
        <w:rPr>
          <w:rFonts w:eastAsia="Century"/>
          <w:color w:val="auto"/>
          <w:sz w:val="18"/>
        </w:rPr>
      </w:pPr>
    </w:p>
    <w:p w:rsidR="00E35305" w:rsidRPr="00A44ED4" w:rsidRDefault="00E35305" w:rsidP="00E35305">
      <w:pPr>
        <w:spacing w:after="500" w:line="265" w:lineRule="auto"/>
        <w:ind w:left="-5" w:hanging="10"/>
      </w:pPr>
    </w:p>
    <w:p w:rsidR="00E35305" w:rsidRPr="00A44ED4" w:rsidRDefault="00E35305" w:rsidP="00E35305">
      <w:pPr>
        <w:pStyle w:val="Heading4"/>
        <w:tabs>
          <w:tab w:val="center" w:pos="2082"/>
        </w:tabs>
        <w:spacing w:after="233"/>
        <w:ind w:left="-15" w:firstLine="0"/>
        <w:rPr>
          <w:rFonts w:ascii="Calibri" w:hAnsi="Calibri" w:cs="Calibri"/>
          <w:sz w:val="24"/>
        </w:rPr>
      </w:pPr>
      <w:r w:rsidRPr="00A44ED4">
        <w:rPr>
          <w:rFonts w:ascii="Calibri" w:hAnsi="Calibri" w:cs="Calibri"/>
          <w:sz w:val="24"/>
          <w:highlight w:val="yellow"/>
        </w:rPr>
        <w:t>3.2.4</w:t>
      </w:r>
      <w:r w:rsidRPr="00A44ED4">
        <w:rPr>
          <w:rFonts w:ascii="Calibri" w:hAnsi="Calibri" w:cs="Calibri"/>
          <w:sz w:val="24"/>
          <w:highlight w:val="yellow"/>
        </w:rPr>
        <w:tab/>
        <w:t>Typical stakeholders</w:t>
      </w:r>
    </w:p>
    <w:p w:rsidR="00E35305" w:rsidRPr="00A44ED4" w:rsidRDefault="00E35305" w:rsidP="00E35305">
      <w:r w:rsidRPr="00A44ED4">
        <w:t>The potential stakeholders in this view are listed below:</w:t>
      </w:r>
    </w:p>
    <w:p w:rsidR="00E35305" w:rsidRPr="00A44ED4" w:rsidRDefault="00E35305" w:rsidP="00E35305">
      <w:pPr>
        <w:pStyle w:val="ListParagraph"/>
        <w:numPr>
          <w:ilvl w:val="0"/>
          <w:numId w:val="16"/>
        </w:numPr>
      </w:pPr>
      <w:r w:rsidRPr="00A44ED4">
        <w:t>General users of a system willing to purchase or rent a book</w:t>
      </w:r>
    </w:p>
    <w:p w:rsidR="00E35305" w:rsidRPr="00A44ED4" w:rsidRDefault="00E35305" w:rsidP="00E35305">
      <w:pPr>
        <w:pStyle w:val="ListParagraph"/>
        <w:numPr>
          <w:ilvl w:val="0"/>
          <w:numId w:val="16"/>
        </w:numPr>
      </w:pPr>
      <w:r w:rsidRPr="00A44ED4">
        <w:t>General users of the system who are willing to sell or rent a book out through the system.</w:t>
      </w:r>
    </w:p>
    <w:p w:rsidR="00E35305" w:rsidRPr="00A44ED4" w:rsidRDefault="00E35305" w:rsidP="00E35305">
      <w:pPr>
        <w:pStyle w:val="ListParagraph"/>
        <w:numPr>
          <w:ilvl w:val="0"/>
          <w:numId w:val="16"/>
        </w:numPr>
      </w:pPr>
      <w:r w:rsidRPr="00A44ED4">
        <w:t>Administrators.</w:t>
      </w:r>
    </w:p>
    <w:p w:rsidR="00E35305" w:rsidRPr="00A44ED4" w:rsidRDefault="00E35305" w:rsidP="00E35305">
      <w:pPr>
        <w:pStyle w:val="ListParagraph"/>
        <w:numPr>
          <w:ilvl w:val="0"/>
          <w:numId w:val="16"/>
        </w:numPr>
      </w:pPr>
      <w:r w:rsidRPr="00A44ED4">
        <w:t>Database administrators</w:t>
      </w:r>
    </w:p>
    <w:p w:rsidR="00E35305" w:rsidRPr="00A44ED4" w:rsidRDefault="00E35305" w:rsidP="00E35305">
      <w:pPr>
        <w:pStyle w:val="ListParagraph"/>
        <w:numPr>
          <w:ilvl w:val="0"/>
          <w:numId w:val="16"/>
        </w:numPr>
      </w:pP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Pr>
        <w:pStyle w:val="Heading4"/>
        <w:tabs>
          <w:tab w:val="center" w:pos="2402"/>
        </w:tabs>
        <w:spacing w:after="211"/>
        <w:ind w:left="-15" w:firstLine="0"/>
        <w:rPr>
          <w:rFonts w:ascii="Calibri" w:hAnsi="Calibri" w:cs="Calibri"/>
        </w:rPr>
      </w:pPr>
      <w:r w:rsidRPr="00A44ED4">
        <w:rPr>
          <w:rFonts w:ascii="Calibri" w:hAnsi="Calibri" w:cs="Calibri"/>
          <w:sz w:val="24"/>
        </w:rPr>
        <w:t>3.2.5</w:t>
      </w:r>
      <w:r w:rsidRPr="00A44ED4">
        <w:rPr>
          <w:rFonts w:ascii="Calibri" w:hAnsi="Calibri" w:cs="Calibri"/>
          <w:sz w:val="24"/>
        </w:rPr>
        <w:tab/>
        <w:t xml:space="preserve">“Anti-concerns” </w:t>
      </w:r>
      <w:r w:rsidRPr="00A44ED4">
        <w:rPr>
          <w:rFonts w:ascii="Calibri" w:eastAsia="Calibri" w:hAnsi="Calibri" w:cs="Calibri"/>
          <w:b w:val="0"/>
          <w:color w:val="999A9A"/>
          <w:sz w:val="24"/>
        </w:rPr>
        <w:t>(</w:t>
      </w:r>
      <w:r w:rsidRPr="00A44ED4">
        <w:rPr>
          <w:rFonts w:ascii="Calibri" w:hAnsi="Calibri" w:cs="Calibri"/>
          <w:color w:val="999A9A"/>
          <w:sz w:val="24"/>
        </w:rPr>
        <w:t>optional)</w:t>
      </w:r>
    </w:p>
    <w:p w:rsidR="00E35305" w:rsidRPr="00A44ED4" w:rsidRDefault="00E35305" w:rsidP="00E35305">
      <w:pPr>
        <w:spacing w:after="173" w:line="253" w:lineRule="auto"/>
        <w:ind w:left="-5" w:right="821" w:hanging="10"/>
        <w:jc w:val="both"/>
      </w:pPr>
      <w:r w:rsidRPr="00A44ED4">
        <w:rPr>
          <w:rFonts w:eastAsia="Century"/>
          <w:sz w:val="18"/>
        </w:rPr>
        <w:t xml:space="preserve">It may be helpful to architects and stakeholders to document the kinds of issues for which this viewpoint is </w:t>
      </w:r>
      <w:r w:rsidRPr="00A44ED4">
        <w:rPr>
          <w:rFonts w:eastAsia="Century"/>
          <w:i/>
          <w:sz w:val="18"/>
        </w:rPr>
        <w:t>not appropriate or not particularly useful</w:t>
      </w:r>
      <w:r w:rsidRPr="00A44ED4">
        <w:rPr>
          <w:rFonts w:eastAsia="Century"/>
          <w:sz w:val="18"/>
        </w:rPr>
        <w:t>.</w:t>
      </w:r>
    </w:p>
    <w:p w:rsidR="00E35305" w:rsidRPr="00A44ED4" w:rsidRDefault="00E35305" w:rsidP="00E35305">
      <w:pPr>
        <w:spacing w:after="621" w:line="253" w:lineRule="auto"/>
        <w:ind w:left="-5" w:right="821" w:hanging="10"/>
        <w:jc w:val="both"/>
        <w:rPr>
          <w:rFonts w:eastAsia="Century"/>
          <w:sz w:val="18"/>
        </w:rPr>
      </w:pPr>
      <w:r w:rsidRPr="00A44ED4">
        <w:rPr>
          <w:rFonts w:eastAsia="Century"/>
          <w:sz w:val="18"/>
        </w:rPr>
        <w:t>Identifying the “anti-concerns” of a given notation or approach may be a good antidote for certain overly used models and notations.</w:t>
      </w:r>
    </w:p>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D73953">
      <w:pPr>
        <w:pStyle w:val="Heading3"/>
        <w:tabs>
          <w:tab w:val="center" w:pos="1696"/>
        </w:tabs>
        <w:spacing w:after="236"/>
        <w:ind w:left="-15" w:firstLine="0"/>
        <w:rPr>
          <w:rFonts w:ascii="Calibri" w:hAnsi="Calibri" w:cs="Calibri"/>
        </w:rPr>
      </w:pPr>
      <w:r w:rsidRPr="00A44ED4">
        <w:rPr>
          <w:rFonts w:ascii="Calibri" w:hAnsi="Calibri" w:cs="Calibri"/>
          <w:sz w:val="29"/>
        </w:rPr>
        <w:t>3.4</w:t>
      </w:r>
      <w:r w:rsidRPr="00A44ED4">
        <w:rPr>
          <w:rFonts w:ascii="Calibri" w:hAnsi="Calibri" w:cs="Calibri"/>
          <w:sz w:val="29"/>
        </w:rPr>
        <w:tab/>
        <w:t>Model kinds+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each model kind used in the viewpoint per </w:t>
      </w:r>
      <w:r w:rsidRPr="00A44ED4">
        <w:rPr>
          <w:rFonts w:eastAsia="Century"/>
          <w:color w:val="A43B3C"/>
          <w:sz w:val="18"/>
        </w:rPr>
        <w:t>ISO/IEC/IEEE 42010, 7c</w:t>
      </w:r>
      <w:r w:rsidRPr="00A44ED4">
        <w:rPr>
          <w:rFonts w:eastAsia="Century"/>
          <w:color w:val="2F629F"/>
          <w:sz w:val="18"/>
        </w:rPr>
        <w:t>.</w:t>
      </w:r>
    </w:p>
    <w:p w:rsidR="00974D1F" w:rsidRPr="00A44ED4" w:rsidRDefault="00D73953">
      <w:pPr>
        <w:spacing w:after="7" w:line="253" w:lineRule="auto"/>
        <w:ind w:left="-5" w:right="821" w:hanging="10"/>
        <w:jc w:val="both"/>
      </w:pPr>
      <w:r w:rsidRPr="00A44ED4">
        <w:rPr>
          <w:rFonts w:eastAsia="Century"/>
          <w:sz w:val="18"/>
        </w:rPr>
        <w:t xml:space="preserve">In the Standard, each architecture view consists of multiple architecture models. Each model is governed by a </w:t>
      </w:r>
      <w:r w:rsidRPr="00A44ED4">
        <w:rPr>
          <w:rFonts w:eastAsia="Century"/>
          <w:i/>
          <w:sz w:val="18"/>
        </w:rPr>
        <w:t xml:space="preserve">model kind </w:t>
      </w:r>
      <w:r w:rsidRPr="00A44ED4">
        <w:rPr>
          <w:rFonts w:eastAsia="Century"/>
          <w:sz w:val="18"/>
        </w:rPr>
        <w:t xml:space="preserve">which establishes the notations, conventions and rules for models of that type. See: </w:t>
      </w:r>
      <w:r w:rsidRPr="00A44ED4">
        <w:rPr>
          <w:rFonts w:eastAsia="Century"/>
          <w:color w:val="A43B3C"/>
          <w:sz w:val="18"/>
        </w:rPr>
        <w:t>ISO/IEC/IEEE 42010, 4.2.5, 5.5 and</w:t>
      </w:r>
    </w:p>
    <w:p w:rsidR="00974D1F" w:rsidRPr="00A44ED4" w:rsidRDefault="00D73953">
      <w:pPr>
        <w:spacing w:after="151" w:line="265" w:lineRule="auto"/>
        <w:ind w:left="-5" w:hanging="10"/>
      </w:pPr>
      <w:r w:rsidRPr="00A44ED4">
        <w:rPr>
          <w:rFonts w:eastAsia="Century"/>
          <w:color w:val="A43B3C"/>
          <w:sz w:val="18"/>
        </w:rPr>
        <w:t>5.6</w:t>
      </w:r>
      <w:r w:rsidRPr="00A44ED4">
        <w:rPr>
          <w:rFonts w:eastAsia="Century"/>
          <w:sz w:val="18"/>
        </w:rPr>
        <w:t>.</w:t>
      </w:r>
    </w:p>
    <w:p w:rsidR="00974D1F" w:rsidRPr="00A44ED4" w:rsidRDefault="00D73953">
      <w:pPr>
        <w:spacing w:after="621" w:line="253" w:lineRule="auto"/>
        <w:ind w:left="-5" w:right="821" w:hanging="10"/>
        <w:jc w:val="both"/>
      </w:pPr>
      <w:r w:rsidRPr="00A44ED4">
        <w:rPr>
          <w:rFonts w:eastAsia="Century"/>
          <w:sz w:val="18"/>
        </w:rPr>
        <w:t>Repeat the next section for each model kind listed here the viewpoint being specified.</w:t>
      </w:r>
    </w:p>
    <w:p w:rsidR="00974D1F" w:rsidRPr="00A44ED4" w:rsidRDefault="00D73953">
      <w:pPr>
        <w:pStyle w:val="Heading2"/>
        <w:ind w:left="-5"/>
        <w:rPr>
          <w:rFonts w:ascii="Calibri" w:hAnsi="Calibri" w:cs="Calibri"/>
        </w:rPr>
      </w:pPr>
      <w:r w:rsidRPr="00A44ED4">
        <w:rPr>
          <w:rFonts w:ascii="Calibri" w:hAnsi="Calibri" w:cs="Calibri"/>
        </w:rPr>
        <w:t xml:space="preserve">3.5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&gt;</w:t>
      </w:r>
    </w:p>
    <w:p w:rsidR="00974D1F" w:rsidRPr="00A44ED4" w:rsidRDefault="00D73953">
      <w:pPr>
        <w:spacing w:after="518"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the model kind.</w:t>
      </w:r>
    </w:p>
    <w:p w:rsidR="00974D1F" w:rsidRPr="00A44ED4" w:rsidRDefault="00D73953">
      <w:pPr>
        <w:pStyle w:val="Heading3"/>
        <w:ind w:left="-5"/>
        <w:rPr>
          <w:rFonts w:ascii="Calibri" w:hAnsi="Calibri" w:cs="Calibri"/>
        </w:rPr>
      </w:pPr>
      <w:r w:rsidRPr="00A44ED4">
        <w:rPr>
          <w:rFonts w:ascii="Calibri" w:hAnsi="Calibri" w:cs="Calibri"/>
        </w:rPr>
        <w:t xml:space="preserve">3.5.1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conventions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Describe the conventions for models of this kind.</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metamodel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lastRenderedPageBreak/>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ArchiMate or SysML)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by presenting a metamodel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r w:rsidRPr="00A44ED4">
        <w:rPr>
          <w:rFonts w:eastAsia="Century"/>
          <w:sz w:val="18"/>
        </w:rPr>
        <w:t>by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Sometimes conventions are applicable across more than one model kind – it is not necessary to provide a separate set of conventions, a metamodel,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Identify an existing notation or model language or define one that can be used for models of this model kind. Describe its syntax, semantics, tool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metamodel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A metamodel presents the AD elements that constitute the vocabulary of a model kind, and their rules of combination. There are different ways of representing metamodels (such as UML class diagrams, OWL, eCore). The metamodel should present:</w:t>
      </w:r>
    </w:p>
    <w:p w:rsidR="00974D1F" w:rsidRPr="00A44ED4" w:rsidRDefault="00D73953">
      <w:pPr>
        <w:spacing w:after="84" w:line="253" w:lineRule="auto"/>
        <w:ind w:left="483" w:right="821" w:hanging="498"/>
        <w:jc w:val="both"/>
      </w:pPr>
      <w:r w:rsidRPr="00A44ED4">
        <w:rPr>
          <w:rFonts w:eastAsia="Century"/>
          <w:b/>
          <w:sz w:val="18"/>
        </w:rPr>
        <w:t xml:space="preserve">entities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r w:rsidRPr="00A44ED4">
        <w:rPr>
          <w:rFonts w:eastAsia="Century"/>
          <w:b/>
          <w:sz w:val="18"/>
        </w:rPr>
        <w:t xml:space="preserve">attributes </w:t>
      </w:r>
      <w:r w:rsidRPr="00A44ED4">
        <w:rPr>
          <w:rFonts w:eastAsia="Century"/>
          <w:sz w:val="18"/>
        </w:rPr>
        <w:t xml:space="preserve">What properties do entities possess in models of this kind? </w:t>
      </w:r>
      <w:r w:rsidRPr="00A44ED4">
        <w:rPr>
          <w:rFonts w:eastAsia="Century"/>
          <w:b/>
          <w:sz w:val="18"/>
        </w:rPr>
        <w:t xml:space="preserve">relationships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r w:rsidRPr="00A44ED4">
        <w:rPr>
          <w:rFonts w:eastAsia="Century"/>
          <w:b/>
          <w:sz w:val="18"/>
        </w:rPr>
        <w:t xml:space="preserve">constraints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r w:rsidRPr="00A44ED4">
        <w:rPr>
          <w:rFonts w:eastAsia="Century"/>
          <w:i/>
          <w:sz w:val="18"/>
        </w:rPr>
        <w:t>Metamodel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Standard,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each viewtype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metamodel unifying the definition of the model kinds and the expression of correspondence rules. When defining an </w:t>
      </w:r>
      <w:r w:rsidRPr="00A44ED4">
        <w:rPr>
          <w:rFonts w:eastAsia="Century"/>
          <w:sz w:val="18"/>
        </w:rPr>
        <w:lastRenderedPageBreak/>
        <w:t>architecture framework, it may be helpful to use a single metamodel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r w:rsidRPr="00A44ED4">
        <w:rPr>
          <w:rFonts w:eastAsia="Century"/>
          <w:b/>
          <w:sz w:val="18"/>
        </w:rPr>
        <w:t xml:space="preserve">construction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r w:rsidRPr="00A44ED4">
        <w:rPr>
          <w:rFonts w:eastAsia="Century"/>
          <w:b/>
          <w:sz w:val="18"/>
        </w:rPr>
        <w:t xml:space="preserve">interpretation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r w:rsidRPr="00A44ED4">
        <w:rPr>
          <w:rFonts w:eastAsia="Century"/>
          <w:b/>
          <w:sz w:val="18"/>
        </w:rPr>
        <w:t xml:space="preserve">analysis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r w:rsidRPr="00A44ED4">
        <w:rPr>
          <w:rFonts w:eastAsia="Century"/>
          <w:b/>
          <w:sz w:val="18"/>
        </w:rPr>
        <w:t xml:space="preserve">implementation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lastRenderedPageBreak/>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pPr>
        <w:spacing w:after="627" w:line="260" w:lineRule="auto"/>
        <w:ind w:left="-5" w:hanging="10"/>
      </w:pPr>
      <w:r w:rsidRPr="00A44ED4">
        <w:rPr>
          <w:rFonts w:eastAsia="Century"/>
          <w:b/>
          <w:sz w:val="41"/>
        </w:rPr>
        <w:t>Chapter 4</w:t>
      </w:r>
    </w:p>
    <w:p w:rsidR="00974D1F" w:rsidRPr="00A44ED4" w:rsidRDefault="00D73953">
      <w:pPr>
        <w:pStyle w:val="Heading1"/>
        <w:ind w:left="-5" w:right="903"/>
        <w:rPr>
          <w:rFonts w:ascii="Calibri" w:hAnsi="Calibri" w:cs="Calibri"/>
        </w:rPr>
      </w:pPr>
      <w:r w:rsidRPr="00A44ED4">
        <w:rPr>
          <w:rFonts w:ascii="Calibri" w:hAnsi="Calibri" w:cs="Calibri"/>
        </w:rPr>
        <w:t>Views+</w:t>
      </w:r>
    </w:p>
    <w:p w:rsidR="00974D1F" w:rsidRPr="00A44ED4" w:rsidRDefault="00D73953">
      <w:pPr>
        <w:spacing w:after="173" w:line="253" w:lineRule="auto"/>
        <w:ind w:left="-5" w:right="821" w:hanging="10"/>
        <w:jc w:val="both"/>
      </w:pPr>
      <w:r w:rsidRPr="00A44ED4">
        <w:rPr>
          <w:rFonts w:eastAsia="Century"/>
          <w:sz w:val="18"/>
        </w:rPr>
        <w:t>Much of the material in an AD is presented through its architecture views. Each view follows the conventions of its governing viewpoint. A view is made up of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Include an architecture view for each viewpoint selected in </w:t>
      </w:r>
      <w:r w:rsidRPr="00A44ED4">
        <w:rPr>
          <w:rFonts w:eastAsia="Cambria"/>
          <w:color w:val="2F629F"/>
          <w:sz w:val="18"/>
        </w:rPr>
        <w:t>§</w:t>
      </w:r>
      <w:r w:rsidRPr="00A44ED4">
        <w:rPr>
          <w:rFonts w:eastAsia="Century"/>
          <w:color w:val="2F629F"/>
          <w:sz w:val="18"/>
        </w:rPr>
        <w:t>3.</w:t>
      </w:r>
    </w:p>
    <w:p w:rsidR="00974D1F" w:rsidRPr="00A44ED4" w:rsidRDefault="00D73953">
      <w:pPr>
        <w:spacing w:after="619" w:line="253" w:lineRule="auto"/>
        <w:ind w:left="-5" w:right="821" w:hanging="10"/>
        <w:jc w:val="both"/>
      </w:pPr>
      <w:r w:rsidRPr="00A44ED4">
        <w:rPr>
          <w:rFonts w:eastAsia="Century"/>
          <w:sz w:val="18"/>
        </w:rPr>
        <w:t>Repeat and complete the following section for each architecture view in the AD.</w:t>
      </w:r>
    </w:p>
    <w:p w:rsidR="00974D1F" w:rsidRPr="00A44ED4" w:rsidRDefault="00D73953">
      <w:pPr>
        <w:pStyle w:val="Heading2"/>
        <w:tabs>
          <w:tab w:val="center" w:pos="2213"/>
        </w:tabs>
        <w:ind w:left="-15" w:firstLine="0"/>
        <w:rPr>
          <w:rFonts w:ascii="Calibri" w:hAnsi="Calibri" w:cs="Calibri"/>
        </w:rPr>
      </w:pPr>
      <w:r w:rsidRPr="00A44ED4">
        <w:rPr>
          <w:rFonts w:ascii="Calibri" w:hAnsi="Calibri" w:cs="Calibri"/>
        </w:rPr>
        <w:t>4.1</w:t>
      </w:r>
      <w:r w:rsidRPr="00A44ED4">
        <w:rPr>
          <w:rFonts w:ascii="Calibri" w:hAnsi="Calibri" w:cs="Calibri"/>
        </w:rPr>
        <w:tab/>
        <w:t xml:space="preserve">View: </w:t>
      </w:r>
      <w:r w:rsidRPr="00A44ED4">
        <w:rPr>
          <w:rFonts w:ascii="Calibri" w:eastAsia="Cambria" w:hAnsi="Calibri" w:cs="Calibri"/>
          <w:b w:val="0"/>
          <w:i/>
          <w:color w:val="E4322B"/>
        </w:rPr>
        <w:t>&lt;</w:t>
      </w:r>
      <w:r w:rsidRPr="00A44ED4">
        <w:rPr>
          <w:rFonts w:ascii="Calibri" w:hAnsi="Calibri" w:cs="Calibri"/>
          <w:color w:val="E4322B"/>
        </w:rPr>
        <w:t>View Name</w:t>
      </w:r>
      <w:r w:rsidRPr="00A44ED4">
        <w:rPr>
          <w:rFonts w:ascii="Calibri" w:eastAsia="Cambria" w:hAnsi="Calibri" w:cs="Calibri"/>
          <w:b w:val="0"/>
          <w:i/>
          <w:color w:val="E4322B"/>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Give the architecture view a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line="260" w:lineRule="auto"/>
        <w:ind w:left="-5" w:right="821" w:hanging="10"/>
        <w:jc w:val="both"/>
      </w:pPr>
      <w:r w:rsidRPr="00A44ED4">
        <w:rPr>
          <w:rFonts w:eastAsia="Cambria"/>
          <w:i/>
          <w:color w:val="2F629F"/>
          <w:sz w:val="18"/>
        </w:rPr>
        <w:lastRenderedPageBreak/>
        <w:t xml:space="preserve">? </w:t>
      </w:r>
      <w:r w:rsidRPr="00A44ED4">
        <w:rPr>
          <w:rFonts w:eastAsia="Century"/>
          <w:color w:val="2F629F"/>
          <w:sz w:val="18"/>
        </w:rPr>
        <w:t xml:space="preserve">Provide any identifying and supplementary information about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after="173" w:line="253" w:lineRule="auto"/>
        <w:ind w:left="-5" w:right="821" w:hanging="10"/>
        <w:jc w:val="both"/>
      </w:pPr>
      <w:r w:rsidRPr="00A44ED4">
        <w:rPr>
          <w:rFonts w:eastAsia="Century"/>
          <w:sz w:val="18"/>
        </w:rPr>
        <w:t xml:space="preserve">The details of this information will be as specified by the organization and/or project. See </w:t>
      </w:r>
      <w:r w:rsidRPr="00A44ED4">
        <w:rPr>
          <w:rFonts w:eastAsia="Cambria"/>
          <w:sz w:val="18"/>
        </w:rPr>
        <w:t>§</w:t>
      </w:r>
      <w:r w:rsidRPr="00A44ED4">
        <w:rPr>
          <w:rFonts w:eastAsia="Century"/>
          <w:color w:val="2F629F"/>
          <w:sz w:val="18"/>
        </w:rPr>
        <w:t xml:space="preserve">1 </w:t>
      </w:r>
      <w:r w:rsidRPr="00A44ED4">
        <w:rPr>
          <w:rFonts w:eastAsia="Century"/>
          <w:sz w:val="18"/>
        </w:rPr>
        <w:t>for examples of identifying and supplementary information.</w:t>
      </w:r>
    </w:p>
    <w:p w:rsidR="00974D1F" w:rsidRPr="00A44ED4" w:rsidRDefault="00D73953">
      <w:pPr>
        <w:spacing w:after="173" w:line="253" w:lineRule="auto"/>
        <w:ind w:left="-5" w:right="821" w:hanging="10"/>
        <w:jc w:val="both"/>
      </w:pPr>
      <w:r w:rsidRPr="00A44ED4">
        <w:rPr>
          <w:rFonts w:eastAsia="Century"/>
          <w:sz w:val="18"/>
        </w:rPr>
        <w:t>Views have their own identifying and supplementary information distinct from ADs because they may be developed and evolve separately over the lifetime of a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the viewpoint governing this view from among those identified in </w:t>
      </w:r>
      <w:r w:rsidRPr="00A44ED4">
        <w:rPr>
          <w:rFonts w:eastAsia="Cambria"/>
          <w:color w:val="2F629F"/>
          <w:sz w:val="18"/>
        </w:rPr>
        <w:t>§</w:t>
      </w:r>
      <w:r w:rsidRPr="00A44ED4">
        <w:rPr>
          <w:rFonts w:eastAsia="Century"/>
          <w:color w:val="2F629F"/>
          <w:sz w:val="18"/>
        </w:rPr>
        <w:t>3.</w:t>
      </w:r>
    </w:p>
    <w:p w:rsidR="00974D1F" w:rsidRPr="00A44ED4" w:rsidRDefault="00D73953">
      <w:pPr>
        <w:spacing w:after="514" w:line="265" w:lineRule="auto"/>
        <w:ind w:left="-5" w:hanging="10"/>
      </w:pPr>
      <w:r w:rsidRPr="00A44ED4">
        <w:rPr>
          <w:rFonts w:eastAsia="Century"/>
          <w:sz w:val="18"/>
        </w:rPr>
        <w:t xml:space="preserve">See also: </w:t>
      </w:r>
      <w:r w:rsidRPr="00A44ED4">
        <w:rPr>
          <w:rFonts w:eastAsia="Century"/>
          <w:color w:val="A43B3C"/>
          <w:sz w:val="18"/>
        </w:rPr>
        <w:t>ISO/IEC/IEEE 42010, 5.5</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A44ED4" w:rsidRDefault="00D73953">
      <w:pPr>
        <w:spacing w:after="173" w:line="253" w:lineRule="auto"/>
        <w:ind w:left="-5" w:right="821" w:hanging="10"/>
        <w:jc w:val="both"/>
      </w:pPr>
      <w:r w:rsidRPr="00A44ED4">
        <w:rPr>
          <w:rFonts w:eastAsia="Century"/>
          <w:sz w:val="18"/>
        </w:rPr>
        <w:t>An architecture view is composed of one or more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Provide one or more architecture models adhering to the governing viewpoint.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The models must address all of the concerns framed by the view’s governing viewpoint and cover the whole system from that viewpoint.</w:t>
      </w:r>
    </w:p>
    <w:p w:rsidR="00974D1F" w:rsidRPr="00A44ED4" w:rsidRDefault="00D73953">
      <w:pPr>
        <w:spacing w:after="514" w:line="253" w:lineRule="auto"/>
        <w:ind w:left="-5" w:right="821" w:hanging="10"/>
        <w:jc w:val="both"/>
      </w:pPr>
      <w:r w:rsidRPr="00A44ED4">
        <w:rPr>
          <w:rFonts w:eastAsia="Century"/>
          <w:sz w:val="18"/>
        </w:rPr>
        <w:t>Repeat the section below for each model.</w:t>
      </w:r>
    </w:p>
    <w:p w:rsidR="00974D1F" w:rsidRPr="00A44ED4" w:rsidRDefault="00D73953">
      <w:pPr>
        <w:spacing w:after="229"/>
      </w:pPr>
      <w:r w:rsidRPr="00A44ED4">
        <w:rPr>
          <w:rFonts w:eastAsia="Century"/>
          <w:b/>
          <w:sz w:val="24"/>
        </w:rPr>
        <w:t xml:space="preserve">4.1.2 </w:t>
      </w:r>
      <w:r w:rsidRPr="00A44ED4">
        <w:rPr>
          <w:rFonts w:eastAsia="Cambria"/>
          <w:i/>
          <w:color w:val="E4322B"/>
          <w:sz w:val="24"/>
        </w:rPr>
        <w:t>&lt;</w:t>
      </w:r>
      <w:r w:rsidRPr="00A44ED4">
        <w:rPr>
          <w:rFonts w:eastAsia="Century"/>
          <w:b/>
          <w:color w:val="E4322B"/>
          <w:sz w:val="24"/>
        </w:rPr>
        <w:t>Model Name</w:t>
      </w:r>
      <w:r w:rsidRPr="00A44ED4">
        <w:rPr>
          <w:rFonts w:eastAsia="Cambria"/>
          <w:i/>
          <w:color w:val="E4322B"/>
          <w:sz w:val="24"/>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Each architecture model shall include version identification as specified by the organization and/or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Each architecture model shall identify its governing model kind and adhere to the conventions of that model kind from </w:t>
      </w:r>
      <w:r w:rsidRPr="00A44ED4">
        <w:rPr>
          <w:rFonts w:eastAsia="Cambria"/>
          <w:color w:val="2F629F"/>
          <w:sz w:val="18"/>
        </w:rPr>
        <w:t>§</w:t>
      </w:r>
      <w:r w:rsidRPr="00A44ED4">
        <w:rPr>
          <w:rFonts w:eastAsia="Century"/>
          <w:color w:val="2F629F"/>
          <w:sz w:val="18"/>
        </w:rPr>
        <w:t>3.5.</w:t>
      </w:r>
    </w:p>
    <w:p w:rsidR="00974D1F" w:rsidRPr="00A44ED4" w:rsidRDefault="00D73953">
      <w:pPr>
        <w:spacing w:after="151" w:line="265" w:lineRule="auto"/>
        <w:ind w:left="-5" w:hanging="10"/>
      </w:pPr>
      <w:r w:rsidRPr="00A44ED4">
        <w:rPr>
          <w:rFonts w:eastAsia="Century"/>
          <w:sz w:val="18"/>
        </w:rPr>
        <w:t xml:space="preserve">See </w:t>
      </w:r>
      <w:r w:rsidRPr="00A44ED4">
        <w:rPr>
          <w:rFonts w:eastAsia="Century"/>
          <w:color w:val="A43B3C"/>
          <w:sz w:val="18"/>
        </w:rPr>
        <w:t>ISO/IEC/IEEE 42010, 5.4</w:t>
      </w:r>
      <w:r w:rsidRPr="00A44ED4">
        <w:rPr>
          <w:rFonts w:eastAsia="Century"/>
          <w:sz w:val="18"/>
        </w:rPr>
        <w:t>.</w:t>
      </w: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Architecture models can be used as containers for applying architecture patterns or architecture styles to express fundamental schemes (such as layers, three-tier, peer-to-peer, model-view-controller)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Pr="00A44ED4" w:rsidRDefault="00D73953">
      <w:pPr>
        <w:spacing w:after="173" w:line="253" w:lineRule="auto"/>
        <w:ind w:left="-5" w:right="821" w:hanging="10"/>
        <w:jc w:val="both"/>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Pr="00A44ED4" w:rsidRDefault="00D73953">
      <w:pPr>
        <w:spacing w:after="627" w:line="260" w:lineRule="auto"/>
        <w:ind w:left="-5" w:hanging="10"/>
      </w:pPr>
      <w:r w:rsidRPr="00A44ED4">
        <w:rPr>
          <w:rFonts w:eastAsia="Century"/>
          <w:b/>
          <w:sz w:val="41"/>
        </w:rPr>
        <w:lastRenderedPageBreak/>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n-ary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(“shoulds”)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r w:rsidRPr="00A44ED4">
        <w:rPr>
          <w:rFonts w:eastAsia="Century"/>
          <w:sz w:val="20"/>
        </w:rPr>
        <w:t xml:space="preserve">Heesch, Uwe van, Paris Avgeriou,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6">
        <w:r w:rsidRPr="00A44ED4">
          <w:rPr>
            <w:color w:val="E72582"/>
            <w:sz w:val="20"/>
          </w:rPr>
          <w:t>10.1016/j.jss.2011.</w:t>
        </w:r>
      </w:hyperlink>
    </w:p>
    <w:p w:rsidR="00974D1F" w:rsidRPr="00A44ED4" w:rsidRDefault="006903AC">
      <w:pPr>
        <w:spacing w:after="0" w:line="265" w:lineRule="auto"/>
        <w:ind w:left="309" w:hanging="10"/>
      </w:pPr>
      <w:hyperlink r:id="rId27">
        <w:r w:rsidR="00D73953" w:rsidRPr="00A44ED4">
          <w:rPr>
            <w:color w:val="E72582"/>
            <w:sz w:val="20"/>
          </w:rPr>
          <w:t>10.017</w:t>
        </w:r>
      </w:hyperlink>
      <w:hyperlink r:id="rId28">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IEEE Std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Ed. by M. Jazayeri, A. Ran, and F. van der Linden. Addison-Wesley, 2000, pp. 1–29.</w:t>
      </w:r>
    </w:p>
    <w:p w:rsidR="00974D1F" w:rsidRPr="00A44ED4" w:rsidRDefault="00D73953">
      <w:pPr>
        <w:spacing w:after="4" w:line="249" w:lineRule="auto"/>
        <w:ind w:left="294" w:right="783" w:hanging="309"/>
        <w:jc w:val="both"/>
      </w:pPr>
      <w:r w:rsidRPr="00A44ED4">
        <w:rPr>
          <w:rFonts w:eastAsia="Century"/>
          <w:sz w:val="20"/>
        </w:rPr>
        <w:t xml:space="preserve">Rozanski, Nick and Eoin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r w:rsidRPr="00A44ED4">
        <w:rPr>
          <w:rFonts w:eastAsia="Century"/>
          <w:b/>
          <w:sz w:val="18"/>
        </w:rPr>
        <w:t>i</w:t>
      </w:r>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t>i</w:t>
      </w:r>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lastRenderedPageBreak/>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metamodel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lastRenderedPageBreak/>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25131B">
      <w:footerReference w:type="even" r:id="rId29"/>
      <w:footerReference w:type="default" r:id="rId30"/>
      <w:footerReference w:type="first" r:id="rId31"/>
      <w:pgSz w:w="12240" w:h="15840"/>
      <w:pgMar w:top="1530"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E7" w:rsidRDefault="006D17E7">
      <w:pPr>
        <w:spacing w:after="0" w:line="240" w:lineRule="auto"/>
      </w:pPr>
      <w:r>
        <w:separator/>
      </w:r>
    </w:p>
  </w:endnote>
  <w:endnote w:type="continuationSeparator" w:id="0">
    <w:p w:rsidR="006D17E7" w:rsidRDefault="006D1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C3" w:rsidRDefault="002354C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C3" w:rsidRDefault="002354C3">
    <w:pPr>
      <w:spacing w:after="0"/>
      <w:ind w:right="836"/>
      <w:jc w:val="center"/>
    </w:pPr>
    <w:r>
      <w:fldChar w:fldCharType="begin"/>
    </w:r>
    <w:r>
      <w:instrText xml:space="preserve"> PAGE   \* MERGEFORMAT </w:instrText>
    </w:r>
    <w:r>
      <w:fldChar w:fldCharType="separate"/>
    </w:r>
    <w:r w:rsidR="00A22F6E" w:rsidRPr="00A22F6E">
      <w:rPr>
        <w:rFonts w:ascii="Century" w:eastAsia="Century" w:hAnsi="Century" w:cs="Century"/>
        <w:noProof/>
        <w:sz w:val="20"/>
      </w:rPr>
      <w:t>9</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C3" w:rsidRDefault="002354C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E7" w:rsidRDefault="006D17E7">
      <w:pPr>
        <w:spacing w:after="0" w:line="240" w:lineRule="auto"/>
      </w:pPr>
      <w:r>
        <w:separator/>
      </w:r>
    </w:p>
  </w:footnote>
  <w:footnote w:type="continuationSeparator" w:id="0">
    <w:p w:rsidR="006D17E7" w:rsidRDefault="006D1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10"/>
  </w:num>
  <w:num w:numId="5">
    <w:abstractNumId w:val="7"/>
  </w:num>
  <w:num w:numId="6">
    <w:abstractNumId w:val="13"/>
  </w:num>
  <w:num w:numId="7">
    <w:abstractNumId w:val="2"/>
  </w:num>
  <w:num w:numId="8">
    <w:abstractNumId w:val="3"/>
  </w:num>
  <w:num w:numId="9">
    <w:abstractNumId w:val="0"/>
  </w:num>
  <w:num w:numId="10">
    <w:abstractNumId w:val="5"/>
  </w:num>
  <w:num w:numId="11">
    <w:abstractNumId w:val="1"/>
  </w:num>
  <w:num w:numId="12">
    <w:abstractNumId w:val="8"/>
  </w:num>
  <w:num w:numId="13">
    <w:abstractNumId w:val="16"/>
  </w:num>
  <w:num w:numId="14">
    <w:abstractNumId w:val="14"/>
  </w:num>
  <w:num w:numId="15">
    <w:abstractNumId w:val="1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91884"/>
    <w:rsid w:val="00126CA7"/>
    <w:rsid w:val="00161A94"/>
    <w:rsid w:val="002354C3"/>
    <w:rsid w:val="002476C0"/>
    <w:rsid w:val="0025131B"/>
    <w:rsid w:val="0025193B"/>
    <w:rsid w:val="00321078"/>
    <w:rsid w:val="00324E5B"/>
    <w:rsid w:val="003324CF"/>
    <w:rsid w:val="00496819"/>
    <w:rsid w:val="00532460"/>
    <w:rsid w:val="005A7A15"/>
    <w:rsid w:val="00621E4F"/>
    <w:rsid w:val="006903AC"/>
    <w:rsid w:val="006B053B"/>
    <w:rsid w:val="006D17E7"/>
    <w:rsid w:val="00703338"/>
    <w:rsid w:val="00736827"/>
    <w:rsid w:val="007A1754"/>
    <w:rsid w:val="007A1DA3"/>
    <w:rsid w:val="007B071A"/>
    <w:rsid w:val="007D6DAC"/>
    <w:rsid w:val="00810580"/>
    <w:rsid w:val="00821B75"/>
    <w:rsid w:val="00871200"/>
    <w:rsid w:val="0088029A"/>
    <w:rsid w:val="008D23CE"/>
    <w:rsid w:val="008D3A3D"/>
    <w:rsid w:val="00925439"/>
    <w:rsid w:val="00974D1F"/>
    <w:rsid w:val="009C3803"/>
    <w:rsid w:val="009C3AEA"/>
    <w:rsid w:val="009F0D55"/>
    <w:rsid w:val="00A22F6E"/>
    <w:rsid w:val="00A33E3C"/>
    <w:rsid w:val="00A44ED4"/>
    <w:rsid w:val="00A87BCB"/>
    <w:rsid w:val="00AC3070"/>
    <w:rsid w:val="00AE041C"/>
    <w:rsid w:val="00B076E5"/>
    <w:rsid w:val="00B2475A"/>
    <w:rsid w:val="00BF6453"/>
    <w:rsid w:val="00C215ED"/>
    <w:rsid w:val="00CC106B"/>
    <w:rsid w:val="00CF17D4"/>
    <w:rsid w:val="00D35F4E"/>
    <w:rsid w:val="00D502C3"/>
    <w:rsid w:val="00D72F19"/>
    <w:rsid w:val="00D73953"/>
    <w:rsid w:val="00D91339"/>
    <w:rsid w:val="00D94B8E"/>
    <w:rsid w:val="00DA2244"/>
    <w:rsid w:val="00E27D6D"/>
    <w:rsid w:val="00E35305"/>
    <w:rsid w:val="00E40245"/>
    <w:rsid w:val="00ED179E"/>
    <w:rsid w:val="00ED2E64"/>
    <w:rsid w:val="00FE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www.iso-architecture.org/42010/templat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hyperlink" Target="http://www.iso-architecture.org/42010/templat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2.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7DDF-E4DE-4C9D-B1AD-E462F976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cp:revision>
  <dcterms:created xsi:type="dcterms:W3CDTF">2016-09-28T12:19:00Z</dcterms:created>
  <dcterms:modified xsi:type="dcterms:W3CDTF">2016-09-28T12:19:00Z</dcterms:modified>
</cp:coreProperties>
</file>