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B53FB" w14:textId="5B03387E" w:rsidR="00E11939" w:rsidRPr="00B039C7" w:rsidRDefault="00E11939">
      <w:pPr>
        <w:rPr>
          <w:rFonts w:ascii="Calibri" w:hAnsi="Calibri"/>
        </w:rPr>
      </w:pPr>
      <w:r w:rsidRPr="00B039C7">
        <w:rPr>
          <w:rFonts w:ascii="Calibri" w:hAnsi="Calibri"/>
          <w:noProof/>
        </w:rPr>
        <w:drawing>
          <wp:anchor distT="0" distB="0" distL="114300" distR="114300" simplePos="0" relativeHeight="251659264" behindDoc="0" locked="0" layoutInCell="1" allowOverlap="1" wp14:anchorId="3F87C219" wp14:editId="04F235B6">
            <wp:simplePos x="0" y="0"/>
            <wp:positionH relativeFrom="column">
              <wp:posOffset>0</wp:posOffset>
            </wp:positionH>
            <wp:positionV relativeFrom="paragraph">
              <wp:posOffset>1028700</wp:posOffset>
            </wp:positionV>
            <wp:extent cx="5486400" cy="438785"/>
            <wp:effectExtent l="0" t="0" r="0" b="0"/>
            <wp:wrapTight wrapText="bothSides">
              <wp:wrapPolygon edited="0">
                <wp:start x="0" y="0"/>
                <wp:lineTo x="0" y="20006"/>
                <wp:lineTo x="21500" y="20006"/>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ader.gif"/>
                    <pic:cNvPicPr/>
                  </pic:nvPicPr>
                  <pic:blipFill>
                    <a:blip r:embed="rId6">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r w:rsidRPr="00B039C7">
        <w:rPr>
          <w:rFonts w:ascii="Calibri" w:hAnsi="Calibri"/>
          <w:noProof/>
        </w:rPr>
        <w:drawing>
          <wp:inline distT="0" distB="0" distL="0" distR="0" wp14:anchorId="3DE118B4" wp14:editId="7F7D8AA0">
            <wp:extent cx="5486400" cy="24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banner.gif"/>
                    <pic:cNvPicPr/>
                  </pic:nvPicPr>
                  <pic:blipFill>
                    <a:blip r:embed="rId7">
                      <a:extLst>
                        <a:ext uri="{28A0092B-C50C-407E-A947-70E740481C1C}">
                          <a14:useLocalDpi xmlns:a14="http://schemas.microsoft.com/office/drawing/2010/main" val="0"/>
                        </a:ext>
                      </a:extLst>
                    </a:blip>
                    <a:stretch>
                      <a:fillRect/>
                    </a:stretch>
                  </pic:blipFill>
                  <pic:spPr>
                    <a:xfrm>
                      <a:off x="0" y="0"/>
                      <a:ext cx="5486400" cy="247015"/>
                    </a:xfrm>
                    <a:prstGeom prst="rect">
                      <a:avLst/>
                    </a:prstGeom>
                  </pic:spPr>
                </pic:pic>
              </a:graphicData>
            </a:graphic>
          </wp:inline>
        </w:drawing>
      </w:r>
      <w:r w:rsidRPr="00B039C7">
        <w:rPr>
          <w:rFonts w:ascii="Calibri" w:hAnsi="Calibri"/>
          <w:noProof/>
        </w:rPr>
        <w:drawing>
          <wp:inline distT="0" distB="0" distL="0" distR="0" wp14:anchorId="0E3C2925" wp14:editId="35031E39">
            <wp:extent cx="5486400" cy="749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sbanner.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49935"/>
                    </a:xfrm>
                    <a:prstGeom prst="rect">
                      <a:avLst/>
                    </a:prstGeom>
                  </pic:spPr>
                </pic:pic>
              </a:graphicData>
            </a:graphic>
          </wp:inline>
        </w:drawing>
      </w:r>
    </w:p>
    <w:p w14:paraId="2AF2E96F" w14:textId="4D9C07A2" w:rsidR="00B039C7" w:rsidRPr="00B039C7" w:rsidRDefault="00B039C7" w:rsidP="00B039C7">
      <w:pPr>
        <w:jc w:val="center"/>
        <w:rPr>
          <w:rFonts w:ascii="Calibri" w:hAnsi="Calibri"/>
          <w:b/>
        </w:rPr>
      </w:pPr>
      <w:r w:rsidRPr="00B039C7">
        <w:rPr>
          <w:rFonts w:ascii="Calibri" w:hAnsi="Calibri"/>
          <w:b/>
        </w:rPr>
        <w:t>National Security Highlights from Capitol Hill</w:t>
      </w:r>
    </w:p>
    <w:p w14:paraId="43F206F0" w14:textId="77777777" w:rsidR="00B039C7" w:rsidRPr="00B039C7" w:rsidRDefault="00B039C7" w:rsidP="00B039C7">
      <w:pPr>
        <w:jc w:val="center"/>
        <w:rPr>
          <w:rFonts w:ascii="Calibri" w:hAnsi="Calibri"/>
          <w:i/>
        </w:rPr>
      </w:pPr>
      <w:r w:rsidRPr="00B039C7">
        <w:rPr>
          <w:rFonts w:ascii="Calibri" w:hAnsi="Calibri"/>
          <w:i/>
        </w:rPr>
        <w:t xml:space="preserve">Compiled from the Congressional Record by the Indiana University </w:t>
      </w:r>
    </w:p>
    <w:p w14:paraId="720219E8" w14:textId="289AF17B" w:rsidR="00CB2BCF" w:rsidRPr="00B039C7" w:rsidRDefault="00B039C7" w:rsidP="002820A8">
      <w:pPr>
        <w:jc w:val="center"/>
        <w:rPr>
          <w:rFonts w:ascii="Calibri" w:hAnsi="Calibri"/>
          <w:i/>
        </w:rPr>
      </w:pPr>
      <w:r w:rsidRPr="00B039C7">
        <w:rPr>
          <w:rFonts w:ascii="Calibri" w:hAnsi="Calibri"/>
          <w:i/>
        </w:rPr>
        <w:t>Center on American and Global Security</w:t>
      </w:r>
    </w:p>
    <w:p w14:paraId="1D0195B5" w14:textId="3493436C" w:rsidR="00E11939" w:rsidRDefault="00B039C7" w:rsidP="006524BD">
      <w:pPr>
        <w:jc w:val="center"/>
        <w:rPr>
          <w:rFonts w:ascii="Calibri" w:hAnsi="Calibri"/>
          <w:b/>
          <w:sz w:val="40"/>
          <w:szCs w:val="40"/>
        </w:rPr>
      </w:pPr>
      <w:r w:rsidRPr="00B039C7">
        <w:rPr>
          <w:rFonts w:ascii="Calibri" w:hAnsi="Calibri"/>
          <w:b/>
          <w:sz w:val="40"/>
          <w:szCs w:val="40"/>
        </w:rPr>
        <w:t xml:space="preserve">Week of </w:t>
      </w:r>
      <w:r w:rsidR="00DC153A">
        <w:rPr>
          <w:rFonts w:ascii="Calibri" w:hAnsi="Calibri"/>
          <w:b/>
          <w:sz w:val="40"/>
          <w:szCs w:val="40"/>
        </w:rPr>
        <w:t>2 – 6</w:t>
      </w:r>
      <w:r w:rsidR="0034323F">
        <w:rPr>
          <w:rFonts w:ascii="Calibri" w:hAnsi="Calibri"/>
          <w:b/>
          <w:sz w:val="40"/>
          <w:szCs w:val="40"/>
        </w:rPr>
        <w:t xml:space="preserve"> December </w:t>
      </w:r>
      <w:r>
        <w:rPr>
          <w:rFonts w:ascii="Calibri" w:hAnsi="Calibri"/>
          <w:b/>
          <w:sz w:val="40"/>
          <w:szCs w:val="40"/>
        </w:rPr>
        <w:t xml:space="preserve">2013 </w:t>
      </w:r>
    </w:p>
    <w:p w14:paraId="53CD15CD" w14:textId="77777777" w:rsidR="0034323F" w:rsidRDefault="0034323F">
      <w:pPr>
        <w:rPr>
          <w:rFonts w:ascii="Calibri" w:hAnsi="Calibri"/>
          <w:i/>
          <w:sz w:val="22"/>
          <w:szCs w:val="22"/>
        </w:rPr>
      </w:pPr>
    </w:p>
    <w:p w14:paraId="60D90C34" w14:textId="07341F17" w:rsidR="002926E8" w:rsidRPr="00926C7F" w:rsidRDefault="0034323F" w:rsidP="003F2125">
      <w:pPr>
        <w:rPr>
          <w:rFonts w:ascii="Calibri" w:hAnsi="Calibri"/>
          <w:i/>
          <w:sz w:val="22"/>
          <w:szCs w:val="22"/>
        </w:rPr>
      </w:pPr>
      <w:r>
        <w:rPr>
          <w:rFonts w:ascii="Calibri" w:hAnsi="Calibri"/>
          <w:i/>
          <w:sz w:val="22"/>
          <w:szCs w:val="22"/>
        </w:rPr>
        <w:t>The Senate stands adjourned until 2 P.M. on Monday, December 9, 2013.</w:t>
      </w:r>
      <w:r w:rsidR="00926C7F">
        <w:rPr>
          <w:rFonts w:ascii="Calibri" w:hAnsi="Calibri"/>
          <w:i/>
          <w:sz w:val="22"/>
          <w:szCs w:val="22"/>
        </w:rPr>
        <w:t xml:space="preserve"> After the transaction of any morning business, the Senate will resume consideration of </w:t>
      </w:r>
      <w:hyperlink r:id="rId9" w:history="1">
        <w:r w:rsidR="00926C7F" w:rsidRPr="00926C7F">
          <w:rPr>
            <w:rStyle w:val="Hyperlink"/>
            <w:rFonts w:ascii="Calibri" w:hAnsi="Calibri"/>
            <w:b/>
            <w:i/>
            <w:sz w:val="22"/>
            <w:szCs w:val="22"/>
          </w:rPr>
          <w:t>S. 1197: National Defense Authorization Act</w:t>
        </w:r>
      </w:hyperlink>
      <w:r w:rsidR="00926C7F">
        <w:rPr>
          <w:rFonts w:ascii="Calibri" w:hAnsi="Calibri"/>
          <w:i/>
          <w:sz w:val="22"/>
          <w:szCs w:val="22"/>
        </w:rPr>
        <w:t xml:space="preserve">. </w:t>
      </w:r>
    </w:p>
    <w:p w14:paraId="51421CE8" w14:textId="77777777" w:rsidR="0034323F" w:rsidRPr="00B039C7" w:rsidRDefault="0034323F">
      <w:pPr>
        <w:rPr>
          <w:rFonts w:ascii="Calibri" w:hAnsi="Calibri"/>
        </w:rPr>
      </w:pPr>
    </w:p>
    <w:p w14:paraId="7E7F3D4D" w14:textId="49723CC4" w:rsidR="00293FD5" w:rsidRPr="003F2125" w:rsidRDefault="0034323F" w:rsidP="003F2125">
      <w:pPr>
        <w:pStyle w:val="ListParagraph"/>
        <w:numPr>
          <w:ilvl w:val="0"/>
          <w:numId w:val="4"/>
        </w:numPr>
        <w:rPr>
          <w:rFonts w:ascii="Calibri" w:hAnsi="Calibri"/>
          <w:b/>
        </w:rPr>
      </w:pPr>
      <w:r>
        <w:rPr>
          <w:rFonts w:ascii="Calibri" w:hAnsi="Calibri"/>
          <w:b/>
        </w:rPr>
        <w:t>MONDAY, DECEMBER 2</w:t>
      </w:r>
    </w:p>
    <w:p w14:paraId="3E9475E0" w14:textId="3E91FA1A" w:rsidR="000E71F6" w:rsidRPr="003F2125" w:rsidRDefault="00293FD5" w:rsidP="00293FD5">
      <w:pPr>
        <w:rPr>
          <w:rFonts w:ascii="Calibri" w:hAnsi="Calibri"/>
          <w:b/>
          <w:i/>
        </w:rPr>
      </w:pPr>
      <w:r w:rsidRPr="00B039C7">
        <w:rPr>
          <w:rFonts w:ascii="Calibri" w:hAnsi="Calibri"/>
          <w:b/>
          <w:i/>
        </w:rPr>
        <w:t>Public Bills and Resolutions</w:t>
      </w:r>
    </w:p>
    <w:p w14:paraId="24E5A542" w14:textId="01510B58" w:rsidR="0034323F" w:rsidRDefault="00404AA3" w:rsidP="00293FD5">
      <w:pPr>
        <w:rPr>
          <w:rFonts w:ascii="Calibri" w:hAnsi="Calibri"/>
          <w:i/>
        </w:rPr>
      </w:pPr>
      <w:r>
        <w:rPr>
          <w:rFonts w:ascii="Calibri" w:hAnsi="Calibri"/>
          <w:i/>
        </w:rPr>
        <w:t>HOUSE</w:t>
      </w:r>
    </w:p>
    <w:p w14:paraId="19019185" w14:textId="5E72A23A" w:rsidR="0034323F" w:rsidRPr="0034323F" w:rsidRDefault="0034323F" w:rsidP="003F2125">
      <w:pPr>
        <w:ind w:firstLine="720"/>
        <w:rPr>
          <w:rFonts w:ascii="Calibri" w:hAnsi="Calibri"/>
        </w:rPr>
      </w:pPr>
      <w:r>
        <w:rPr>
          <w:rFonts w:ascii="Calibri" w:hAnsi="Calibri"/>
          <w:b/>
        </w:rPr>
        <w:t xml:space="preserve">Representative Howard Coble (R-NC) </w:t>
      </w:r>
      <w:r>
        <w:rPr>
          <w:rFonts w:ascii="Calibri" w:hAnsi="Calibri"/>
        </w:rPr>
        <w:t xml:space="preserve">introduced </w:t>
      </w:r>
      <w:hyperlink r:id="rId10" w:history="1">
        <w:r w:rsidRPr="0034323F">
          <w:rPr>
            <w:rStyle w:val="Hyperlink"/>
            <w:rFonts w:ascii="Calibri" w:hAnsi="Calibri"/>
            <w:b/>
          </w:rPr>
          <w:t>H. R. 3626</w:t>
        </w:r>
      </w:hyperlink>
      <w:r>
        <w:rPr>
          <w:rFonts w:ascii="Calibri" w:hAnsi="Calibri"/>
        </w:rPr>
        <w:t xml:space="preserve">: [A bill] to extend the </w:t>
      </w:r>
      <w:hyperlink r:id="rId11" w:history="1">
        <w:r w:rsidRPr="0034323F">
          <w:rPr>
            <w:rStyle w:val="Hyperlink"/>
            <w:rFonts w:ascii="Calibri" w:hAnsi="Calibri"/>
          </w:rPr>
          <w:t>Undetectable Firearms Act of 1988</w:t>
        </w:r>
      </w:hyperlink>
      <w:r>
        <w:rPr>
          <w:rFonts w:ascii="Calibri" w:hAnsi="Calibri"/>
        </w:rPr>
        <w:t xml:space="preserve"> for 10 years.  The bill was assigned to the House Committee on the Judiciary, where it awaits consideration. </w:t>
      </w:r>
    </w:p>
    <w:p w14:paraId="2C0874B8" w14:textId="77777777" w:rsidR="0034323F" w:rsidRDefault="0034323F">
      <w:pPr>
        <w:rPr>
          <w:rFonts w:ascii="Calibri" w:hAnsi="Calibri"/>
        </w:rPr>
      </w:pPr>
      <w:r>
        <w:rPr>
          <w:rFonts w:ascii="Calibri" w:hAnsi="Calibri"/>
        </w:rPr>
        <w:tab/>
      </w:r>
      <w:r>
        <w:rPr>
          <w:rFonts w:ascii="Calibri" w:hAnsi="Calibri"/>
          <w:b/>
        </w:rPr>
        <w:t xml:space="preserve">Representative Trent Frank (R-AZ) </w:t>
      </w:r>
      <w:r>
        <w:rPr>
          <w:rFonts w:ascii="Calibri" w:hAnsi="Calibri"/>
        </w:rPr>
        <w:t xml:space="preserve">introduced </w:t>
      </w:r>
      <w:hyperlink r:id="rId12" w:history="1">
        <w:r w:rsidRPr="0034323F">
          <w:rPr>
            <w:rStyle w:val="Hyperlink"/>
            <w:rFonts w:ascii="Calibri" w:hAnsi="Calibri"/>
            <w:b/>
          </w:rPr>
          <w:t>H. R. 3629</w:t>
        </w:r>
      </w:hyperlink>
      <w:r>
        <w:rPr>
          <w:rFonts w:ascii="Calibri" w:hAnsi="Calibri"/>
        </w:rPr>
        <w:t>: Israel Sovereignty and Security Recognition Act. The bill affirms the United States’ recognition of Israel’s sovereignty, security, and legal right to its lands. It was assigned to the House Committee on Foreign Affairs, where it awaits consideration.</w:t>
      </w:r>
    </w:p>
    <w:p w14:paraId="5B893C6B" w14:textId="4269B9E1" w:rsidR="00E517AC" w:rsidRPr="00E517AC" w:rsidRDefault="00E517AC">
      <w:pPr>
        <w:rPr>
          <w:rFonts w:ascii="Calibri" w:hAnsi="Calibri"/>
        </w:rPr>
      </w:pPr>
      <w:r>
        <w:rPr>
          <w:rFonts w:ascii="Calibri" w:hAnsi="Calibri"/>
        </w:rPr>
        <w:tab/>
      </w:r>
      <w:r>
        <w:rPr>
          <w:rFonts w:ascii="Calibri" w:hAnsi="Calibri"/>
          <w:b/>
        </w:rPr>
        <w:t xml:space="preserve">Representative Walter Jones Jr. (R-NC) </w:t>
      </w:r>
      <w:r>
        <w:rPr>
          <w:rFonts w:ascii="Calibri" w:hAnsi="Calibri"/>
        </w:rPr>
        <w:t xml:space="preserve">introduced </w:t>
      </w:r>
      <w:hyperlink r:id="rId13" w:history="1">
        <w:r w:rsidRPr="00E517AC">
          <w:rPr>
            <w:rStyle w:val="Hyperlink"/>
            <w:rFonts w:ascii="Calibri" w:hAnsi="Calibri"/>
            <w:b/>
          </w:rPr>
          <w:t>H. Res. 428</w:t>
        </w:r>
      </w:hyperlink>
      <w:r>
        <w:rPr>
          <w:rFonts w:ascii="Calibri" w:hAnsi="Calibri"/>
        </w:rPr>
        <w:t xml:space="preserve">: Urging the president to release information regarding the September 11, 2001 terrorist attacks upon the United States. The resolution was assigned to House Permanent Select Committee on Intelligence, where it awaits consideration. </w:t>
      </w:r>
    </w:p>
    <w:p w14:paraId="1DB389AA" w14:textId="1D2CE1D9" w:rsidR="006524BD" w:rsidRPr="00AD1F0A" w:rsidRDefault="0034323F" w:rsidP="00AD1F0A">
      <w:pPr>
        <w:rPr>
          <w:rFonts w:ascii="Calibri" w:hAnsi="Calibri"/>
          <w:b/>
        </w:rPr>
      </w:pPr>
      <w:r>
        <w:rPr>
          <w:rFonts w:ascii="Calibri" w:hAnsi="Calibri"/>
          <w:b/>
        </w:rPr>
        <w:t xml:space="preserve"> </w:t>
      </w:r>
    </w:p>
    <w:p w14:paraId="5F23427E" w14:textId="1CB434D8" w:rsidR="004826E5" w:rsidRPr="003F2125" w:rsidRDefault="009D290B" w:rsidP="00E517AC">
      <w:pPr>
        <w:pStyle w:val="ListParagraph"/>
        <w:numPr>
          <w:ilvl w:val="0"/>
          <w:numId w:val="4"/>
        </w:numPr>
        <w:rPr>
          <w:rFonts w:ascii="Calibri" w:hAnsi="Calibri"/>
          <w:b/>
        </w:rPr>
      </w:pPr>
      <w:r w:rsidRPr="00404AA3">
        <w:rPr>
          <w:rFonts w:ascii="Calibri" w:hAnsi="Calibri"/>
          <w:b/>
        </w:rPr>
        <w:t xml:space="preserve">TUESDAY, </w:t>
      </w:r>
      <w:r w:rsidR="00E517AC">
        <w:rPr>
          <w:rFonts w:ascii="Calibri" w:hAnsi="Calibri"/>
          <w:b/>
        </w:rPr>
        <w:t>DECEMBER 3</w:t>
      </w:r>
    </w:p>
    <w:p w14:paraId="62C68248" w14:textId="485C084D" w:rsidR="00693136" w:rsidRDefault="00693136" w:rsidP="00E517AC">
      <w:pPr>
        <w:rPr>
          <w:rFonts w:ascii="Calibri" w:eastAsia="Times New Roman" w:hAnsi="Calibri" w:cs="Times New Roman"/>
          <w:i/>
        </w:rPr>
      </w:pPr>
      <w:r>
        <w:rPr>
          <w:rFonts w:ascii="Calibri" w:eastAsia="Times New Roman" w:hAnsi="Calibri" w:cs="Times New Roman"/>
          <w:b/>
          <w:i/>
        </w:rPr>
        <w:t>Public Bills and Resolutions</w:t>
      </w:r>
    </w:p>
    <w:p w14:paraId="748101A9" w14:textId="1A160132" w:rsidR="00693136" w:rsidRDefault="00693136" w:rsidP="00E517AC">
      <w:pPr>
        <w:rPr>
          <w:rFonts w:ascii="Calibri" w:eastAsia="Times New Roman" w:hAnsi="Calibri" w:cs="Times New Roman"/>
          <w:i/>
        </w:rPr>
      </w:pPr>
      <w:r>
        <w:rPr>
          <w:rFonts w:ascii="Calibri" w:eastAsia="Times New Roman" w:hAnsi="Calibri" w:cs="Times New Roman"/>
          <w:i/>
        </w:rPr>
        <w:t>HOUSE</w:t>
      </w:r>
    </w:p>
    <w:p w14:paraId="4F71E302" w14:textId="72F8AA3A" w:rsidR="00534FC5" w:rsidRDefault="003F2125" w:rsidP="00B60AE7">
      <w:pPr>
        <w:ind w:firstLine="720"/>
        <w:rPr>
          <w:rFonts w:ascii="Calibri" w:eastAsia="Times New Roman" w:hAnsi="Calibri" w:cs="Times New Roman"/>
        </w:rPr>
      </w:pPr>
      <w:hyperlink r:id="rId14" w:history="1">
        <w:r w:rsidR="00534FC5" w:rsidRPr="00B60AE7">
          <w:rPr>
            <w:rStyle w:val="Hyperlink"/>
            <w:rFonts w:ascii="Calibri" w:eastAsia="Times New Roman" w:hAnsi="Calibri" w:cs="Times New Roman"/>
            <w:b/>
          </w:rPr>
          <w:t>H. R. 1095: TSA Loose Change Act</w:t>
        </w:r>
      </w:hyperlink>
      <w:r w:rsidR="00534FC5">
        <w:rPr>
          <w:rFonts w:ascii="Calibri" w:eastAsia="Times New Roman" w:hAnsi="Calibri" w:cs="Times New Roman"/>
        </w:rPr>
        <w:t xml:space="preserve"> (originally introduced by </w:t>
      </w:r>
      <w:r w:rsidR="00534FC5" w:rsidRPr="00B60AE7">
        <w:rPr>
          <w:rFonts w:ascii="Calibri" w:eastAsia="Times New Roman" w:hAnsi="Calibri" w:cs="Times New Roman"/>
          <w:b/>
        </w:rPr>
        <w:t>Representative Jeff Miller (R-FL)</w:t>
      </w:r>
      <w:r w:rsidR="00534FC5">
        <w:rPr>
          <w:rFonts w:ascii="Calibri" w:eastAsia="Times New Roman" w:hAnsi="Calibri" w:cs="Times New Roman"/>
        </w:rPr>
        <w:t xml:space="preserve"> on March 12, 2013) passed in the </w:t>
      </w:r>
      <w:r w:rsidR="00B60AE7">
        <w:rPr>
          <w:rFonts w:ascii="Calibri" w:eastAsia="Times New Roman" w:hAnsi="Calibri" w:cs="Times New Roman"/>
        </w:rPr>
        <w:t xml:space="preserve">House. The bill amends title 49, United States Code, to direct the Assistant Secretary of Homeland Security (Transportation Security Administration) to transfer unclaimed money recovered at airport security checkpoints to nonprofit organizations that provide places of rest and recuperation at airports for members of the Armed Forces and their families. </w:t>
      </w:r>
    </w:p>
    <w:p w14:paraId="48A76EA0" w14:textId="2CA82A75" w:rsidR="00B60AE7" w:rsidRDefault="003F2125" w:rsidP="00B60AE7">
      <w:pPr>
        <w:ind w:firstLine="720"/>
        <w:rPr>
          <w:rFonts w:ascii="Calibri" w:eastAsia="Times New Roman" w:hAnsi="Calibri" w:cs="Times New Roman"/>
        </w:rPr>
      </w:pPr>
      <w:hyperlink r:id="rId15" w:history="1">
        <w:r w:rsidR="00B60AE7" w:rsidRPr="00B60AE7">
          <w:rPr>
            <w:rStyle w:val="Hyperlink"/>
            <w:rFonts w:ascii="Calibri" w:eastAsia="Times New Roman" w:hAnsi="Calibri" w:cs="Times New Roman"/>
            <w:b/>
          </w:rPr>
          <w:t>H. R. 2719: Transportation Security Acquisition Reform Act</w:t>
        </w:r>
      </w:hyperlink>
      <w:r w:rsidR="00B60AE7">
        <w:rPr>
          <w:rFonts w:ascii="Calibri" w:eastAsia="Times New Roman" w:hAnsi="Calibri" w:cs="Times New Roman"/>
          <w:b/>
        </w:rPr>
        <w:t xml:space="preserve"> </w:t>
      </w:r>
      <w:r w:rsidR="00B60AE7">
        <w:rPr>
          <w:rFonts w:ascii="Calibri" w:eastAsia="Times New Roman" w:hAnsi="Calibri" w:cs="Times New Roman"/>
        </w:rPr>
        <w:t xml:space="preserve">(originally introduced by </w:t>
      </w:r>
      <w:r w:rsidR="00B60AE7">
        <w:rPr>
          <w:rFonts w:ascii="Calibri" w:eastAsia="Times New Roman" w:hAnsi="Calibri" w:cs="Times New Roman"/>
          <w:b/>
        </w:rPr>
        <w:t>Representative Richard Hudson (R-NC)</w:t>
      </w:r>
      <w:r w:rsidR="00B60AE7">
        <w:rPr>
          <w:rFonts w:ascii="Calibri" w:eastAsia="Times New Roman" w:hAnsi="Calibri" w:cs="Times New Roman"/>
        </w:rPr>
        <w:t xml:space="preserve"> on July 18, 2013) passed the </w:t>
      </w:r>
      <w:r w:rsidR="00B60AE7">
        <w:rPr>
          <w:rFonts w:ascii="Calibri" w:eastAsia="Times New Roman" w:hAnsi="Calibri" w:cs="Times New Roman"/>
        </w:rPr>
        <w:lastRenderedPageBreak/>
        <w:t xml:space="preserve">House on a 416/0 vote. The bill requires the Transportation Security Administration to implement best practices and improve transparency with regard to technology acquisition programs. </w:t>
      </w:r>
    </w:p>
    <w:p w14:paraId="4A71938F" w14:textId="05BE0BC1" w:rsidR="00B60AE7" w:rsidRPr="00B60AE7" w:rsidRDefault="003F2125" w:rsidP="00B60AE7">
      <w:pPr>
        <w:ind w:firstLine="720"/>
        <w:rPr>
          <w:rFonts w:ascii="Calibri" w:eastAsia="Times New Roman" w:hAnsi="Calibri" w:cs="Times New Roman"/>
        </w:rPr>
      </w:pPr>
      <w:hyperlink r:id="rId16" w:history="1">
        <w:r w:rsidR="00B60AE7" w:rsidRPr="00B60AE7">
          <w:rPr>
            <w:rStyle w:val="Hyperlink"/>
            <w:rFonts w:ascii="Calibri" w:eastAsia="Times New Roman" w:hAnsi="Calibri" w:cs="Times New Roman"/>
            <w:b/>
          </w:rPr>
          <w:t>H. R. 1204: Aviation Security Stakeholder Participation Act of 2013</w:t>
        </w:r>
      </w:hyperlink>
      <w:r w:rsidR="00B60AE7">
        <w:rPr>
          <w:rFonts w:ascii="Calibri" w:eastAsia="Times New Roman" w:hAnsi="Calibri" w:cs="Times New Roman"/>
        </w:rPr>
        <w:t xml:space="preserve"> (originally introduced by </w:t>
      </w:r>
      <w:r w:rsidR="00B60AE7">
        <w:rPr>
          <w:rFonts w:ascii="Calibri" w:eastAsia="Times New Roman" w:hAnsi="Calibri" w:cs="Times New Roman"/>
          <w:b/>
        </w:rPr>
        <w:t xml:space="preserve">Representative Bennie Thompson (D-MS) </w:t>
      </w:r>
      <w:r w:rsidR="00B60AE7">
        <w:rPr>
          <w:rFonts w:ascii="Calibri" w:eastAsia="Times New Roman" w:hAnsi="Calibri" w:cs="Times New Roman"/>
        </w:rPr>
        <w:t xml:space="preserve">on March 14, 2013) passed the House on a 411/3 vote. The bill amends title 49, United States Code, to direct the Assistant Secretary of Homeland Security (Transportation Security Administration) to establish an Aviation Security Advisory Committee. </w:t>
      </w:r>
    </w:p>
    <w:p w14:paraId="142993C1" w14:textId="1C1B3EC3" w:rsidR="00693136" w:rsidRDefault="00AD1F0A" w:rsidP="00AD1F0A">
      <w:pPr>
        <w:jc w:val="center"/>
        <w:rPr>
          <w:rFonts w:ascii="Calibri" w:eastAsia="Times New Roman" w:hAnsi="Calibri" w:cs="Times New Roman"/>
          <w:i/>
        </w:rPr>
      </w:pPr>
      <w:r>
        <w:rPr>
          <w:rFonts w:ascii="Calibri" w:eastAsia="Times New Roman" w:hAnsi="Calibri" w:cs="Times New Roman"/>
          <w:i/>
          <w:noProof/>
        </w:rPr>
        <mc:AlternateContent>
          <mc:Choice Requires="wps">
            <w:drawing>
              <wp:anchor distT="0" distB="0" distL="114300" distR="114300" simplePos="0" relativeHeight="251660288" behindDoc="0" locked="0" layoutInCell="1" allowOverlap="1" wp14:anchorId="5C437264" wp14:editId="5C3488E6">
                <wp:simplePos x="0" y="0"/>
                <wp:positionH relativeFrom="column">
                  <wp:posOffset>114300</wp:posOffset>
                </wp:positionH>
                <wp:positionV relativeFrom="paragraph">
                  <wp:posOffset>95885</wp:posOffset>
                </wp:positionV>
                <wp:extent cx="52578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7.55pt" to="423pt,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" strokecolor="black [3040]"/>
            </w:pict>
          </mc:Fallback>
        </mc:AlternateContent>
      </w:r>
    </w:p>
    <w:p w14:paraId="5938A9D6" w14:textId="547634FE" w:rsidR="00693136" w:rsidRDefault="00693136" w:rsidP="00E517AC">
      <w:pPr>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b/>
        </w:rPr>
        <w:t xml:space="preserve">Representative Jim </w:t>
      </w:r>
      <w:proofErr w:type="spellStart"/>
      <w:r>
        <w:rPr>
          <w:rFonts w:ascii="Calibri" w:eastAsia="Times New Roman" w:hAnsi="Calibri" w:cs="Times New Roman"/>
          <w:b/>
        </w:rPr>
        <w:t>Bridenstine</w:t>
      </w:r>
      <w:proofErr w:type="spellEnd"/>
      <w:r>
        <w:rPr>
          <w:rFonts w:ascii="Calibri" w:eastAsia="Times New Roman" w:hAnsi="Calibri" w:cs="Times New Roman"/>
          <w:b/>
        </w:rPr>
        <w:t xml:space="preserve"> (R-OK) </w:t>
      </w:r>
      <w:r>
        <w:rPr>
          <w:rFonts w:ascii="Calibri" w:eastAsia="Times New Roman" w:hAnsi="Calibri" w:cs="Times New Roman"/>
        </w:rPr>
        <w:t xml:space="preserve">introduced </w:t>
      </w:r>
      <w:hyperlink r:id="rId17" w:history="1">
        <w:r w:rsidRPr="00693136">
          <w:rPr>
            <w:rStyle w:val="Hyperlink"/>
            <w:rFonts w:ascii="Calibri" w:eastAsia="Times New Roman" w:hAnsi="Calibri" w:cs="Times New Roman"/>
            <w:b/>
          </w:rPr>
          <w:t>H. R. 3639</w:t>
        </w:r>
      </w:hyperlink>
      <w:r>
        <w:rPr>
          <w:rFonts w:ascii="Calibri" w:eastAsia="Times New Roman" w:hAnsi="Calibri" w:cs="Times New Roman"/>
        </w:rPr>
        <w:t>: Provide for the Common Defense Act of 2013. H. R. 3639 eliminates sequestration from security-related functions, which would be offset through reductions in payments under Medicare, agricultural subsidies, federal retirement, and the application of chained CPI.  The bill was assigned to the House Committees on Agriculture; Energy and Commerce; House Administration; Oversight and Government Reform; Budget; and Ways and Means and awaits consideration.</w:t>
      </w:r>
    </w:p>
    <w:p w14:paraId="55DBE8F0" w14:textId="091FBBBD" w:rsidR="00693136" w:rsidRDefault="00693136" w:rsidP="00E517AC">
      <w:pPr>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b/>
        </w:rPr>
        <w:t>Representative Steve Israel (D-NY)</w:t>
      </w:r>
      <w:r>
        <w:rPr>
          <w:rFonts w:ascii="Calibri" w:eastAsia="Times New Roman" w:hAnsi="Calibri" w:cs="Times New Roman"/>
        </w:rPr>
        <w:t xml:space="preserve"> introduced </w:t>
      </w:r>
      <w:hyperlink r:id="rId18" w:history="1">
        <w:r w:rsidRPr="00693136">
          <w:rPr>
            <w:rStyle w:val="Hyperlink"/>
            <w:rFonts w:ascii="Calibri" w:eastAsia="Times New Roman" w:hAnsi="Calibri" w:cs="Times New Roman"/>
            <w:b/>
          </w:rPr>
          <w:t>H. R. 3643</w:t>
        </w:r>
      </w:hyperlink>
      <w:r>
        <w:rPr>
          <w:rFonts w:ascii="Calibri" w:eastAsia="Times New Roman" w:hAnsi="Calibri" w:cs="Times New Roman"/>
        </w:rPr>
        <w:t xml:space="preserve">: Undetectable Firearms Modernization Act of 2013, reauthorizing the Undetectable Fire Arms Act of 1988 for 10 years in addition to closing a loophole in the original Act. The bill was assigned to the House Committee on the Judiciary, where it awaits consideration. </w:t>
      </w:r>
    </w:p>
    <w:p w14:paraId="50E093CE" w14:textId="77777777" w:rsidR="006543C3" w:rsidRPr="00B039C7" w:rsidRDefault="006543C3" w:rsidP="006543C3">
      <w:pPr>
        <w:rPr>
          <w:rFonts w:ascii="Calibri" w:eastAsia="Times New Roman" w:hAnsi="Calibri" w:cs="Times New Roman"/>
          <w:i/>
        </w:rPr>
      </w:pPr>
    </w:p>
    <w:p w14:paraId="426E887D" w14:textId="0DB756E8" w:rsidR="00DC153A" w:rsidRDefault="006543C3" w:rsidP="006543C3">
      <w:pPr>
        <w:rPr>
          <w:rFonts w:ascii="Calibri" w:eastAsia="Times New Roman" w:hAnsi="Calibri" w:cs="Times New Roman"/>
          <w:b/>
          <w:i/>
        </w:rPr>
      </w:pPr>
      <w:r w:rsidRPr="00B039C7">
        <w:rPr>
          <w:rFonts w:ascii="Calibri" w:eastAsia="Times New Roman" w:hAnsi="Calibri" w:cs="Times New Roman"/>
          <w:b/>
          <w:i/>
        </w:rPr>
        <w:t>Committee Hearings</w:t>
      </w:r>
    </w:p>
    <w:p w14:paraId="19111D2F" w14:textId="40994E38" w:rsidR="00DC153A" w:rsidRDefault="00DC153A" w:rsidP="006543C3">
      <w:pPr>
        <w:rPr>
          <w:rFonts w:ascii="Calibri" w:eastAsia="Times New Roman" w:hAnsi="Calibri" w:cs="Times New Roman"/>
        </w:rPr>
      </w:pPr>
      <w:r>
        <w:rPr>
          <w:rFonts w:ascii="Calibri" w:eastAsia="Times New Roman" w:hAnsi="Calibri" w:cs="Times New Roman"/>
          <w:i/>
        </w:rPr>
        <w:t>HOUSE</w:t>
      </w:r>
    </w:p>
    <w:p w14:paraId="545A9262" w14:textId="4AF15E3D" w:rsidR="00DC153A" w:rsidRDefault="00DC153A" w:rsidP="006543C3">
      <w:pPr>
        <w:rPr>
          <w:rFonts w:ascii="Calibri" w:eastAsia="Times New Roman" w:hAnsi="Calibri" w:cs="Times New Roman"/>
          <w:i/>
        </w:rPr>
      </w:pPr>
      <w:r>
        <w:rPr>
          <w:rFonts w:ascii="Calibri" w:eastAsia="Times New Roman" w:hAnsi="Calibri" w:cs="Times New Roman"/>
        </w:rPr>
        <w:tab/>
      </w:r>
      <w:r>
        <w:rPr>
          <w:rFonts w:ascii="Calibri" w:eastAsia="Times New Roman" w:hAnsi="Calibri" w:cs="Times New Roman"/>
          <w:b/>
        </w:rPr>
        <w:t>Committee on Foreign Affairs; Subcommittee on Africa, Global Health, Global Human Rights, and International Organizations</w:t>
      </w:r>
      <w:r>
        <w:rPr>
          <w:rFonts w:ascii="Calibri" w:eastAsia="Times New Roman" w:hAnsi="Calibri" w:cs="Times New Roman"/>
        </w:rPr>
        <w:t>, hearing entitled “</w:t>
      </w:r>
      <w:r>
        <w:rPr>
          <w:rFonts w:ascii="Calibri" w:eastAsia="Times New Roman" w:hAnsi="Calibri" w:cs="Times New Roman"/>
          <w:i/>
        </w:rPr>
        <w:t>The United States’ Post-Typhoon Response to the Philippines”</w:t>
      </w:r>
    </w:p>
    <w:p w14:paraId="6ED7848F" w14:textId="77777777" w:rsidR="00E517AC" w:rsidRDefault="00E517AC" w:rsidP="006543C3">
      <w:pPr>
        <w:rPr>
          <w:rFonts w:ascii="Calibri" w:eastAsia="Times New Roman" w:hAnsi="Calibri" w:cs="Times New Roman"/>
          <w:i/>
        </w:rPr>
      </w:pPr>
    </w:p>
    <w:p w14:paraId="081668E2" w14:textId="15B4F7FB" w:rsidR="00DC153A" w:rsidRPr="003F2125" w:rsidRDefault="00DC153A" w:rsidP="00DC153A">
      <w:pPr>
        <w:pStyle w:val="ListParagraph"/>
        <w:numPr>
          <w:ilvl w:val="0"/>
          <w:numId w:val="4"/>
        </w:numPr>
        <w:rPr>
          <w:rFonts w:ascii="Calibri" w:eastAsia="Times New Roman" w:hAnsi="Calibri" w:cs="Times New Roman"/>
        </w:rPr>
      </w:pPr>
      <w:r>
        <w:rPr>
          <w:rFonts w:ascii="Calibri" w:eastAsia="Times New Roman" w:hAnsi="Calibri" w:cs="Times New Roman"/>
          <w:b/>
        </w:rPr>
        <w:t>WEDNESDAY, DECEMBER 4</w:t>
      </w:r>
    </w:p>
    <w:p w14:paraId="7D9EB0F9" w14:textId="4D8DA918" w:rsidR="00D2420A" w:rsidRDefault="00D2420A" w:rsidP="00DC153A">
      <w:pPr>
        <w:rPr>
          <w:rFonts w:ascii="Calibri" w:eastAsia="Times New Roman" w:hAnsi="Calibri" w:cs="Times New Roman"/>
          <w:i/>
        </w:rPr>
      </w:pPr>
      <w:r>
        <w:rPr>
          <w:rFonts w:ascii="Calibri" w:eastAsia="Times New Roman" w:hAnsi="Calibri" w:cs="Times New Roman"/>
          <w:b/>
          <w:i/>
        </w:rPr>
        <w:t>Public Bills and Resolutions</w:t>
      </w:r>
    </w:p>
    <w:p w14:paraId="0FE36D8E" w14:textId="72C675B6" w:rsidR="00D2420A" w:rsidRDefault="00D2420A" w:rsidP="00DC153A">
      <w:pPr>
        <w:rPr>
          <w:rFonts w:ascii="Calibri" w:eastAsia="Times New Roman" w:hAnsi="Calibri" w:cs="Times New Roman"/>
          <w:i/>
        </w:rPr>
      </w:pPr>
      <w:r>
        <w:rPr>
          <w:rFonts w:ascii="Calibri" w:eastAsia="Times New Roman" w:hAnsi="Calibri" w:cs="Times New Roman"/>
          <w:i/>
        </w:rPr>
        <w:t>HOUSE</w:t>
      </w:r>
    </w:p>
    <w:p w14:paraId="33EFAFCA" w14:textId="039BCA49" w:rsidR="00D2420A" w:rsidRPr="00D2420A" w:rsidRDefault="00D2420A" w:rsidP="00A84C18">
      <w:pPr>
        <w:ind w:firstLine="720"/>
        <w:rPr>
          <w:rFonts w:ascii="Calibri" w:eastAsia="Times New Roman" w:hAnsi="Calibri" w:cs="Times New Roman"/>
        </w:rPr>
      </w:pPr>
      <w:r>
        <w:rPr>
          <w:rFonts w:ascii="Calibri" w:eastAsia="Times New Roman" w:hAnsi="Calibri" w:cs="Times New Roman"/>
          <w:b/>
        </w:rPr>
        <w:t xml:space="preserve">Representative Walter Jones Jr. (R-NC) </w:t>
      </w:r>
      <w:r>
        <w:rPr>
          <w:rFonts w:ascii="Calibri" w:eastAsia="Times New Roman" w:hAnsi="Calibri" w:cs="Times New Roman"/>
        </w:rPr>
        <w:t xml:space="preserve">introduced </w:t>
      </w:r>
      <w:hyperlink r:id="rId19" w:history="1">
        <w:r w:rsidRPr="00D2420A">
          <w:rPr>
            <w:rStyle w:val="Hyperlink"/>
            <w:rFonts w:ascii="Calibri" w:eastAsia="Times New Roman" w:hAnsi="Calibri" w:cs="Times New Roman"/>
            <w:b/>
          </w:rPr>
          <w:t>H. Res. 430</w:t>
        </w:r>
      </w:hyperlink>
      <w:r>
        <w:rPr>
          <w:rFonts w:ascii="Calibri" w:eastAsia="Times New Roman" w:hAnsi="Calibri" w:cs="Times New Roman"/>
        </w:rPr>
        <w:t xml:space="preserve">: Expressing the sense of the House of Representatives that the President should ensure that the Government of the Islamic Republic of Afghanistan is making significant progress in fulfilling its deliverable requirements under the </w:t>
      </w:r>
      <w:hyperlink r:id="rId20" w:history="1">
        <w:r w:rsidRPr="009E5C59">
          <w:rPr>
            <w:rStyle w:val="Hyperlink"/>
            <w:rFonts w:ascii="Calibri" w:eastAsia="Times New Roman" w:hAnsi="Calibri" w:cs="Times New Roman"/>
          </w:rPr>
          <w:t>Tokyo Conference Agreement</w:t>
        </w:r>
      </w:hyperlink>
      <w:r>
        <w:rPr>
          <w:rFonts w:ascii="Calibri" w:eastAsia="Times New Roman" w:hAnsi="Calibri" w:cs="Times New Roman"/>
        </w:rPr>
        <w:t xml:space="preserve"> in order to receive United States financial assistance. The resolution was referred to the House Committee on Foreign Affairs, where it awaits consideration. </w:t>
      </w:r>
    </w:p>
    <w:p w14:paraId="4ECF4298" w14:textId="77777777" w:rsidR="00D2420A" w:rsidRDefault="00D2420A" w:rsidP="00DC153A">
      <w:pPr>
        <w:rPr>
          <w:rFonts w:ascii="Calibri" w:eastAsia="Times New Roman" w:hAnsi="Calibri" w:cs="Times New Roman"/>
        </w:rPr>
      </w:pPr>
    </w:p>
    <w:p w14:paraId="03EC409C" w14:textId="5A9A1C84" w:rsidR="00DC153A" w:rsidRDefault="00DC153A" w:rsidP="00DC153A">
      <w:pPr>
        <w:rPr>
          <w:rFonts w:ascii="Calibri" w:eastAsia="Times New Roman" w:hAnsi="Calibri" w:cs="Times New Roman"/>
          <w:b/>
          <w:i/>
        </w:rPr>
      </w:pPr>
      <w:r>
        <w:rPr>
          <w:rFonts w:ascii="Calibri" w:eastAsia="Times New Roman" w:hAnsi="Calibri" w:cs="Times New Roman"/>
          <w:b/>
          <w:i/>
        </w:rPr>
        <w:t>Committee Hearings</w:t>
      </w:r>
    </w:p>
    <w:p w14:paraId="05F77D09" w14:textId="108E51FD" w:rsidR="00DC153A" w:rsidRDefault="00DC153A" w:rsidP="00DC153A">
      <w:pPr>
        <w:rPr>
          <w:rFonts w:ascii="Calibri" w:eastAsia="Times New Roman" w:hAnsi="Calibri" w:cs="Times New Roman"/>
          <w:i/>
        </w:rPr>
      </w:pPr>
      <w:r>
        <w:rPr>
          <w:rFonts w:ascii="Calibri" w:eastAsia="Times New Roman" w:hAnsi="Calibri" w:cs="Times New Roman"/>
          <w:i/>
        </w:rPr>
        <w:t>HOUSE</w:t>
      </w:r>
    </w:p>
    <w:p w14:paraId="5E208771" w14:textId="77777777" w:rsidR="00DC153A" w:rsidRPr="00DC153A" w:rsidRDefault="00DC153A" w:rsidP="00DC153A">
      <w:pPr>
        <w:ind w:firstLine="720"/>
        <w:rPr>
          <w:rFonts w:ascii="Calibri" w:eastAsia="Times New Roman" w:hAnsi="Calibri" w:cs="Times New Roman"/>
        </w:rPr>
      </w:pPr>
      <w:r>
        <w:rPr>
          <w:rFonts w:ascii="Calibri" w:eastAsia="Times New Roman" w:hAnsi="Calibri" w:cs="Times New Roman"/>
          <w:b/>
        </w:rPr>
        <w:t>Subcommittee on Asia and the Pacific</w:t>
      </w:r>
      <w:r>
        <w:rPr>
          <w:rFonts w:ascii="Calibri" w:eastAsia="Times New Roman" w:hAnsi="Calibri" w:cs="Times New Roman"/>
        </w:rPr>
        <w:t>, hearing entitled “</w:t>
      </w:r>
      <w:r>
        <w:rPr>
          <w:rFonts w:ascii="Calibri" w:eastAsia="Times New Roman" w:hAnsi="Calibri" w:cs="Times New Roman"/>
          <w:i/>
        </w:rPr>
        <w:t>Oversight of U.S. Policy Toward Burma</w:t>
      </w:r>
      <w:r>
        <w:rPr>
          <w:rFonts w:ascii="Calibri" w:eastAsia="Times New Roman" w:hAnsi="Calibri" w:cs="Times New Roman"/>
        </w:rPr>
        <w:t>”</w:t>
      </w:r>
    </w:p>
    <w:p w14:paraId="310D1662" w14:textId="252D9C2E" w:rsidR="00DC153A" w:rsidRPr="00DC153A" w:rsidRDefault="00DC153A" w:rsidP="00DC153A">
      <w:pPr>
        <w:ind w:firstLine="720"/>
        <w:rPr>
          <w:rFonts w:ascii="Calibri" w:eastAsia="Times New Roman" w:hAnsi="Calibri" w:cs="Times New Roman"/>
        </w:rPr>
      </w:pPr>
      <w:r>
        <w:rPr>
          <w:rFonts w:ascii="Calibri" w:eastAsia="Times New Roman" w:hAnsi="Calibri" w:cs="Times New Roman"/>
          <w:b/>
        </w:rPr>
        <w:t>Subcommittee on the Middle East and North Africa</w:t>
      </w:r>
      <w:r>
        <w:rPr>
          <w:rFonts w:ascii="Calibri" w:eastAsia="Times New Roman" w:hAnsi="Calibri" w:cs="Times New Roman"/>
        </w:rPr>
        <w:t>, hearing entitled “</w:t>
      </w:r>
      <w:r w:rsidRPr="00DC153A">
        <w:rPr>
          <w:rFonts w:ascii="Calibri" w:eastAsia="Times New Roman" w:hAnsi="Calibri" w:cs="Times New Roman"/>
          <w:i/>
        </w:rPr>
        <w:t>Transition at a Crossroads: Tunisia Three Years After the Revolution””</w:t>
      </w:r>
    </w:p>
    <w:p w14:paraId="34B195A1" w14:textId="77777777" w:rsidR="006543C3" w:rsidRPr="00B039C7" w:rsidRDefault="006543C3" w:rsidP="006543C3">
      <w:pPr>
        <w:rPr>
          <w:rFonts w:ascii="Calibri" w:eastAsia="Times New Roman" w:hAnsi="Calibri" w:cs="Times New Roman"/>
          <w:i/>
        </w:rPr>
      </w:pPr>
    </w:p>
    <w:p w14:paraId="2A89A6C2" w14:textId="1D24DB70" w:rsidR="006524BD" w:rsidRDefault="008A2586" w:rsidP="00404AA3">
      <w:pPr>
        <w:pStyle w:val="ListParagraph"/>
        <w:numPr>
          <w:ilvl w:val="0"/>
          <w:numId w:val="5"/>
        </w:numPr>
        <w:rPr>
          <w:rFonts w:ascii="Calibri" w:hAnsi="Calibri"/>
          <w:b/>
        </w:rPr>
      </w:pPr>
      <w:r w:rsidRPr="00404AA3">
        <w:rPr>
          <w:rFonts w:ascii="Calibri" w:hAnsi="Calibri"/>
          <w:b/>
        </w:rPr>
        <w:lastRenderedPageBreak/>
        <w:t xml:space="preserve">THURSDAY, </w:t>
      </w:r>
      <w:r w:rsidR="00DC153A">
        <w:rPr>
          <w:rFonts w:ascii="Calibri" w:hAnsi="Calibri"/>
          <w:b/>
        </w:rPr>
        <w:t>DECEMBER 5</w:t>
      </w:r>
    </w:p>
    <w:p w14:paraId="3EEC22E3" w14:textId="77777777" w:rsidR="00DC153A" w:rsidRDefault="00DC153A" w:rsidP="00DC153A">
      <w:pPr>
        <w:ind w:left="360"/>
        <w:rPr>
          <w:rFonts w:ascii="Calibri" w:hAnsi="Calibri"/>
          <w:b/>
        </w:rPr>
      </w:pPr>
    </w:p>
    <w:p w14:paraId="5647AA69" w14:textId="307344F8" w:rsidR="003F2125" w:rsidRDefault="003F2125" w:rsidP="003F2125">
      <w:pPr>
        <w:ind w:left="360"/>
        <w:rPr>
          <w:rFonts w:ascii="Calibri" w:hAnsi="Calibri"/>
          <w:b/>
          <w:i/>
        </w:rPr>
      </w:pPr>
      <w:r>
        <w:rPr>
          <w:rFonts w:ascii="Calibri" w:hAnsi="Calibri"/>
          <w:b/>
          <w:i/>
        </w:rPr>
        <w:t>Public Bills and Resolutions</w:t>
      </w:r>
    </w:p>
    <w:p w14:paraId="16615E81" w14:textId="6E5CB888" w:rsidR="003F2125" w:rsidRDefault="003F2125" w:rsidP="003F2125">
      <w:pPr>
        <w:ind w:left="360"/>
        <w:rPr>
          <w:rFonts w:ascii="Calibri" w:hAnsi="Calibri"/>
          <w:i/>
        </w:rPr>
      </w:pPr>
      <w:r>
        <w:rPr>
          <w:rFonts w:ascii="Calibri" w:hAnsi="Calibri"/>
          <w:i/>
        </w:rPr>
        <w:t>HOUSE</w:t>
      </w:r>
    </w:p>
    <w:p w14:paraId="4674152A" w14:textId="3F9BC3F1" w:rsidR="003F2125" w:rsidRPr="003F2125" w:rsidRDefault="003F2125" w:rsidP="003F2125">
      <w:pPr>
        <w:ind w:left="360"/>
        <w:rPr>
          <w:rFonts w:ascii="Calibri" w:hAnsi="Calibri"/>
        </w:rPr>
      </w:pPr>
      <w:r>
        <w:rPr>
          <w:rFonts w:ascii="Calibri" w:hAnsi="Calibri"/>
        </w:rPr>
        <w:tab/>
      </w:r>
      <w:r>
        <w:rPr>
          <w:rFonts w:ascii="Calibri" w:hAnsi="Calibri"/>
          <w:b/>
        </w:rPr>
        <w:t xml:space="preserve">Representative Steve </w:t>
      </w:r>
      <w:proofErr w:type="spellStart"/>
      <w:r>
        <w:rPr>
          <w:rFonts w:ascii="Calibri" w:hAnsi="Calibri"/>
          <w:b/>
        </w:rPr>
        <w:t>Scalise</w:t>
      </w:r>
      <w:proofErr w:type="spellEnd"/>
      <w:r>
        <w:rPr>
          <w:rFonts w:ascii="Calibri" w:hAnsi="Calibri"/>
          <w:b/>
        </w:rPr>
        <w:t xml:space="preserve"> (R-LA) </w:t>
      </w:r>
      <w:r>
        <w:rPr>
          <w:rFonts w:ascii="Calibri" w:hAnsi="Calibri"/>
        </w:rPr>
        <w:t xml:space="preserve">submitted </w:t>
      </w:r>
      <w:hyperlink r:id="rId21" w:history="1">
        <w:r w:rsidRPr="003F2125">
          <w:rPr>
            <w:rStyle w:val="Hyperlink"/>
            <w:rFonts w:ascii="Calibri" w:hAnsi="Calibri"/>
            <w:b/>
          </w:rPr>
          <w:t>H. Res. 431</w:t>
        </w:r>
      </w:hyperlink>
      <w:r>
        <w:rPr>
          <w:rFonts w:ascii="Calibri" w:hAnsi="Calibri"/>
        </w:rPr>
        <w:t xml:space="preserve">, a resolution calling on the United States </w:t>
      </w:r>
      <w:proofErr w:type="spellStart"/>
      <w:r>
        <w:rPr>
          <w:rFonts w:ascii="Calibri" w:hAnsi="Calibri"/>
        </w:rPr>
        <w:t>Senat</w:t>
      </w:r>
      <w:proofErr w:type="spellEnd"/>
      <w:r>
        <w:rPr>
          <w:rFonts w:ascii="Calibri" w:hAnsi="Calibri"/>
        </w:rPr>
        <w:t xml:space="preserve"> to increase sanctions against Iran</w:t>
      </w:r>
      <w:proofErr w:type="gramStart"/>
      <w:r>
        <w:rPr>
          <w:rFonts w:ascii="Calibri" w:hAnsi="Calibri"/>
        </w:rPr>
        <w:t>;</w:t>
      </w:r>
      <w:proofErr w:type="gramEnd"/>
      <w:r>
        <w:rPr>
          <w:rFonts w:ascii="Calibri" w:hAnsi="Calibri"/>
        </w:rPr>
        <w:t xml:space="preserve"> to the Committee on Foreign Affairs, and in addition to the Committee on the Judiciary, Financial Services, Oversight and government Reform, and Ways and Means.</w:t>
      </w:r>
    </w:p>
    <w:p w14:paraId="5129AA38" w14:textId="77777777" w:rsidR="003F2125" w:rsidRPr="003F2125" w:rsidRDefault="003F2125" w:rsidP="003F2125">
      <w:pPr>
        <w:ind w:left="360"/>
        <w:rPr>
          <w:rFonts w:ascii="Calibri" w:hAnsi="Calibri"/>
          <w:b/>
        </w:rPr>
      </w:pPr>
    </w:p>
    <w:p w14:paraId="2F45CF2F" w14:textId="6544E6F7" w:rsidR="00DC153A" w:rsidRDefault="00DC153A" w:rsidP="003F2125">
      <w:pPr>
        <w:ind w:left="360"/>
        <w:rPr>
          <w:rFonts w:ascii="Calibri" w:hAnsi="Calibri"/>
          <w:i/>
        </w:rPr>
      </w:pPr>
      <w:r>
        <w:rPr>
          <w:rFonts w:ascii="Calibri" w:hAnsi="Calibri"/>
          <w:b/>
          <w:i/>
        </w:rPr>
        <w:t>Committee Hearings</w:t>
      </w:r>
    </w:p>
    <w:p w14:paraId="7AF96BB1" w14:textId="1F5D8AF7" w:rsidR="00DC153A" w:rsidRDefault="00DC153A" w:rsidP="003F2125">
      <w:pPr>
        <w:ind w:left="360"/>
        <w:rPr>
          <w:rFonts w:ascii="Calibri" w:hAnsi="Calibri"/>
        </w:rPr>
      </w:pPr>
      <w:r>
        <w:rPr>
          <w:rFonts w:ascii="Calibri" w:hAnsi="Calibri"/>
          <w:i/>
        </w:rPr>
        <w:t>HOUSE</w:t>
      </w:r>
    </w:p>
    <w:p w14:paraId="37EFA07D" w14:textId="0CC6753D" w:rsidR="001241CA" w:rsidRPr="00B82A99" w:rsidRDefault="00DC153A" w:rsidP="00B82A99">
      <w:pPr>
        <w:ind w:left="360" w:firstLine="360"/>
        <w:rPr>
          <w:rFonts w:ascii="Calibri" w:hAnsi="Calibri"/>
        </w:rPr>
      </w:pPr>
      <w:r>
        <w:rPr>
          <w:rFonts w:ascii="Calibri" w:hAnsi="Calibri"/>
          <w:b/>
        </w:rPr>
        <w:t>Subcommittee on Africa, Global Health, Global Human Rights, and International Organizations</w:t>
      </w:r>
      <w:r>
        <w:rPr>
          <w:rFonts w:ascii="Calibri" w:hAnsi="Calibri"/>
        </w:rPr>
        <w:t>, hearing entitled “</w:t>
      </w:r>
      <w:r w:rsidRPr="00DC153A">
        <w:rPr>
          <w:rFonts w:ascii="Calibri" w:hAnsi="Calibri"/>
          <w:i/>
        </w:rPr>
        <w:t xml:space="preserve">Their Daughters Appeal to Beijing: ‘Let Our Fathers </w:t>
      </w:r>
      <w:proofErr w:type="gramStart"/>
      <w:r w:rsidRPr="00DC153A">
        <w:rPr>
          <w:rFonts w:ascii="Calibri" w:hAnsi="Calibri"/>
          <w:i/>
        </w:rPr>
        <w:t>Go</w:t>
      </w:r>
      <w:proofErr w:type="gramEnd"/>
      <w:r w:rsidRPr="00DC153A">
        <w:rPr>
          <w:rFonts w:ascii="Calibri" w:hAnsi="Calibri"/>
          <w:i/>
        </w:rPr>
        <w:t>!’”</w:t>
      </w:r>
      <w:bookmarkStart w:id="0" w:name="_GoBack"/>
      <w:bookmarkEnd w:id="0"/>
    </w:p>
    <w:p w14:paraId="7EECA3CA" w14:textId="4E54ED3B" w:rsidR="001241CA" w:rsidRPr="00B039C7" w:rsidRDefault="002820A8" w:rsidP="008A2586">
      <w:pPr>
        <w:rPr>
          <w:rFonts w:ascii="Calibri" w:hAnsi="Calibri"/>
          <w:i/>
        </w:rPr>
      </w:pPr>
      <w:r w:rsidRPr="00B039C7">
        <w:rPr>
          <w:rFonts w:ascii="Calibri" w:hAnsi="Calibri"/>
          <w:noProof/>
        </w:rPr>
        <w:drawing>
          <wp:anchor distT="0" distB="0" distL="114300" distR="114300" simplePos="0" relativeHeight="251658240" behindDoc="0" locked="0" layoutInCell="1" allowOverlap="1" wp14:anchorId="53AB49DF" wp14:editId="2B1DC554">
            <wp:simplePos x="0" y="0"/>
            <wp:positionH relativeFrom="column">
              <wp:posOffset>0</wp:posOffset>
            </wp:positionH>
            <wp:positionV relativeFrom="paragraph">
              <wp:posOffset>152400</wp:posOffset>
            </wp:positionV>
            <wp:extent cx="5486400" cy="438785"/>
            <wp:effectExtent l="0" t="0" r="0" b="0"/>
            <wp:wrapTight wrapText="bothSides">
              <wp:wrapPolygon edited="0">
                <wp:start x="0" y="0"/>
                <wp:lineTo x="0" y="20006"/>
                <wp:lineTo x="21500" y="20006"/>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footer.gif"/>
                    <pic:cNvPicPr/>
                  </pic:nvPicPr>
                  <pic:blipFill>
                    <a:blip r:embed="rId22">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p>
    <w:p w14:paraId="4842A56D" w14:textId="77777777" w:rsidR="008A2586" w:rsidRPr="00B039C7" w:rsidRDefault="008A2586" w:rsidP="008A2586">
      <w:pPr>
        <w:jc w:val="center"/>
        <w:rPr>
          <w:rFonts w:ascii="Calibri" w:hAnsi="Calibri"/>
          <w:b/>
        </w:rPr>
      </w:pPr>
    </w:p>
    <w:p w14:paraId="55C4CFA0" w14:textId="2BA75AD8" w:rsidR="008A2586" w:rsidRPr="00B039C7" w:rsidRDefault="008A2586" w:rsidP="008A2586">
      <w:pPr>
        <w:jc w:val="center"/>
        <w:rPr>
          <w:rFonts w:ascii="Calibri" w:hAnsi="Calibri"/>
        </w:rPr>
      </w:pPr>
    </w:p>
    <w:sectPr w:rsidR="008A2586" w:rsidRPr="00B039C7" w:rsidSect="007860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4650F"/>
    <w:multiLevelType w:val="hybridMultilevel"/>
    <w:tmpl w:val="8DE4E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FD15F7"/>
    <w:multiLevelType w:val="hybridMultilevel"/>
    <w:tmpl w:val="EA5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E6779"/>
    <w:multiLevelType w:val="hybridMultilevel"/>
    <w:tmpl w:val="604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66BD3"/>
    <w:multiLevelType w:val="hybridMultilevel"/>
    <w:tmpl w:val="B9187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0D6777"/>
    <w:multiLevelType w:val="hybridMultilevel"/>
    <w:tmpl w:val="7F263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3C"/>
    <w:rsid w:val="000E71F6"/>
    <w:rsid w:val="001241CA"/>
    <w:rsid w:val="00126A65"/>
    <w:rsid w:val="002242B8"/>
    <w:rsid w:val="00266C3C"/>
    <w:rsid w:val="002820A8"/>
    <w:rsid w:val="002926E8"/>
    <w:rsid w:val="00293FD5"/>
    <w:rsid w:val="00335C5A"/>
    <w:rsid w:val="00336ADF"/>
    <w:rsid w:val="0034323F"/>
    <w:rsid w:val="00384EA0"/>
    <w:rsid w:val="003F2125"/>
    <w:rsid w:val="00404AA3"/>
    <w:rsid w:val="004462DA"/>
    <w:rsid w:val="00476A2A"/>
    <w:rsid w:val="004826E5"/>
    <w:rsid w:val="004B5562"/>
    <w:rsid w:val="00534FC5"/>
    <w:rsid w:val="005366F2"/>
    <w:rsid w:val="005D29DF"/>
    <w:rsid w:val="006524BD"/>
    <w:rsid w:val="006543C3"/>
    <w:rsid w:val="00693136"/>
    <w:rsid w:val="00714909"/>
    <w:rsid w:val="00717774"/>
    <w:rsid w:val="00737B57"/>
    <w:rsid w:val="00763EFD"/>
    <w:rsid w:val="00786095"/>
    <w:rsid w:val="007B5C5B"/>
    <w:rsid w:val="00821312"/>
    <w:rsid w:val="00836A09"/>
    <w:rsid w:val="00841F8B"/>
    <w:rsid w:val="008A2586"/>
    <w:rsid w:val="008A6512"/>
    <w:rsid w:val="00926C7F"/>
    <w:rsid w:val="009D290B"/>
    <w:rsid w:val="009E5C59"/>
    <w:rsid w:val="00A14CF1"/>
    <w:rsid w:val="00A43D02"/>
    <w:rsid w:val="00A84C18"/>
    <w:rsid w:val="00A93C4A"/>
    <w:rsid w:val="00AB05D6"/>
    <w:rsid w:val="00AD1F0A"/>
    <w:rsid w:val="00B039C7"/>
    <w:rsid w:val="00B60AE7"/>
    <w:rsid w:val="00B82A99"/>
    <w:rsid w:val="00C27470"/>
    <w:rsid w:val="00CB2BCF"/>
    <w:rsid w:val="00CD20DC"/>
    <w:rsid w:val="00D2420A"/>
    <w:rsid w:val="00DC0873"/>
    <w:rsid w:val="00DC153A"/>
    <w:rsid w:val="00E11939"/>
    <w:rsid w:val="00E227DD"/>
    <w:rsid w:val="00E517AC"/>
    <w:rsid w:val="00E51FCD"/>
    <w:rsid w:val="00E537A0"/>
    <w:rsid w:val="00FD6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83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939"/>
    <w:rPr>
      <w:rFonts w:ascii="Lucida Grande" w:hAnsi="Lucida Grande" w:cs="Lucida Grande"/>
      <w:sz w:val="18"/>
      <w:szCs w:val="18"/>
    </w:rPr>
  </w:style>
  <w:style w:type="character" w:styleId="Hyperlink">
    <w:name w:val="Hyperlink"/>
    <w:basedOn w:val="DefaultParagraphFont"/>
    <w:uiPriority w:val="99"/>
    <w:unhideWhenUsed/>
    <w:rsid w:val="00E11939"/>
    <w:rPr>
      <w:color w:val="0000FF" w:themeColor="hyperlink"/>
      <w:u w:val="single"/>
    </w:rPr>
  </w:style>
  <w:style w:type="paragraph" w:styleId="ListParagraph">
    <w:name w:val="List Paragraph"/>
    <w:basedOn w:val="Normal"/>
    <w:uiPriority w:val="34"/>
    <w:qFormat/>
    <w:rsid w:val="00293F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9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1939"/>
    <w:rPr>
      <w:rFonts w:ascii="Lucida Grande" w:hAnsi="Lucida Grande" w:cs="Lucida Grande"/>
      <w:sz w:val="18"/>
      <w:szCs w:val="18"/>
    </w:rPr>
  </w:style>
  <w:style w:type="character" w:styleId="Hyperlink">
    <w:name w:val="Hyperlink"/>
    <w:basedOn w:val="DefaultParagraphFont"/>
    <w:uiPriority w:val="99"/>
    <w:unhideWhenUsed/>
    <w:rsid w:val="00E11939"/>
    <w:rPr>
      <w:color w:val="0000FF" w:themeColor="hyperlink"/>
      <w:u w:val="single"/>
    </w:rPr>
  </w:style>
  <w:style w:type="paragraph" w:styleId="ListParagraph">
    <w:name w:val="List Paragraph"/>
    <w:basedOn w:val="Normal"/>
    <w:uiPriority w:val="34"/>
    <w:qFormat/>
    <w:rsid w:val="00293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260085">
      <w:bodyDiv w:val="1"/>
      <w:marLeft w:val="0"/>
      <w:marRight w:val="0"/>
      <w:marTop w:val="0"/>
      <w:marBottom w:val="0"/>
      <w:divBdr>
        <w:top w:val="none" w:sz="0" w:space="0" w:color="auto"/>
        <w:left w:val="none" w:sz="0" w:space="0" w:color="auto"/>
        <w:bottom w:val="none" w:sz="0" w:space="0" w:color="auto"/>
        <w:right w:val="none" w:sz="0" w:space="0" w:color="auto"/>
      </w:divBdr>
      <w:divsChild>
        <w:div w:id="1053577937">
          <w:marLeft w:val="0"/>
          <w:marRight w:val="0"/>
          <w:marTop w:val="0"/>
          <w:marBottom w:val="0"/>
          <w:divBdr>
            <w:top w:val="none" w:sz="0" w:space="0" w:color="auto"/>
            <w:left w:val="none" w:sz="0" w:space="0" w:color="auto"/>
            <w:bottom w:val="none" w:sz="0" w:space="0" w:color="auto"/>
            <w:right w:val="none" w:sz="0" w:space="0" w:color="auto"/>
          </w:divBdr>
        </w:div>
        <w:div w:id="990981318">
          <w:marLeft w:val="0"/>
          <w:marRight w:val="0"/>
          <w:marTop w:val="0"/>
          <w:marBottom w:val="0"/>
          <w:divBdr>
            <w:top w:val="none" w:sz="0" w:space="0" w:color="auto"/>
            <w:left w:val="none" w:sz="0" w:space="0" w:color="auto"/>
            <w:bottom w:val="none" w:sz="0" w:space="0" w:color="auto"/>
            <w:right w:val="none" w:sz="0" w:space="0" w:color="auto"/>
          </w:divBdr>
        </w:div>
        <w:div w:id="1272590623">
          <w:marLeft w:val="0"/>
          <w:marRight w:val="0"/>
          <w:marTop w:val="0"/>
          <w:marBottom w:val="0"/>
          <w:divBdr>
            <w:top w:val="none" w:sz="0" w:space="0" w:color="auto"/>
            <w:left w:val="none" w:sz="0" w:space="0" w:color="auto"/>
            <w:bottom w:val="none" w:sz="0" w:space="0" w:color="auto"/>
            <w:right w:val="none" w:sz="0" w:space="0" w:color="auto"/>
          </w:divBdr>
        </w:div>
        <w:div w:id="1986931265">
          <w:marLeft w:val="0"/>
          <w:marRight w:val="0"/>
          <w:marTop w:val="0"/>
          <w:marBottom w:val="0"/>
          <w:divBdr>
            <w:top w:val="none" w:sz="0" w:space="0" w:color="auto"/>
            <w:left w:val="none" w:sz="0" w:space="0" w:color="auto"/>
            <w:bottom w:val="none" w:sz="0" w:space="0" w:color="auto"/>
            <w:right w:val="none" w:sz="0" w:space="0" w:color="auto"/>
          </w:divBdr>
        </w:div>
        <w:div w:id="27799672">
          <w:marLeft w:val="0"/>
          <w:marRight w:val="0"/>
          <w:marTop w:val="0"/>
          <w:marBottom w:val="0"/>
          <w:divBdr>
            <w:top w:val="none" w:sz="0" w:space="0" w:color="auto"/>
            <w:left w:val="none" w:sz="0" w:space="0" w:color="auto"/>
            <w:bottom w:val="none" w:sz="0" w:space="0" w:color="auto"/>
            <w:right w:val="none" w:sz="0" w:space="0" w:color="auto"/>
          </w:divBdr>
        </w:div>
        <w:div w:id="61678220">
          <w:marLeft w:val="0"/>
          <w:marRight w:val="0"/>
          <w:marTop w:val="0"/>
          <w:marBottom w:val="0"/>
          <w:divBdr>
            <w:top w:val="none" w:sz="0" w:space="0" w:color="auto"/>
            <w:left w:val="none" w:sz="0" w:space="0" w:color="auto"/>
            <w:bottom w:val="none" w:sz="0" w:space="0" w:color="auto"/>
            <w:right w:val="none" w:sz="0" w:space="0" w:color="auto"/>
          </w:divBdr>
        </w:div>
        <w:div w:id="1877542790">
          <w:marLeft w:val="0"/>
          <w:marRight w:val="0"/>
          <w:marTop w:val="0"/>
          <w:marBottom w:val="0"/>
          <w:divBdr>
            <w:top w:val="none" w:sz="0" w:space="0" w:color="auto"/>
            <w:left w:val="none" w:sz="0" w:space="0" w:color="auto"/>
            <w:bottom w:val="none" w:sz="0" w:space="0" w:color="auto"/>
            <w:right w:val="none" w:sz="0" w:space="0" w:color="auto"/>
          </w:divBdr>
        </w:div>
        <w:div w:id="385882516">
          <w:marLeft w:val="0"/>
          <w:marRight w:val="0"/>
          <w:marTop w:val="0"/>
          <w:marBottom w:val="0"/>
          <w:divBdr>
            <w:top w:val="none" w:sz="0" w:space="0" w:color="auto"/>
            <w:left w:val="none" w:sz="0" w:space="0" w:color="auto"/>
            <w:bottom w:val="none" w:sz="0" w:space="0" w:color="auto"/>
            <w:right w:val="none" w:sz="0" w:space="0" w:color="auto"/>
          </w:divBdr>
        </w:div>
        <w:div w:id="1537624564">
          <w:marLeft w:val="0"/>
          <w:marRight w:val="0"/>
          <w:marTop w:val="0"/>
          <w:marBottom w:val="0"/>
          <w:divBdr>
            <w:top w:val="none" w:sz="0" w:space="0" w:color="auto"/>
            <w:left w:val="none" w:sz="0" w:space="0" w:color="auto"/>
            <w:bottom w:val="none" w:sz="0" w:space="0" w:color="auto"/>
            <w:right w:val="none" w:sz="0" w:space="0" w:color="auto"/>
          </w:divBdr>
        </w:div>
        <w:div w:id="610284288">
          <w:marLeft w:val="0"/>
          <w:marRight w:val="0"/>
          <w:marTop w:val="0"/>
          <w:marBottom w:val="0"/>
          <w:divBdr>
            <w:top w:val="none" w:sz="0" w:space="0" w:color="auto"/>
            <w:left w:val="none" w:sz="0" w:space="0" w:color="auto"/>
            <w:bottom w:val="none" w:sz="0" w:space="0" w:color="auto"/>
            <w:right w:val="none" w:sz="0" w:space="0" w:color="auto"/>
          </w:divBdr>
        </w:div>
        <w:div w:id="531385969">
          <w:marLeft w:val="0"/>
          <w:marRight w:val="0"/>
          <w:marTop w:val="0"/>
          <w:marBottom w:val="0"/>
          <w:divBdr>
            <w:top w:val="none" w:sz="0" w:space="0" w:color="auto"/>
            <w:left w:val="none" w:sz="0" w:space="0" w:color="auto"/>
            <w:bottom w:val="none" w:sz="0" w:space="0" w:color="auto"/>
            <w:right w:val="none" w:sz="0" w:space="0" w:color="auto"/>
          </w:divBdr>
        </w:div>
        <w:div w:id="1843011126">
          <w:marLeft w:val="0"/>
          <w:marRight w:val="0"/>
          <w:marTop w:val="0"/>
          <w:marBottom w:val="0"/>
          <w:divBdr>
            <w:top w:val="none" w:sz="0" w:space="0" w:color="auto"/>
            <w:left w:val="none" w:sz="0" w:space="0" w:color="auto"/>
            <w:bottom w:val="none" w:sz="0" w:space="0" w:color="auto"/>
            <w:right w:val="none" w:sz="0" w:space="0" w:color="auto"/>
          </w:divBdr>
        </w:div>
        <w:div w:id="1091347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po.gov/fdsys/pkg/BILLS-113s1197pcs/pdf/BILLS-113s1197pcs.pdf" TargetMode="External"/><Relationship Id="rId20" Type="http://schemas.openxmlformats.org/officeDocument/2006/relationships/hyperlink" Target="http://treaties.un.org/doc/db/Terrorism/Conv1-english.pdf" TargetMode="External"/><Relationship Id="rId21" Type="http://schemas.openxmlformats.org/officeDocument/2006/relationships/hyperlink" Target="http://www.gpo.gov/fdsys/pkg/BILLS-113hres431ih/pdf/BILLS-113hres431ih.pdf" TargetMode="External"/><Relationship Id="rId22" Type="http://schemas.openxmlformats.org/officeDocument/2006/relationships/image" Target="media/image4.gi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gpo.gov/fdsys/pkg/BILLS-113hr3626ih/pdf/BILLS-113hr3626ih.pdf" TargetMode="External"/><Relationship Id="rId11" Type="http://schemas.openxmlformats.org/officeDocument/2006/relationships/hyperlink" Target="http://www.gpo.gov/fdsys/pkg/STATUTE-102/pdf/STATUTE-102-Pg3816.pdf" TargetMode="External"/><Relationship Id="rId12" Type="http://schemas.openxmlformats.org/officeDocument/2006/relationships/hyperlink" Target="http://www.gpo.gov/fdsys/pkg/BILLS-113hr3629ih/pdf/BILLS-113hr3629ih.pdf" TargetMode="External"/><Relationship Id="rId13" Type="http://schemas.openxmlformats.org/officeDocument/2006/relationships/hyperlink" Target="http://www.gpo.gov/fdsys/pkg/BILLS-113hres428ih/pdf/BILLS-113hres428ih.pdf" TargetMode="External"/><Relationship Id="rId14" Type="http://schemas.openxmlformats.org/officeDocument/2006/relationships/hyperlink" Target="http://www.gpo.gov/fdsys/pkg/BILLS-113hr1095rh/pdf/BILLS-113hr1095rh.pdf" TargetMode="External"/><Relationship Id="rId15" Type="http://schemas.openxmlformats.org/officeDocument/2006/relationships/hyperlink" Target="http://www.gpo.gov/fdsys/pkg/BILLS-113hr2719rh/pdf/BILLS-113hr2719rh.pdf" TargetMode="External"/><Relationship Id="rId16" Type="http://schemas.openxmlformats.org/officeDocument/2006/relationships/hyperlink" Target="http://www.gpo.gov/fdsys/pkg/BILLS-113hr1204rh/pdf/BILLS-113hr1204rh.pdf" TargetMode="External"/><Relationship Id="rId17" Type="http://schemas.openxmlformats.org/officeDocument/2006/relationships/hyperlink" Target="http://www.gpo.gov/fdsys/pkg/BILLS-113hr3639ih/pdf/BILLS-113hr3639ih.pdf" TargetMode="External"/><Relationship Id="rId18" Type="http://schemas.openxmlformats.org/officeDocument/2006/relationships/hyperlink" Target="http://www.gpo.gov/fdsys/pkg/BILLS-113hr3643ih/pdf/BILLS-113hr3643ih.pdf" TargetMode="External"/><Relationship Id="rId19" Type="http://schemas.openxmlformats.org/officeDocument/2006/relationships/hyperlink" Target="http://www.gpo.gov/fdsys/pkg/BILLS-113hres430ih/pdf/BILLS-113hres430ih.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iMac:Users:cags:Library:Application%20Support:Microsoft:Office:User%20Templates:My%20Templates:Congressional%20News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Congressional Newsletter.dotx</Template>
  <TotalTime>2</TotalTime>
  <Pages>3</Pages>
  <Words>911</Words>
  <Characters>5195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cp:lastPrinted>2013-08-28T19:56:00Z</cp:lastPrinted>
  <dcterms:created xsi:type="dcterms:W3CDTF">2013-12-09T14:57:00Z</dcterms:created>
  <dcterms:modified xsi:type="dcterms:W3CDTF">2013-12-09T14:57:00Z</dcterms:modified>
</cp:coreProperties>
</file>