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TSAAT Security Posture Indicators (SPIs) and Asset Compliance Assessment</w:t>
      </w:r>
    </w:p>
    <w:p>
      <w:r>
        <w:t>This document explains the Security Posture Indicators (SPIs) configured in TSAAT and how those measures are applied by the app to evaluate asset compliance, generate findings, and drive posture reporting.</w:t>
      </w:r>
    </w:p>
    <w:p>
      <w:r>
        <w:t>Generated: 2026-03-22 09:15:47Z</w:t>
      </w:r>
    </w:p>
    <w:p>
      <w:r>
        <w:t>SPI metadata source: data/spi-definitions.json (updatedAt=2026-03-22T00:00:00.000Z)</w:t>
      </w:r>
    </w:p>
    <w:p>
      <w:pPr>
        <w:pStyle w:val="Heading2"/>
      </w:pPr>
      <w:r>
        <w:t>1. Compliance Status Model</w:t>
      </w:r>
    </w:p>
    <w:p>
      <w:r>
        <w:t>Each SPI evaluation for an asset produces one of three statuses:</w:t>
      </w:r>
    </w:p>
    <w:p>
      <w:pPr>
        <w:pStyle w:val="ListBullet"/>
      </w:pPr>
      <w:r>
        <w:t>Compliant: the asset satisfies the SPI rule conditions.</w:t>
      </w:r>
    </w:p>
    <w:p>
      <w:pPr>
        <w:pStyle w:val="ListBullet"/>
      </w:pPr>
      <w:r>
        <w:t>Non-compliant: the asset violates one or more SPI rule conditions.</w:t>
      </w:r>
    </w:p>
    <w:p>
      <w:pPr>
        <w:pStyle w:val="ListBullet"/>
      </w:pPr>
      <w:r>
        <w:t>Unknown: required evidence/data was missing or incomplete to determine compliance.</w:t>
      </w:r>
    </w:p>
    <w:p>
      <w:pPr>
        <w:pStyle w:val="Heading2"/>
      </w:pPr>
      <w:r>
        <w:t>2. SPI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SPI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Applicable Asset Types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Success Measure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Recommended Action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Operating System Support</w:t>
            </w:r>
          </w:p>
        </w:tc>
        <w:tc>
          <w:tcPr>
            <w:tcW w:type="dxa" w:w="1234"/>
          </w:tcPr>
          <w:p>
            <w:r>
              <w:t>server, workstation</w:t>
            </w:r>
          </w:p>
        </w:tc>
        <w:tc>
          <w:tcPr>
            <w:tcW w:type="dxa" w:w="1234"/>
          </w:tcPr>
          <w:p>
            <w:r>
              <w:t>Operating systems must not be out of vendor support.</w:t>
            </w:r>
          </w:p>
        </w:tc>
        <w:tc>
          <w:tcPr>
            <w:tcW w:type="dxa" w:w="1234"/>
          </w:tcPr>
          <w:p>
            <w:r>
              <w:t>100% of applicable servers/workstations run vendor-supported OS versions.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Upgrade or migrate affected operating systems to vendor-supported versions and add lifecycle governance checkpoints.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Operating System N-2</w:t>
            </w:r>
          </w:p>
        </w:tc>
        <w:tc>
          <w:tcPr>
            <w:tcW w:type="dxa" w:w="1234"/>
          </w:tcPr>
          <w:p>
            <w:r>
              <w:t>server, workstation</w:t>
            </w:r>
          </w:p>
        </w:tc>
        <w:tc>
          <w:tcPr>
            <w:tcW w:type="dxa" w:w="1234"/>
          </w:tcPr>
          <w:p>
            <w:r>
              <w:t>Operating systems must be N-2 or better.</w:t>
            </w:r>
          </w:p>
        </w:tc>
        <w:tc>
          <w:tcPr>
            <w:tcW w:type="dxa" w:w="1234"/>
          </w:tcPr>
          <w:p>
            <w:r>
              <w:t>100% of applicable servers/workstations are N-2 or better.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Plan staged OS major-version uplift to reach N-2 or better across impacted hosts.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Server Critical Vulnerability</w:t>
            </w:r>
          </w:p>
        </w:tc>
        <w:tc>
          <w:tcPr>
            <w:tcW w:type="dxa" w:w="1234"/>
          </w:tcPr>
          <w:p>
            <w:r>
              <w:t>server</w:t>
            </w:r>
          </w:p>
        </w:tc>
        <w:tc>
          <w:tcPr>
            <w:tcW w:type="dxa" w:w="1234"/>
          </w:tcPr>
          <w:p>
            <w:r>
              <w:t>Servers must not have Critical vulnerabilities.</w:t>
            </w:r>
          </w:p>
        </w:tc>
        <w:tc>
          <w:tcPr>
            <w:tcW w:type="dxa" w:w="1234"/>
          </w:tcPr>
          <w:p>
            <w:r>
              <w:t>0 servers with critical vulnerabilities.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Patch or mitigate critical server vulnerabilities immediately and confirm exploitability posture.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Production Server High Risk (Critical + Unsupported OS)</w:t>
            </w:r>
          </w:p>
        </w:tc>
        <w:tc>
          <w:tcPr>
            <w:tcW w:type="dxa" w:w="1234"/>
          </w:tcPr>
          <w:p>
            <w:r>
              <w:t>server</w:t>
            </w:r>
          </w:p>
        </w:tc>
        <w:tc>
          <w:tcPr>
            <w:tcW w:type="dxa" w:w="1234"/>
          </w:tcPr>
          <w:p>
            <w:r>
              <w:t>High Risk: Production servers must not have Critical vulns with out-of-support OS.</w:t>
            </w:r>
          </w:p>
        </w:tc>
        <w:tc>
          <w:tcPr>
            <w:tcW w:type="dxa" w:w="1234"/>
          </w:tcPr>
          <w:p>
            <w:r>
              <w:t>0 production servers with critical vulnerabilities on unsupported OS.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Treat as immediate operational risk: isolate or patch production server, remove critical vuln, and uplift unsupported OS.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Production Server High Risk (Critical + Unsupported Software)</w:t>
            </w:r>
          </w:p>
        </w:tc>
        <w:tc>
          <w:tcPr>
            <w:tcW w:type="dxa" w:w="1234"/>
          </w:tcPr>
          <w:p>
            <w:r>
              <w:t>server</w:t>
            </w:r>
          </w:p>
        </w:tc>
        <w:tc>
          <w:tcPr>
            <w:tcW w:type="dxa" w:w="1234"/>
          </w:tcPr>
          <w:p>
            <w:r>
              <w:t>High Risk: Production servers must not have Critical vulns with out-of-support installed software.</w:t>
            </w:r>
          </w:p>
        </w:tc>
        <w:tc>
          <w:tcPr>
            <w:tcW w:type="dxa" w:w="1234"/>
          </w:tcPr>
          <w:p>
            <w:r>
              <w:t>0 production servers with critical vulnerabilities plus unsupported installed software.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Prioritize production server software remediation: update unsupported software and clear linked critical vulnerabilities.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Production Workstation High Risk (Critical + Unsupported Software)</w:t>
            </w:r>
          </w:p>
        </w:tc>
        <w:tc>
          <w:tcPr>
            <w:tcW w:type="dxa" w:w="1234"/>
          </w:tcPr>
          <w:p>
            <w:r>
              <w:t>workstation</w:t>
            </w:r>
          </w:p>
        </w:tc>
        <w:tc>
          <w:tcPr>
            <w:tcW w:type="dxa" w:w="1234"/>
          </w:tcPr>
          <w:p>
            <w:r>
              <w:t>High Risk: Production-supporting workstations must not have Critical vulns with out-of-support installed software.</w:t>
            </w:r>
          </w:p>
        </w:tc>
        <w:tc>
          <w:tcPr>
            <w:tcW w:type="dxa" w:w="1234"/>
          </w:tcPr>
          <w:p>
            <w:r>
              <w:t>0 production-supporting workstations with critical vulnerabilities plus unsupported installed software.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Prioritize production-support workstation software remediation: update unsupported software and clear linked critical vulnerabilities.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Network Device Critical Vulnerability</w:t>
            </w:r>
          </w:p>
        </w:tc>
        <w:tc>
          <w:tcPr>
            <w:tcW w:type="dxa" w:w="1234"/>
          </w:tcPr>
          <w:p>
            <w:r>
              <w:t>network-device</w:t>
            </w:r>
          </w:p>
        </w:tc>
        <w:tc>
          <w:tcPr>
            <w:tcW w:type="dxa" w:w="1234"/>
          </w:tcPr>
          <w:p>
            <w:r>
              <w:t>Network devices must not have Critical vulnerabilities.</w:t>
            </w:r>
          </w:p>
        </w:tc>
        <w:tc>
          <w:tcPr>
            <w:tcW w:type="dxa" w:w="1234"/>
          </w:tcPr>
          <w:p>
            <w:r>
              <w:t>0 network devices with critical vulnerabilities.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Patch or mitigate critical network-device vulnerabilities and validate rule/ACL hardening.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Network Device Support</w:t>
            </w:r>
          </w:p>
        </w:tc>
        <w:tc>
          <w:tcPr>
            <w:tcW w:type="dxa" w:w="1234"/>
          </w:tcPr>
          <w:p>
            <w:r>
              <w:t>network-device</w:t>
            </w:r>
          </w:p>
        </w:tc>
        <w:tc>
          <w:tcPr>
            <w:tcW w:type="dxa" w:w="1234"/>
          </w:tcPr>
          <w:p>
            <w:r>
              <w:t>Network devices must not have unsupported OS/firmware.</w:t>
            </w:r>
          </w:p>
        </w:tc>
        <w:tc>
          <w:tcPr>
            <w:tcW w:type="dxa" w:w="1234"/>
          </w:tcPr>
          <w:p>
            <w:r>
              <w:t>100% of network-device OS/firmware versions are supported.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Upgrade device firmware/OS to supported releases and align with approved baseline catalog.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Network Device Patch Currency</w:t>
            </w:r>
          </w:p>
        </w:tc>
        <w:tc>
          <w:tcPr>
            <w:tcW w:type="dxa" w:w="1234"/>
          </w:tcPr>
          <w:p>
            <w:r>
              <w:t>network-device</w:t>
            </w:r>
          </w:p>
        </w:tc>
        <w:tc>
          <w:tcPr>
            <w:tcW w:type="dxa" w:w="1234"/>
          </w:tcPr>
          <w:p>
            <w:r>
              <w:t>Network devices must be on latest patches.</w:t>
            </w:r>
          </w:p>
        </w:tc>
        <w:tc>
          <w:tcPr>
            <w:tcW w:type="dxa" w:w="1234"/>
          </w:tcPr>
          <w:p>
            <w:r>
              <w:t>100% of network devices on latest patch level.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Bring network devices to latest patch level and enforce maintenance windows with SLA tracking.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Asset Lifecycle Currency</w:t>
            </w:r>
          </w:p>
        </w:tc>
        <w:tc>
          <w:tcPr>
            <w:tcW w:type="dxa" w:w="1234"/>
          </w:tcPr>
          <w:p>
            <w:r>
              <w:t>server, workstation, network-device</w:t>
            </w:r>
          </w:p>
        </w:tc>
        <w:tc>
          <w:tcPr>
            <w:tcW w:type="dxa" w:w="1234"/>
          </w:tcPr>
          <w:p>
            <w:r>
              <w:t>No physical device should be EOL or out of warranty.</w:t>
            </w:r>
          </w:p>
        </w:tc>
        <w:tc>
          <w:tcPr>
            <w:tcW w:type="dxa" w:w="1234"/>
          </w:tcPr>
          <w:p>
            <w:r>
              <w:t>0 physical devices in EOL or out-of-warranty state.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Replace or renew lifecycle-expired assets (EOL / out-of-warranty) through prioritized capital plan.</w:t>
            </w:r>
          </w:p>
        </w:tc>
      </w:tr>
    </w:tbl>
    <w:p>
      <w:pPr>
        <w:pStyle w:val="Heading2"/>
      </w:pPr>
      <w:r>
        <w:t>3. How TSAAT Evaluates Asset Compliance</w:t>
      </w:r>
    </w:p>
    <w:p>
      <w:r>
        <w:t>TSAAT applies SPI measures in the following sequence:</w:t>
      </w:r>
    </w:p>
    <w:p>
      <w:pPr>
        <w:pStyle w:val="ListNumber"/>
      </w:pPr>
      <w:r>
        <w:t>Asset-level SPI evaluation: Each asset is evaluated against SPI rules based on asset type (server, workstation, network-device).</w:t>
      </w:r>
    </w:p>
    <w:p>
      <w:pPr>
        <w:pStyle w:val="ListNumber"/>
      </w:pPr>
      <w:r>
        <w:t>Evidence and reasoning capture: Each SPI result includes status, evidence, and human-readable reasons.</w:t>
      </w:r>
    </w:p>
    <w:p>
      <w:pPr>
        <w:pStyle w:val="ListNumber"/>
      </w:pPr>
      <w:r>
        <w:t>Finding generation: Non-compliant/unknown outcomes are converted into findings with severity and priority context.</w:t>
      </w:r>
    </w:p>
    <w:p>
      <w:pPr>
        <w:pStyle w:val="ListNumber"/>
      </w:pPr>
      <w:r>
        <w:t>Measures severity mapping: Findings severity can be configured through the measures settings matrix (by SPI and asset type).</w:t>
      </w:r>
    </w:p>
    <w:p>
      <w:pPr>
        <w:pStyle w:val="ListNumber"/>
      </w:pPr>
      <w:r>
        <w:t>Rollups and posture scoring: SPI outcomes are rolled up into system/network/environment posture and displayed in KPI/SPI dashboards and reports.</w:t>
      </w:r>
    </w:p>
    <w:p>
      <w:pPr>
        <w:pStyle w:val="Heading2"/>
      </w:pPr>
      <w:r>
        <w:t>4. Where This Logic Lives in the App</w:t>
      </w:r>
    </w:p>
    <w:p>
      <w:pPr>
        <w:pStyle w:val="ListBullet"/>
      </w:pPr>
      <w:r>
        <w:t>SPI metadata (Step 1 data-driven): data/spi-definitions.json and lib/spi-metadata.ts</w:t>
      </w:r>
    </w:p>
    <w:p>
      <w:pPr>
        <w:pStyle w:val="ListBullet"/>
      </w:pPr>
      <w:r>
        <w:t>SPI rule behavior (currently code-driven): lib/spi-rules.ts</w:t>
      </w:r>
    </w:p>
    <w:p>
      <w:pPr>
        <w:pStyle w:val="ListBullet"/>
      </w:pPr>
      <w:r>
        <w:t>Finding creation and prioritization: lib/findings.ts</w:t>
      </w:r>
    </w:p>
    <w:p>
      <w:pPr>
        <w:pStyle w:val="ListBullet"/>
      </w:pPr>
      <w:r>
        <w:t>SPI/KPI measure row computation: lib/measures.ts</w:t>
      </w:r>
    </w:p>
    <w:p>
      <w:pPr>
        <w:pStyle w:val="ListBullet"/>
      </w:pPr>
      <w:r>
        <w:t>Measures severity configuration: data/measures-settings.json and lib/measures-settings.ts</w:t>
      </w:r>
    </w:p>
    <w:p>
      <w:pPr>
        <w:pStyle w:val="ListBullet"/>
      </w:pPr>
      <w:r>
        <w:t>Analytics orchestration and rollups: lib/analytics.ts and lib/rollup.ts</w:t>
      </w:r>
    </w:p>
    <w:p>
      <w:pPr>
        <w:pStyle w:val="Heading2"/>
      </w:pPr>
      <w:r>
        <w:t>5. How Measures Are Used Operationally</w:t>
      </w:r>
    </w:p>
    <w:p>
      <w:pPr>
        <w:pStyle w:val="ListBullet"/>
      </w:pPr>
      <w:r>
        <w:t>Compliance views: SPI status mix and KPI posture are used on Networks, Systems, Measures, and Findings pages.</w:t>
      </w:r>
    </w:p>
    <w:p>
      <w:pPr>
        <w:pStyle w:val="ListBullet"/>
      </w:pPr>
      <w:r>
        <w:t>Drill-through and evidence: Users can drill from posture summaries to findings and impacted assets.</w:t>
      </w:r>
    </w:p>
    <w:p>
      <w:pPr>
        <w:pStyle w:val="ListBullet"/>
      </w:pPr>
      <w:r>
        <w:t>Remediation planning: Recommended actions tied to SPI metadata support execution planning.</w:t>
      </w:r>
    </w:p>
    <w:p>
      <w:pPr>
        <w:pStyle w:val="ListBullet"/>
      </w:pPr>
      <w:r>
        <w:t>Reporting: PDF reports summarize scoped SPI posture, findings, and remediation priorities for stakeholders.</w:t>
      </w:r>
    </w:p>
    <w:p>
      <w:pPr>
        <w:pStyle w:val="Heading2"/>
      </w:pPr>
      <w:r>
        <w:t>6. Current Step 1 vs Step 2 Scope</w:t>
      </w:r>
    </w:p>
    <w:p>
      <w:pPr>
        <w:pStyle w:val="ListBullet"/>
      </w:pPr>
      <w:r>
        <w:t>Step 1 completed: SPI metadata (name/description/success measure/priority/action/applicability) is now data-driven.</w:t>
      </w:r>
    </w:p>
    <w:p>
      <w:pPr>
        <w:pStyle w:val="ListBullet"/>
      </w:pPr>
      <w:r>
        <w:t>Step 2 pending: SPI rule behavior itself is still in code and would require a rule engine/interpreter to become fully data-driven.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