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D6CBC" w14:textId="77777777" w:rsidR="00DA6DC7" w:rsidRDefault="00BD17C6">
      <w:pPr>
        <w:pStyle w:val="Subtitle"/>
      </w:pPr>
      <w:r>
        <w:t>AN END-TO-END DATA ANALYTICS CASE STUDY</w:t>
      </w:r>
    </w:p>
    <w:p w14:paraId="1DD116AE" w14:textId="77777777" w:rsidR="00DA6DC7" w:rsidRDefault="00BD17C6">
      <w:pPr>
        <w:pStyle w:val="Title"/>
      </w:pPr>
      <w:r>
        <w:t>Banking Risk Analytics</w:t>
      </w:r>
    </w:p>
    <w:p w14:paraId="795FD565" w14:textId="77777777" w:rsidR="00DA6DC7" w:rsidRPr="00A938E9" w:rsidRDefault="00BD17C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938E9">
        <w:rPr>
          <w:rFonts w:ascii="Times New Roman" w:hAnsi="Times New Roman" w:cs="Times New Roman"/>
          <w:b/>
          <w:bCs/>
          <w:sz w:val="20"/>
          <w:szCs w:val="20"/>
        </w:rPr>
        <w:t>Customer segmentation • Credit risk • Loan portfolio • Branch performance • Transaction operations</w:t>
      </w:r>
    </w:p>
    <w:p w14:paraId="1854A0FB" w14:textId="77777777" w:rsidR="00DA6DC7" w:rsidRDefault="00BD17C6">
      <w:pPr>
        <w:pStyle w:val="Heading2"/>
      </w:pPr>
      <w:r>
        <w:t>TOOLS</w:t>
      </w:r>
    </w:p>
    <w:p w14:paraId="01B06CC4" w14:textId="77777777" w:rsidR="00DA6DC7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 xml:space="preserve">MySQL </w:t>
      </w:r>
      <w:proofErr w:type="gramStart"/>
      <w:r w:rsidRPr="00A938E9">
        <w:rPr>
          <w:rFonts w:asciiTheme="majorHAnsi" w:hAnsiTheme="majorHAnsi" w:cstheme="majorHAnsi"/>
          <w:sz w:val="20"/>
          <w:szCs w:val="20"/>
        </w:rPr>
        <w:t>Workbench  |</w:t>
      </w:r>
      <w:proofErr w:type="gramEnd"/>
      <w:r w:rsidRPr="00A938E9">
        <w:rPr>
          <w:rFonts w:asciiTheme="majorHAnsi" w:hAnsiTheme="majorHAnsi" w:cstheme="majorHAnsi"/>
          <w:sz w:val="20"/>
          <w:szCs w:val="20"/>
        </w:rPr>
        <w:t xml:space="preserve">  </w:t>
      </w:r>
      <w:r w:rsidRPr="00A938E9">
        <w:rPr>
          <w:rFonts w:asciiTheme="majorHAnsi" w:hAnsiTheme="majorHAnsi" w:cstheme="majorHAnsi"/>
          <w:sz w:val="20"/>
          <w:szCs w:val="20"/>
        </w:rPr>
        <w:t>Python (Pandas, NumPy, Seaborn, Matplotlib)  |  Jupyter Notebook  |  Power BI Desktop</w:t>
      </w:r>
    </w:p>
    <w:p w14:paraId="68495BCA" w14:textId="77777777" w:rsidR="00DA6DC7" w:rsidRDefault="00BD17C6">
      <w:pPr>
        <w:pStyle w:val="Heading1"/>
      </w:pPr>
      <w:r>
        <w:t>Executive summary</w:t>
      </w:r>
    </w:p>
    <w:p w14:paraId="61534440" w14:textId="77777777" w:rsidR="00DA6DC7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 xml:space="preserve">This project integrates customer, loan, branch and transaction analysis to describe portfolio composition, identify credit exposure and monitor payment </w:t>
      </w:r>
      <w:r w:rsidRPr="00A938E9">
        <w:rPr>
          <w:rFonts w:asciiTheme="majorHAnsi" w:hAnsiTheme="majorHAnsi" w:cstheme="majorHAnsi"/>
          <w:sz w:val="20"/>
          <w:szCs w:val="20"/>
        </w:rPr>
        <w:t>operations. The available source files contain 5,000 customers and 6,500 loans; the transaction measures in the supplied consolidated dataset total 30,000 records. Results are descriptive, not a predictive credit model.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6DC7" w14:paraId="05F9C2C4" w14:textId="77777777" w:rsidTr="00D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E435C" w14:textId="77777777" w:rsidR="00DA6DC7" w:rsidRDefault="00BD17C6">
            <w:pPr>
              <w:rPr>
                <w:rFonts w:hint="eastAsia"/>
              </w:rPr>
            </w:pPr>
            <w:r>
              <w:t>Key indicator</w:t>
            </w:r>
          </w:p>
        </w:tc>
        <w:tc>
          <w:tcPr>
            <w:tcW w:w="4320" w:type="dxa"/>
          </w:tcPr>
          <w:p w14:paraId="6B1B00C7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Verified result</w:t>
            </w:r>
          </w:p>
        </w:tc>
      </w:tr>
      <w:tr w:rsidR="00DA6DC7" w14:paraId="4CDB2F64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B17F0A" w14:textId="77777777" w:rsidR="00DA6DC7" w:rsidRDefault="00BD17C6">
            <w:pPr>
              <w:rPr>
                <w:rFonts w:hint="eastAsia"/>
              </w:rPr>
            </w:pPr>
            <w:r>
              <w:t>Custo</w:t>
            </w:r>
            <w:r>
              <w:t>mers (source)</w:t>
            </w:r>
          </w:p>
        </w:tc>
        <w:tc>
          <w:tcPr>
            <w:tcW w:w="4320" w:type="dxa"/>
          </w:tcPr>
          <w:p w14:paraId="0963986C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5,000</w:t>
            </w:r>
          </w:p>
        </w:tc>
      </w:tr>
      <w:tr w:rsidR="00DA6DC7" w14:paraId="1D9B691F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B5E619" w14:textId="77777777" w:rsidR="00DA6DC7" w:rsidRDefault="00BD17C6">
            <w:pPr>
              <w:rPr>
                <w:rFonts w:hint="eastAsia"/>
              </w:rPr>
            </w:pPr>
            <w:r>
              <w:t>Loans</w:t>
            </w:r>
          </w:p>
        </w:tc>
        <w:tc>
          <w:tcPr>
            <w:tcW w:w="4320" w:type="dxa"/>
          </w:tcPr>
          <w:p w14:paraId="50490D98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6,500</w:t>
            </w:r>
          </w:p>
        </w:tc>
      </w:tr>
      <w:tr w:rsidR="00DA6DC7" w14:paraId="4DD9AECC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1C8920" w14:textId="77777777" w:rsidR="00DA6DC7" w:rsidRDefault="00BD17C6">
            <w:pPr>
              <w:rPr>
                <w:rFonts w:hint="eastAsia"/>
              </w:rPr>
            </w:pPr>
            <w:r>
              <w:t>Total loan principal</w:t>
            </w:r>
          </w:p>
        </w:tc>
        <w:tc>
          <w:tcPr>
            <w:tcW w:w="4320" w:type="dxa"/>
          </w:tcPr>
          <w:p w14:paraId="57C579AC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556.62 crore</w:t>
            </w:r>
          </w:p>
        </w:tc>
      </w:tr>
      <w:tr w:rsidR="00DA6DC7" w14:paraId="30D9832A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3B6DB" w14:textId="77777777" w:rsidR="00DA6DC7" w:rsidRDefault="00BD17C6">
            <w:pPr>
              <w:rPr>
                <w:rFonts w:hint="eastAsia"/>
              </w:rPr>
            </w:pPr>
            <w:r>
              <w:t>Defaulted loans</w:t>
            </w:r>
          </w:p>
        </w:tc>
        <w:tc>
          <w:tcPr>
            <w:tcW w:w="4320" w:type="dxa"/>
          </w:tcPr>
          <w:p w14:paraId="165AB4DF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616 (9.48% of loans)</w:t>
            </w:r>
          </w:p>
        </w:tc>
      </w:tr>
      <w:tr w:rsidR="00DA6DC7" w14:paraId="3F1441DE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9A5EC" w14:textId="77777777" w:rsidR="00DA6DC7" w:rsidRDefault="00BD17C6">
            <w:pPr>
              <w:rPr>
                <w:rFonts w:hint="eastAsia"/>
              </w:rPr>
            </w:pPr>
            <w:r>
              <w:t>Principal on defaulted loans</w:t>
            </w:r>
          </w:p>
        </w:tc>
        <w:tc>
          <w:tcPr>
            <w:tcW w:w="4320" w:type="dxa"/>
          </w:tcPr>
          <w:p w14:paraId="72AF0308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51.91 crore</w:t>
            </w:r>
          </w:p>
        </w:tc>
      </w:tr>
      <w:tr w:rsidR="00DA6DC7" w14:paraId="540881BC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2FB426" w14:textId="77777777" w:rsidR="00DA6DC7" w:rsidRDefault="00BD17C6">
            <w:pPr>
              <w:rPr>
                <w:rFonts w:hint="eastAsia"/>
              </w:rPr>
            </w:pPr>
            <w:r>
              <w:t>Total outstanding balance</w:t>
            </w:r>
          </w:p>
        </w:tc>
        <w:tc>
          <w:tcPr>
            <w:tcW w:w="4320" w:type="dxa"/>
          </w:tcPr>
          <w:p w14:paraId="4C1EC8C1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198.65 crore</w:t>
            </w:r>
          </w:p>
        </w:tc>
      </w:tr>
      <w:tr w:rsidR="00DA6DC7" w14:paraId="070CB6E6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5D92B" w14:textId="77777777" w:rsidR="00DA6DC7" w:rsidRDefault="00BD17C6">
            <w:pPr>
              <w:rPr>
                <w:rFonts w:hint="eastAsia"/>
              </w:rPr>
            </w:pPr>
            <w:r>
              <w:t>Transactions (consolidated data)</w:t>
            </w:r>
          </w:p>
        </w:tc>
        <w:tc>
          <w:tcPr>
            <w:tcW w:w="4320" w:type="dxa"/>
          </w:tcPr>
          <w:p w14:paraId="0F493897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30,000</w:t>
            </w:r>
          </w:p>
        </w:tc>
      </w:tr>
      <w:tr w:rsidR="00DA6DC7" w14:paraId="37262DDA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D15852" w14:textId="77777777" w:rsidR="00DA6DC7" w:rsidRDefault="00BD17C6">
            <w:pPr>
              <w:rPr>
                <w:rFonts w:hint="eastAsia"/>
              </w:rPr>
            </w:pPr>
            <w:r>
              <w:t xml:space="preserve">Failed </w:t>
            </w:r>
            <w:r>
              <w:t>transactions (consolidated data)</w:t>
            </w:r>
          </w:p>
        </w:tc>
        <w:tc>
          <w:tcPr>
            <w:tcW w:w="4320" w:type="dxa"/>
          </w:tcPr>
          <w:p w14:paraId="3335EF32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1,066 (3.55%)</w:t>
            </w:r>
          </w:p>
        </w:tc>
      </w:tr>
    </w:tbl>
    <w:p w14:paraId="4EB9D21F" w14:textId="77777777" w:rsidR="00DA6DC7" w:rsidRDefault="00DA6DC7">
      <w:pPr>
        <w:rPr>
          <w:rFonts w:hint="eastAsia"/>
        </w:rPr>
      </w:pPr>
    </w:p>
    <w:p w14:paraId="49BEC581" w14:textId="77777777" w:rsidR="00DA6DC7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>Interpretation: The default rate is a count-based proportion of loans flagged Defaulted. Defaulted principal is original loan amount for those loans, not realized credit loss or recoverable outstanding.</w:t>
      </w:r>
    </w:p>
    <w:p w14:paraId="36ABC253" w14:textId="77777777" w:rsidR="00DA6DC7" w:rsidRDefault="00BD17C6">
      <w:pPr>
        <w:pStyle w:val="Heading1"/>
      </w:pPr>
      <w:r>
        <w:t>1. B</w:t>
      </w:r>
      <w:r>
        <w:t>usiness questions</w:t>
      </w:r>
    </w:p>
    <w:p w14:paraId="74C04E63" w14:textId="77777777" w:rsidR="00A938E9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 xml:space="preserve">How large is the lending portfolio? </w:t>
      </w:r>
    </w:p>
    <w:p w14:paraId="6D7014D1" w14:textId="77777777" w:rsidR="00A938E9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 xml:space="preserve">Which products and customer segments show elevated defaults? </w:t>
      </w:r>
    </w:p>
    <w:p w14:paraId="22021104" w14:textId="77777777" w:rsidR="00A938E9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>Where is outstanding exposure concentrated?</w:t>
      </w:r>
    </w:p>
    <w:p w14:paraId="54B54BE3" w14:textId="783BE645" w:rsidR="00A938E9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 xml:space="preserve">How does the customer base differ by geography and credit score? </w:t>
      </w:r>
    </w:p>
    <w:p w14:paraId="4014C7A5" w14:textId="72EDAA83" w:rsidR="00A938E9" w:rsidRPr="0079032E" w:rsidRDefault="00BD17C6" w:rsidP="0079032E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>Which transaction channels and o</w:t>
      </w:r>
      <w:r w:rsidRPr="00A938E9">
        <w:rPr>
          <w:rFonts w:asciiTheme="majorHAnsi" w:hAnsiTheme="majorHAnsi" w:cstheme="majorHAnsi"/>
          <w:sz w:val="20"/>
          <w:szCs w:val="20"/>
        </w:rPr>
        <w:t>perational patterns merit attention?</w:t>
      </w:r>
    </w:p>
    <w:p w14:paraId="2E226F60" w14:textId="4A2D1F40" w:rsidR="00DA6DC7" w:rsidRDefault="00BD17C6">
      <w:pPr>
        <w:pStyle w:val="Heading1"/>
      </w:pPr>
      <w:r>
        <w:t>2</w:t>
      </w:r>
      <w:r>
        <w:t>. Data inventory and preparation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6DC7" w14:paraId="0177C486" w14:textId="77777777" w:rsidTr="00D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79136" w14:textId="77777777" w:rsidR="00DA6DC7" w:rsidRDefault="00BD17C6">
            <w:pPr>
              <w:rPr>
                <w:rFonts w:hint="eastAsia"/>
              </w:rPr>
            </w:pPr>
            <w:r>
              <w:t>Dataset</w:t>
            </w:r>
          </w:p>
        </w:tc>
        <w:tc>
          <w:tcPr>
            <w:tcW w:w="4320" w:type="dxa"/>
          </w:tcPr>
          <w:p w14:paraId="752AAE90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Scope / role</w:t>
            </w:r>
          </w:p>
        </w:tc>
      </w:tr>
      <w:tr w:rsidR="00DA6DC7" w14:paraId="74F4B54F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BB060B" w14:textId="77777777" w:rsidR="00DA6DC7" w:rsidRDefault="00BD17C6">
            <w:pPr>
              <w:rPr>
                <w:rFonts w:hint="eastAsia"/>
              </w:rPr>
            </w:pPr>
            <w:r>
              <w:t>Customers CSV</w:t>
            </w:r>
          </w:p>
        </w:tc>
        <w:tc>
          <w:tcPr>
            <w:tcW w:w="4320" w:type="dxa"/>
          </w:tcPr>
          <w:p w14:paraId="23E3CB23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5,000 customer profiles; demographics, credit score, segment and branch</w:t>
            </w:r>
          </w:p>
        </w:tc>
      </w:tr>
      <w:tr w:rsidR="00DA6DC7" w14:paraId="562E14A7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DC8F5B" w14:textId="77777777" w:rsidR="00DA6DC7" w:rsidRDefault="00BD17C6">
            <w:pPr>
              <w:rPr>
                <w:rFonts w:hint="eastAsia"/>
              </w:rPr>
            </w:pPr>
            <w:r>
              <w:t>Loans CSV</w:t>
            </w:r>
          </w:p>
        </w:tc>
        <w:tc>
          <w:tcPr>
            <w:tcW w:w="4320" w:type="dxa"/>
          </w:tcPr>
          <w:p w14:paraId="2A749969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6,500 loans; type, status, amount, balance, risk band</w:t>
            </w:r>
          </w:p>
        </w:tc>
      </w:tr>
      <w:tr w:rsidR="00DA6DC7" w14:paraId="7D879618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B3DC2" w14:textId="77777777" w:rsidR="00DA6DC7" w:rsidRDefault="00BD17C6">
            <w:pPr>
              <w:rPr>
                <w:rFonts w:hint="eastAsia"/>
              </w:rPr>
            </w:pPr>
            <w:r>
              <w:t>Consolidated analytics CSV</w:t>
            </w:r>
          </w:p>
        </w:tc>
        <w:tc>
          <w:tcPr>
            <w:tcW w:w="4320" w:type="dxa"/>
          </w:tcPr>
          <w:p w14:paraId="35DD1551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5,000 customer-level rows; 20 columns including loan and transaction aggregates</w:t>
            </w:r>
          </w:p>
        </w:tc>
      </w:tr>
      <w:tr w:rsidR="00DA6DC7" w14:paraId="78092CB2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961678" w14:textId="77777777" w:rsidR="00DA6DC7" w:rsidRDefault="00BD17C6">
            <w:pPr>
              <w:rPr>
                <w:rFonts w:hint="eastAsia"/>
              </w:rPr>
            </w:pPr>
            <w:r>
              <w:t>SQL screenshots / dashboard</w:t>
            </w:r>
          </w:p>
        </w:tc>
        <w:tc>
          <w:tcPr>
            <w:tcW w:w="4320" w:type="dxa"/>
          </w:tcPr>
          <w:p w14:paraId="79E8EE41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Evidence of MySQL queries, ranking, monthly and channel reporting, Power BI visuals</w:t>
            </w:r>
          </w:p>
        </w:tc>
      </w:tr>
    </w:tbl>
    <w:p w14:paraId="130496E3" w14:textId="77777777" w:rsidR="00DA6DC7" w:rsidRDefault="00DA6DC7">
      <w:pPr>
        <w:rPr>
          <w:rFonts w:hint="eastAsia"/>
        </w:rPr>
      </w:pPr>
    </w:p>
    <w:p w14:paraId="321D3D6F" w14:textId="77777777" w:rsidR="00DA6DC7" w:rsidRPr="00A938E9" w:rsidRDefault="00BD17C6">
      <w:pPr>
        <w:rPr>
          <w:rFonts w:asciiTheme="majorHAnsi" w:hAnsiTheme="majorHAnsi" w:cstheme="majorHAnsi"/>
          <w:sz w:val="20"/>
          <w:szCs w:val="20"/>
        </w:rPr>
      </w:pPr>
      <w:r w:rsidRPr="00A938E9">
        <w:rPr>
          <w:rFonts w:asciiTheme="majorHAnsi" w:hAnsiTheme="majorHAnsi" w:cstheme="majorHAnsi"/>
          <w:sz w:val="20"/>
          <w:szCs w:val="20"/>
        </w:rPr>
        <w:t>Python workflow: imported source f</w:t>
      </w:r>
      <w:r w:rsidRPr="00A938E9">
        <w:rPr>
          <w:rFonts w:asciiTheme="majorHAnsi" w:hAnsiTheme="majorHAnsi" w:cstheme="majorHAnsi"/>
          <w:sz w:val="20"/>
          <w:szCs w:val="20"/>
        </w:rPr>
        <w:t>iles, inspected dtypes and missing values, removed unnamed empty columns, aggregated loans and transactions by customer, then left-joined these features to the customer table. The notebook showed 27.96% missingness in loan-derived features because many cus</w:t>
      </w:r>
      <w:r w:rsidRPr="00A938E9">
        <w:rPr>
          <w:rFonts w:asciiTheme="majorHAnsi" w:hAnsiTheme="majorHAnsi" w:cstheme="majorHAnsi"/>
          <w:sz w:val="20"/>
          <w:szCs w:val="20"/>
        </w:rPr>
        <w:t xml:space="preserve">tomers had no matched loans. Median filling was applied, followed by dropna, leaving 4,988 rows in the notebook. This treatment must be documented because a missing loan is not necessarily an unknown loan amount; for counts and totals, zero is generally a </w:t>
      </w:r>
      <w:r w:rsidRPr="00A938E9">
        <w:rPr>
          <w:rFonts w:asciiTheme="majorHAnsi" w:hAnsiTheme="majorHAnsi" w:cstheme="majorHAnsi"/>
          <w:sz w:val="20"/>
          <w:szCs w:val="20"/>
        </w:rPr>
        <w:t>better representation for no-loan customers. The separately supplied consolidated CSV retains 5,000 rows and has no nulls.</w:t>
      </w:r>
    </w:p>
    <w:p w14:paraId="6B6C6443" w14:textId="77777777" w:rsidR="0079032E" w:rsidRDefault="0079032E">
      <w:pPr>
        <w:rPr>
          <w:noProof/>
        </w:rPr>
      </w:pPr>
    </w:p>
    <w:p w14:paraId="54B4B13B" w14:textId="77777777" w:rsidR="0079032E" w:rsidRDefault="0079032E">
      <w:pPr>
        <w:rPr>
          <w:noProof/>
        </w:rPr>
      </w:pPr>
    </w:p>
    <w:p w14:paraId="2D4D7808" w14:textId="77777777" w:rsidR="0079032E" w:rsidRDefault="0079032E">
      <w:r>
        <w:rPr>
          <w:noProof/>
        </w:rPr>
        <w:drawing>
          <wp:inline distT="0" distB="0" distL="0" distR="0" wp14:anchorId="6E2F44A4" wp14:editId="266926D0">
            <wp:extent cx="3549153" cy="201858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992" cy="202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095D9D3" wp14:editId="2D0E0BDA">
            <wp:extent cx="3181570" cy="2003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2518" cy="202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B0A8" w14:textId="77777777" w:rsidR="0079032E" w:rsidRDefault="0079032E">
      <w:r>
        <w:rPr>
          <w:noProof/>
        </w:rPr>
        <w:drawing>
          <wp:inline distT="0" distB="0" distL="0" distR="0" wp14:anchorId="18D58377" wp14:editId="294A4205">
            <wp:extent cx="3450566" cy="193551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457" cy="194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F4D23" wp14:editId="4DE429AA">
            <wp:extent cx="3283357" cy="1863305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3855" cy="18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A34B" w14:textId="6530FB45" w:rsidR="00DA6DC7" w:rsidRDefault="0079032E">
      <w:pPr>
        <w:rPr>
          <w:rFonts w:hint="eastAsia"/>
        </w:rPr>
      </w:pPr>
      <w:r>
        <w:rPr>
          <w:noProof/>
        </w:rPr>
        <w:drawing>
          <wp:inline distT="0" distB="0" distL="0" distR="0" wp14:anchorId="2841FA6E" wp14:editId="26C50B40">
            <wp:extent cx="3424192" cy="194957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0831" cy="196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46035" wp14:editId="4EF6527B">
            <wp:extent cx="3355675" cy="1928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5781" cy="193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C6">
        <w:br w:type="page"/>
      </w:r>
    </w:p>
    <w:p w14:paraId="46E7312A" w14:textId="145C1E9B" w:rsidR="00DA6DC7" w:rsidRDefault="00BD17C6">
      <w:pPr>
        <w:pStyle w:val="Heading1"/>
      </w:pPr>
      <w:r>
        <w:lastRenderedPageBreak/>
        <w:t>3. Customer portfolio and credit quality</w:t>
      </w:r>
    </w:p>
    <w:p w14:paraId="2E55E596" w14:textId="64576BF9" w:rsidR="00DA6DC7" w:rsidRDefault="00BD17C6">
      <w:pPr>
        <w:rPr>
          <w:rFonts w:hint="eastAsia"/>
        </w:rPr>
      </w:pPr>
      <w:r>
        <w:rPr>
          <w:noProof/>
        </w:rPr>
        <w:drawing>
          <wp:inline distT="0" distB="0" distL="0" distR="0" wp14:anchorId="14DD8BA5" wp14:editId="124306F2">
            <wp:extent cx="6217920" cy="2176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ustomer_cha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6DC7" w14:paraId="5D9A857C" w14:textId="77777777" w:rsidTr="00D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5705A" w14:textId="77777777" w:rsidR="00DA6DC7" w:rsidRDefault="00BD17C6">
            <w:pPr>
              <w:rPr>
                <w:rFonts w:hint="eastAsia"/>
              </w:rPr>
            </w:pPr>
            <w:r>
              <w:t>Customer segment</w:t>
            </w:r>
          </w:p>
        </w:tc>
        <w:tc>
          <w:tcPr>
            <w:tcW w:w="2880" w:type="dxa"/>
          </w:tcPr>
          <w:p w14:paraId="58C403C3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Customers</w:t>
            </w:r>
          </w:p>
        </w:tc>
        <w:tc>
          <w:tcPr>
            <w:tcW w:w="2880" w:type="dxa"/>
          </w:tcPr>
          <w:p w14:paraId="72D12C39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Share</w:t>
            </w:r>
          </w:p>
        </w:tc>
      </w:tr>
      <w:tr w:rsidR="00DA6DC7" w14:paraId="637435FC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FCCC7" w14:textId="77777777" w:rsidR="00DA6DC7" w:rsidRDefault="00BD17C6">
            <w:pPr>
              <w:rPr>
                <w:rFonts w:hint="eastAsia"/>
              </w:rPr>
            </w:pPr>
            <w:r>
              <w:t>Mass Market</w:t>
            </w:r>
          </w:p>
        </w:tc>
        <w:tc>
          <w:tcPr>
            <w:tcW w:w="2880" w:type="dxa"/>
          </w:tcPr>
          <w:p w14:paraId="6F5FA2E4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3,121</w:t>
            </w:r>
          </w:p>
        </w:tc>
        <w:tc>
          <w:tcPr>
            <w:tcW w:w="2880" w:type="dxa"/>
          </w:tcPr>
          <w:p w14:paraId="42F8F24C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62.42%</w:t>
            </w:r>
          </w:p>
        </w:tc>
      </w:tr>
      <w:tr w:rsidR="00DA6DC7" w14:paraId="03CDDE1F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47DF5B" w14:textId="77777777" w:rsidR="00DA6DC7" w:rsidRDefault="00BD17C6">
            <w:pPr>
              <w:rPr>
                <w:rFonts w:hint="eastAsia"/>
              </w:rPr>
            </w:pPr>
            <w:r>
              <w:t>Affluent</w:t>
            </w:r>
          </w:p>
        </w:tc>
        <w:tc>
          <w:tcPr>
            <w:tcW w:w="2880" w:type="dxa"/>
          </w:tcPr>
          <w:p w14:paraId="6C50ABF4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1,369</w:t>
            </w:r>
          </w:p>
        </w:tc>
        <w:tc>
          <w:tcPr>
            <w:tcW w:w="2880" w:type="dxa"/>
          </w:tcPr>
          <w:p w14:paraId="6DE1A041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27.38%</w:t>
            </w:r>
          </w:p>
        </w:tc>
      </w:tr>
      <w:tr w:rsidR="00DA6DC7" w14:paraId="68152B01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CEEC29" w14:textId="77777777" w:rsidR="00DA6DC7" w:rsidRDefault="00BD17C6">
            <w:pPr>
              <w:rPr>
                <w:rFonts w:hint="eastAsia"/>
              </w:rPr>
            </w:pPr>
            <w:r>
              <w:t>Premium</w:t>
            </w:r>
          </w:p>
        </w:tc>
        <w:tc>
          <w:tcPr>
            <w:tcW w:w="2880" w:type="dxa"/>
          </w:tcPr>
          <w:p w14:paraId="1C468A68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510</w:t>
            </w:r>
          </w:p>
        </w:tc>
        <w:tc>
          <w:tcPr>
            <w:tcW w:w="2880" w:type="dxa"/>
          </w:tcPr>
          <w:p w14:paraId="59388362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10.20%</w:t>
            </w:r>
          </w:p>
        </w:tc>
      </w:tr>
    </w:tbl>
    <w:p w14:paraId="0F1FAE7E" w14:textId="77777777" w:rsidR="00DA6DC7" w:rsidRDefault="00DA6DC7">
      <w:pPr>
        <w:rPr>
          <w:rFonts w:hint="eastAsia"/>
        </w:rPr>
      </w:pPr>
    </w:p>
    <w:p w14:paraId="4D75C52E" w14:textId="77777777" w:rsidR="00DA6DC7" w:rsidRDefault="00BD17C6">
      <w:pPr>
        <w:rPr>
          <w:rFonts w:hint="eastAsia"/>
        </w:rPr>
      </w:pPr>
      <w:r>
        <w:t>Customer locations are comparatively balanced: the largest city is Delhi (518 customers), while Bhubaneswar has 466. Mass Market is the dominant segment. This describes customer mix, not segment profitability.</w:t>
      </w:r>
    </w:p>
    <w:p w14:paraId="3A1A5266" w14:textId="77777777" w:rsidR="00DA6DC7" w:rsidRDefault="00BD17C6">
      <w:pPr>
        <w:rPr>
          <w:rFonts w:hint="eastAsia"/>
        </w:rPr>
      </w:pPr>
      <w:r>
        <w:t xml:space="preserve">Credit scores across all </w:t>
      </w:r>
      <w:r>
        <w:t>5,000 original customers average 734.12, with a median of 735. In the 4,988-row notebook screenshot, the mean was 734.21 and median 735; these figures differ because the underlying customer populations differ. A credit score distribution cannot independent</w:t>
      </w:r>
      <w:r>
        <w:t>ly establish default risk.</w:t>
      </w:r>
    </w:p>
    <w:p w14:paraId="1ED7E0FC" w14:textId="2B56C443" w:rsidR="00DA6DC7" w:rsidRDefault="00BD17C6">
      <w:pPr>
        <w:pStyle w:val="Heading1"/>
      </w:pPr>
      <w:r>
        <w:t>4. Lending portfolio and defaults</w:t>
      </w:r>
    </w:p>
    <w:p w14:paraId="5ADED36D" w14:textId="77777777" w:rsidR="00DA6DC7" w:rsidRDefault="00BD17C6">
      <w:pPr>
        <w:rPr>
          <w:rFonts w:hint="eastAsia"/>
        </w:rPr>
      </w:pPr>
      <w:r>
        <w:rPr>
          <w:noProof/>
        </w:rPr>
        <w:drawing>
          <wp:inline distT="0" distB="0" distL="0" distR="0" wp14:anchorId="306E28C3" wp14:editId="0D1E992F">
            <wp:extent cx="6217920" cy="2114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loan_cha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A6DC7" w14:paraId="0484E06C" w14:textId="77777777" w:rsidTr="00D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61D90F" w14:textId="77777777" w:rsidR="00DA6DC7" w:rsidRDefault="00BD17C6">
            <w:pPr>
              <w:rPr>
                <w:rFonts w:hint="eastAsia"/>
              </w:rPr>
            </w:pPr>
            <w:r>
              <w:t>Loan product</w:t>
            </w:r>
          </w:p>
        </w:tc>
        <w:tc>
          <w:tcPr>
            <w:tcW w:w="1728" w:type="dxa"/>
          </w:tcPr>
          <w:p w14:paraId="11D0F3D6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Loans</w:t>
            </w:r>
          </w:p>
        </w:tc>
        <w:tc>
          <w:tcPr>
            <w:tcW w:w="1728" w:type="dxa"/>
          </w:tcPr>
          <w:p w14:paraId="182714FD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Defaults</w:t>
            </w:r>
          </w:p>
        </w:tc>
        <w:tc>
          <w:tcPr>
            <w:tcW w:w="1728" w:type="dxa"/>
          </w:tcPr>
          <w:p w14:paraId="2E5CE2E3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Default rate</w:t>
            </w:r>
          </w:p>
        </w:tc>
        <w:tc>
          <w:tcPr>
            <w:tcW w:w="1728" w:type="dxa"/>
          </w:tcPr>
          <w:p w14:paraId="3C78E20D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Defaulted principal</w:t>
            </w:r>
          </w:p>
        </w:tc>
      </w:tr>
      <w:tr w:rsidR="00DA6DC7" w14:paraId="3B0EA803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A23E96" w14:textId="77777777" w:rsidR="00DA6DC7" w:rsidRDefault="00BD17C6">
            <w:pPr>
              <w:rPr>
                <w:rFonts w:hint="eastAsia"/>
              </w:rPr>
            </w:pPr>
            <w:r>
              <w:t>Auto Loan</w:t>
            </w:r>
          </w:p>
        </w:tc>
        <w:tc>
          <w:tcPr>
            <w:tcW w:w="1728" w:type="dxa"/>
          </w:tcPr>
          <w:p w14:paraId="0347F8E8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1,295</w:t>
            </w:r>
          </w:p>
        </w:tc>
        <w:tc>
          <w:tcPr>
            <w:tcW w:w="1728" w:type="dxa"/>
          </w:tcPr>
          <w:p w14:paraId="7B248BDC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128</w:t>
            </w:r>
          </w:p>
        </w:tc>
        <w:tc>
          <w:tcPr>
            <w:tcW w:w="1728" w:type="dxa"/>
          </w:tcPr>
          <w:p w14:paraId="44165DE0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9.88%</w:t>
            </w:r>
          </w:p>
        </w:tc>
        <w:tc>
          <w:tcPr>
            <w:tcW w:w="1728" w:type="dxa"/>
          </w:tcPr>
          <w:p w14:paraId="291C3AF6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10.64 cr</w:t>
            </w:r>
          </w:p>
        </w:tc>
      </w:tr>
      <w:tr w:rsidR="00DA6DC7" w14:paraId="29A6A3E4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506138" w14:textId="77777777" w:rsidR="00DA6DC7" w:rsidRDefault="00BD17C6">
            <w:pPr>
              <w:rPr>
                <w:rFonts w:hint="eastAsia"/>
              </w:rPr>
            </w:pPr>
            <w:r>
              <w:t>Business Loan</w:t>
            </w:r>
          </w:p>
        </w:tc>
        <w:tc>
          <w:tcPr>
            <w:tcW w:w="1728" w:type="dxa"/>
          </w:tcPr>
          <w:p w14:paraId="72AE6AEC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911</w:t>
            </w:r>
          </w:p>
        </w:tc>
        <w:tc>
          <w:tcPr>
            <w:tcW w:w="1728" w:type="dxa"/>
          </w:tcPr>
          <w:p w14:paraId="2848C7D0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76</w:t>
            </w:r>
          </w:p>
        </w:tc>
        <w:tc>
          <w:tcPr>
            <w:tcW w:w="1728" w:type="dxa"/>
          </w:tcPr>
          <w:p w14:paraId="0B263595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8.34%</w:t>
            </w:r>
          </w:p>
        </w:tc>
        <w:tc>
          <w:tcPr>
            <w:tcW w:w="1728" w:type="dxa"/>
          </w:tcPr>
          <w:p w14:paraId="53E23F63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6.45 cr</w:t>
            </w:r>
          </w:p>
        </w:tc>
      </w:tr>
      <w:tr w:rsidR="00DA6DC7" w14:paraId="232C31C9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EA1D05" w14:textId="77777777" w:rsidR="00DA6DC7" w:rsidRDefault="00BD17C6">
            <w:pPr>
              <w:rPr>
                <w:rFonts w:hint="eastAsia"/>
              </w:rPr>
            </w:pPr>
            <w:r>
              <w:t>Education Loan</w:t>
            </w:r>
          </w:p>
        </w:tc>
        <w:tc>
          <w:tcPr>
            <w:tcW w:w="1728" w:type="dxa"/>
          </w:tcPr>
          <w:p w14:paraId="486835B0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500</w:t>
            </w:r>
          </w:p>
        </w:tc>
        <w:tc>
          <w:tcPr>
            <w:tcW w:w="1728" w:type="dxa"/>
          </w:tcPr>
          <w:p w14:paraId="60E077ED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51</w:t>
            </w:r>
          </w:p>
        </w:tc>
        <w:tc>
          <w:tcPr>
            <w:tcW w:w="1728" w:type="dxa"/>
          </w:tcPr>
          <w:p w14:paraId="1E65BAE2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10.20%</w:t>
            </w:r>
          </w:p>
        </w:tc>
        <w:tc>
          <w:tcPr>
            <w:tcW w:w="1728" w:type="dxa"/>
          </w:tcPr>
          <w:p w14:paraId="3FBF2646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3.60 cr</w:t>
            </w:r>
          </w:p>
        </w:tc>
      </w:tr>
      <w:tr w:rsidR="00DA6DC7" w14:paraId="1CCD15C8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7EA423" w14:textId="77777777" w:rsidR="00DA6DC7" w:rsidRDefault="00BD17C6">
            <w:pPr>
              <w:rPr>
                <w:rFonts w:hint="eastAsia"/>
              </w:rPr>
            </w:pPr>
            <w:r>
              <w:t>Home Loan</w:t>
            </w:r>
          </w:p>
        </w:tc>
        <w:tc>
          <w:tcPr>
            <w:tcW w:w="1728" w:type="dxa"/>
          </w:tcPr>
          <w:p w14:paraId="226BD4CB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1,409</w:t>
            </w:r>
          </w:p>
        </w:tc>
        <w:tc>
          <w:tcPr>
            <w:tcW w:w="1728" w:type="dxa"/>
          </w:tcPr>
          <w:p w14:paraId="1DCF2FD0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141</w:t>
            </w:r>
          </w:p>
        </w:tc>
        <w:tc>
          <w:tcPr>
            <w:tcW w:w="1728" w:type="dxa"/>
          </w:tcPr>
          <w:p w14:paraId="3069FDA7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10.01%</w:t>
            </w:r>
          </w:p>
        </w:tc>
        <w:tc>
          <w:tcPr>
            <w:tcW w:w="1728" w:type="dxa"/>
          </w:tcPr>
          <w:p w14:paraId="6D34C742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11.42 cr</w:t>
            </w:r>
          </w:p>
        </w:tc>
      </w:tr>
      <w:tr w:rsidR="00DA6DC7" w14:paraId="1671CF02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C9553A" w14:textId="77777777" w:rsidR="00DA6DC7" w:rsidRDefault="00BD17C6">
            <w:pPr>
              <w:rPr>
                <w:rFonts w:hint="eastAsia"/>
              </w:rPr>
            </w:pPr>
            <w:r>
              <w:t>Personal Loan</w:t>
            </w:r>
          </w:p>
        </w:tc>
        <w:tc>
          <w:tcPr>
            <w:tcW w:w="1728" w:type="dxa"/>
          </w:tcPr>
          <w:p w14:paraId="00D7550F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2,385</w:t>
            </w:r>
          </w:p>
        </w:tc>
        <w:tc>
          <w:tcPr>
            <w:tcW w:w="1728" w:type="dxa"/>
          </w:tcPr>
          <w:p w14:paraId="5FE6E2C3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220</w:t>
            </w:r>
          </w:p>
        </w:tc>
        <w:tc>
          <w:tcPr>
            <w:tcW w:w="1728" w:type="dxa"/>
          </w:tcPr>
          <w:p w14:paraId="37963A29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9.22%</w:t>
            </w:r>
          </w:p>
        </w:tc>
        <w:tc>
          <w:tcPr>
            <w:tcW w:w="1728" w:type="dxa"/>
          </w:tcPr>
          <w:p w14:paraId="19421023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₹</w:t>
            </w:r>
            <w:r>
              <w:t>19.80 cr</w:t>
            </w:r>
          </w:p>
        </w:tc>
      </w:tr>
    </w:tbl>
    <w:p w14:paraId="271F2D5C" w14:textId="77777777" w:rsidR="00DA6DC7" w:rsidRDefault="00DA6DC7">
      <w:pPr>
        <w:rPr>
          <w:rFonts w:hint="eastAsia"/>
        </w:rPr>
      </w:pPr>
    </w:p>
    <w:p w14:paraId="78E991D9" w14:textId="77777777" w:rsidR="00D053CC" w:rsidRDefault="00D053CC"/>
    <w:p w14:paraId="7FFFF64D" w14:textId="77777777" w:rsidR="00D053CC" w:rsidRDefault="00D053CC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D053CC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lastRenderedPageBreak/>
        <w:t xml:space="preserve">SQL Analysis </w:t>
      </w:r>
      <w: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---</w:t>
      </w:r>
    </w:p>
    <w:p w14:paraId="721BEDA6" w14:textId="1998D24C" w:rsidR="00DA6DC7" w:rsidRDefault="00BD17C6">
      <w:r>
        <w:t xml:space="preserve">Personal Loans account for the greatest absolute defaulted principal (₹19.81 crore), followed by Home Loans (₹11.42 crore) and Auto Loans (₹10.64 crore). A high defaulted amount can </w:t>
      </w:r>
      <w:r>
        <w:t>reflect portfolio size, default frequency, or typical loan size; the rate chart helps distinguish these drivers.</w:t>
      </w:r>
    </w:p>
    <w:p w14:paraId="16C87DDC" w14:textId="23F1D2C5" w:rsidR="00D053CC" w:rsidRPr="00D053CC" w:rsidRDefault="00D053CC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u w:val="single"/>
        </w:rPr>
      </w:pPr>
      <w:r w:rsidRPr="00D053CC">
        <w:rPr>
          <w:rFonts w:asciiTheme="majorHAnsi" w:hAnsiTheme="majorHAnsi" w:cstheme="majorHAnsi"/>
          <w:b/>
          <w:bCs/>
          <w:color w:val="1F497D" w:themeColor="text2"/>
          <w:u w:val="single"/>
        </w:rPr>
        <w:t xml:space="preserve">Default Amount </w:t>
      </w:r>
      <w:proofErr w:type="gramStart"/>
      <w:r w:rsidRPr="00D053CC">
        <w:rPr>
          <w:rFonts w:asciiTheme="majorHAnsi" w:hAnsiTheme="majorHAnsi" w:cstheme="majorHAnsi"/>
          <w:b/>
          <w:bCs/>
          <w:color w:val="1F497D" w:themeColor="text2"/>
          <w:u w:val="single"/>
        </w:rPr>
        <w:t>By</w:t>
      </w:r>
      <w:proofErr w:type="gramEnd"/>
      <w:r w:rsidRPr="00D053CC">
        <w:rPr>
          <w:rFonts w:asciiTheme="majorHAnsi" w:hAnsiTheme="majorHAnsi" w:cstheme="majorHAnsi"/>
          <w:b/>
          <w:bCs/>
          <w:color w:val="1F497D" w:themeColor="text2"/>
          <w:u w:val="single"/>
        </w:rPr>
        <w:t xml:space="preserve"> Each Loan type-</w:t>
      </w:r>
    </w:p>
    <w:p w14:paraId="34B08FC6" w14:textId="0426AC21" w:rsidR="00B360FB" w:rsidRDefault="00194499">
      <w:pPr>
        <w:rPr>
          <w:noProof/>
        </w:rPr>
      </w:pPr>
      <w:r>
        <w:rPr>
          <w:noProof/>
        </w:rPr>
        <w:drawing>
          <wp:inline distT="0" distB="0" distL="0" distR="0" wp14:anchorId="4307FFEB" wp14:editId="5C94AD80">
            <wp:extent cx="3251835" cy="2208363"/>
            <wp:effectExtent l="0" t="0" r="571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192" cy="221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0FB">
        <w:rPr>
          <w:noProof/>
        </w:rPr>
        <w:drawing>
          <wp:inline distT="0" distB="0" distL="0" distR="0" wp14:anchorId="5AA617A6" wp14:editId="5146F2A8">
            <wp:extent cx="3293637" cy="217385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7981" cy="21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AF0B" w14:textId="6D3906C8" w:rsidR="00B360FB" w:rsidRPr="00D053CC" w:rsidRDefault="00D053CC">
      <w:pPr>
        <w:rPr>
          <w:rFonts w:asciiTheme="majorHAnsi" w:hAnsiTheme="majorHAnsi" w:cstheme="majorHAnsi"/>
          <w:b/>
          <w:bCs/>
          <w:noProof/>
          <w:color w:val="1F497D" w:themeColor="text2"/>
        </w:rPr>
      </w:pPr>
      <w:r w:rsidRPr="00D053CC">
        <w:rPr>
          <w:rFonts w:asciiTheme="majorHAnsi" w:hAnsiTheme="majorHAnsi" w:cstheme="majorHAnsi"/>
          <w:b/>
          <w:bCs/>
          <w:noProof/>
          <w:color w:val="1F497D" w:themeColor="text2"/>
        </w:rPr>
        <w:t>Customer Segmentation By Risk-</w:t>
      </w:r>
      <w:r>
        <w:rPr>
          <w:rFonts w:asciiTheme="majorHAnsi" w:hAnsiTheme="majorHAnsi" w:cstheme="majorHAnsi"/>
          <w:b/>
          <w:bCs/>
          <w:noProof/>
          <w:color w:val="1F497D" w:themeColor="text2"/>
        </w:rPr>
        <w:t xml:space="preserve">                                                                     Monthly Transaction Trend</w:t>
      </w:r>
    </w:p>
    <w:p w14:paraId="6BDFD9D1" w14:textId="65B5E2F5" w:rsidR="00B360FB" w:rsidRDefault="00B360FB">
      <w:pPr>
        <w:rPr>
          <w:noProof/>
        </w:rPr>
      </w:pPr>
      <w:r>
        <w:rPr>
          <w:noProof/>
        </w:rPr>
        <w:drawing>
          <wp:inline distT="0" distB="0" distL="0" distR="0" wp14:anchorId="206104AB" wp14:editId="3817B020">
            <wp:extent cx="3276841" cy="218194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3058" cy="219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65259" wp14:editId="09DB0BBD">
            <wp:extent cx="3260415" cy="2148708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1118" cy="21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D099" w14:textId="3D01CA35" w:rsidR="00B360FB" w:rsidRDefault="00D053CC">
      <w:pPr>
        <w:rPr>
          <w:rFonts w:asciiTheme="majorHAnsi" w:hAnsiTheme="majorHAnsi" w:cstheme="majorHAnsi"/>
          <w:b/>
          <w:bCs/>
          <w:noProof/>
          <w:color w:val="1F497D" w:themeColor="text2"/>
        </w:rPr>
      </w:pPr>
      <w:r w:rsidRPr="00D053CC">
        <w:rPr>
          <w:rFonts w:asciiTheme="majorHAnsi" w:hAnsiTheme="majorHAnsi" w:cstheme="majorHAnsi"/>
          <w:b/>
          <w:bCs/>
          <w:noProof/>
          <w:color w:val="1F497D" w:themeColor="text2"/>
        </w:rPr>
        <w:t>Transaction Performance By Channels</w:t>
      </w:r>
    </w:p>
    <w:p w14:paraId="08B72A53" w14:textId="77777777" w:rsidR="00D053CC" w:rsidRPr="00D053CC" w:rsidRDefault="00D053CC">
      <w:pPr>
        <w:rPr>
          <w:rFonts w:asciiTheme="majorHAnsi" w:hAnsiTheme="majorHAnsi" w:cstheme="majorHAnsi"/>
          <w:b/>
          <w:bCs/>
          <w:noProof/>
          <w:color w:val="1F497D" w:themeColor="text2"/>
        </w:rPr>
      </w:pPr>
    </w:p>
    <w:p w14:paraId="3478E13B" w14:textId="5AC21DE2" w:rsidR="00DA6DC7" w:rsidRDefault="00B360FB">
      <w:pPr>
        <w:rPr>
          <w:rFonts w:hint="eastAsia"/>
        </w:rPr>
      </w:pPr>
      <w:r>
        <w:rPr>
          <w:noProof/>
        </w:rPr>
        <w:drawing>
          <wp:inline distT="0" distB="0" distL="0" distR="0" wp14:anchorId="64014B81" wp14:editId="0BBC8F8F">
            <wp:extent cx="3277984" cy="2165231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1338" cy="21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C6">
        <w:br w:type="page"/>
      </w:r>
    </w:p>
    <w:p w14:paraId="1C656BE1" w14:textId="77777777" w:rsidR="00DA6DC7" w:rsidRDefault="00BD17C6">
      <w:pPr>
        <w:pStyle w:val="Heading1"/>
      </w:pPr>
      <w:r>
        <w:lastRenderedPageBreak/>
        <w:t>5. Risk segmentation and customer exposure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6DC7" w14:paraId="3F5080B2" w14:textId="77777777" w:rsidTr="00D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E8493D" w14:textId="77777777" w:rsidR="00DA6DC7" w:rsidRDefault="00BD17C6">
            <w:pPr>
              <w:rPr>
                <w:rFonts w:hint="eastAsia"/>
              </w:rPr>
            </w:pPr>
            <w:r>
              <w:t>Segment</w:t>
            </w:r>
          </w:p>
        </w:tc>
        <w:tc>
          <w:tcPr>
            <w:tcW w:w="2160" w:type="dxa"/>
          </w:tcPr>
          <w:p w14:paraId="5F4E9355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Loans</w:t>
            </w:r>
          </w:p>
        </w:tc>
        <w:tc>
          <w:tcPr>
            <w:tcW w:w="2160" w:type="dxa"/>
          </w:tcPr>
          <w:p w14:paraId="64770C8D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Defaulted loans</w:t>
            </w:r>
          </w:p>
        </w:tc>
        <w:tc>
          <w:tcPr>
            <w:tcW w:w="2160" w:type="dxa"/>
          </w:tcPr>
          <w:p w14:paraId="462973E9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Loan default rate</w:t>
            </w:r>
          </w:p>
        </w:tc>
      </w:tr>
      <w:tr w:rsidR="00DA6DC7" w14:paraId="321E845A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65F858" w14:textId="77777777" w:rsidR="00DA6DC7" w:rsidRDefault="00BD17C6">
            <w:pPr>
              <w:rPr>
                <w:rFonts w:hint="eastAsia"/>
              </w:rPr>
            </w:pPr>
            <w:r>
              <w:t>Affluent</w:t>
            </w:r>
          </w:p>
        </w:tc>
        <w:tc>
          <w:tcPr>
            <w:tcW w:w="2160" w:type="dxa"/>
          </w:tcPr>
          <w:p w14:paraId="78F50CF9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1,747</w:t>
            </w:r>
          </w:p>
        </w:tc>
        <w:tc>
          <w:tcPr>
            <w:tcW w:w="2160" w:type="dxa"/>
          </w:tcPr>
          <w:p w14:paraId="6BFFB7D2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165</w:t>
            </w:r>
          </w:p>
        </w:tc>
        <w:tc>
          <w:tcPr>
            <w:tcW w:w="2160" w:type="dxa"/>
          </w:tcPr>
          <w:p w14:paraId="4C3BEDCC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9.44%</w:t>
            </w:r>
          </w:p>
        </w:tc>
      </w:tr>
      <w:tr w:rsidR="00DA6DC7" w14:paraId="7A3766B7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C830FC" w14:textId="77777777" w:rsidR="00DA6DC7" w:rsidRDefault="00BD17C6">
            <w:pPr>
              <w:rPr>
                <w:rFonts w:hint="eastAsia"/>
              </w:rPr>
            </w:pPr>
            <w:r>
              <w:t>Mass Market</w:t>
            </w:r>
          </w:p>
        </w:tc>
        <w:tc>
          <w:tcPr>
            <w:tcW w:w="2160" w:type="dxa"/>
          </w:tcPr>
          <w:p w14:paraId="360C078B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4,118</w:t>
            </w:r>
          </w:p>
        </w:tc>
        <w:tc>
          <w:tcPr>
            <w:tcW w:w="2160" w:type="dxa"/>
          </w:tcPr>
          <w:p w14:paraId="068A2ABA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386</w:t>
            </w:r>
          </w:p>
        </w:tc>
        <w:tc>
          <w:tcPr>
            <w:tcW w:w="2160" w:type="dxa"/>
          </w:tcPr>
          <w:p w14:paraId="7D95E321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9.37%</w:t>
            </w:r>
          </w:p>
        </w:tc>
      </w:tr>
      <w:tr w:rsidR="00DA6DC7" w14:paraId="5F9B7236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6C72E4" w14:textId="77777777" w:rsidR="00DA6DC7" w:rsidRDefault="00BD17C6">
            <w:pPr>
              <w:rPr>
                <w:rFonts w:hint="eastAsia"/>
              </w:rPr>
            </w:pPr>
            <w:r>
              <w:t>Premium</w:t>
            </w:r>
          </w:p>
        </w:tc>
        <w:tc>
          <w:tcPr>
            <w:tcW w:w="2160" w:type="dxa"/>
          </w:tcPr>
          <w:p w14:paraId="6D806AC5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635</w:t>
            </w:r>
          </w:p>
        </w:tc>
        <w:tc>
          <w:tcPr>
            <w:tcW w:w="2160" w:type="dxa"/>
          </w:tcPr>
          <w:p w14:paraId="728CEE84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65</w:t>
            </w:r>
          </w:p>
        </w:tc>
        <w:tc>
          <w:tcPr>
            <w:tcW w:w="2160" w:type="dxa"/>
          </w:tcPr>
          <w:p w14:paraId="23A72DF9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10.24%</w:t>
            </w:r>
          </w:p>
        </w:tc>
      </w:tr>
    </w:tbl>
    <w:p w14:paraId="697969C4" w14:textId="77777777" w:rsidR="00DA6DC7" w:rsidRDefault="00DA6DC7">
      <w:pPr>
        <w:rPr>
          <w:rFonts w:hint="eastAsia"/>
        </w:rPr>
      </w:pPr>
    </w:p>
    <w:p w14:paraId="71DB7079" w14:textId="77777777" w:rsidR="00DA6DC7" w:rsidRDefault="00BD17C6">
      <w:pPr>
        <w:rPr>
          <w:rFonts w:hint="eastAsia"/>
        </w:rPr>
      </w:pPr>
      <w:r>
        <w:t>Segment default rates are calculated at loan level after matching customer IDs. They should not be interpreted as the percentage of unique customers who defaulted. Credit-score bands and risk-band labels can support addit</w:t>
      </w:r>
      <w:r>
        <w:t>ional monitoring, but should be tested against actual defaults before being treated as risk predictions.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6DC7" w14:paraId="04B17775" w14:textId="77777777" w:rsidTr="00D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6BDDB" w14:textId="77777777" w:rsidR="00DA6DC7" w:rsidRDefault="00BD17C6">
            <w:pPr>
              <w:rPr>
                <w:rFonts w:hint="eastAsia"/>
              </w:rPr>
            </w:pPr>
            <w:r>
              <w:t>Source risk band</w:t>
            </w:r>
          </w:p>
        </w:tc>
        <w:tc>
          <w:tcPr>
            <w:tcW w:w="2880" w:type="dxa"/>
          </w:tcPr>
          <w:p w14:paraId="085E439E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Loan count</w:t>
            </w:r>
          </w:p>
        </w:tc>
        <w:tc>
          <w:tcPr>
            <w:tcW w:w="2880" w:type="dxa"/>
          </w:tcPr>
          <w:p w14:paraId="2354BBB3" w14:textId="77777777" w:rsidR="00DA6DC7" w:rsidRDefault="00BD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Default rate</w:t>
            </w:r>
          </w:p>
        </w:tc>
      </w:tr>
      <w:tr w:rsidR="00DA6DC7" w14:paraId="107203C3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40642D" w14:textId="77777777" w:rsidR="00DA6DC7" w:rsidRDefault="00BD17C6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880" w:type="dxa"/>
          </w:tcPr>
          <w:p w14:paraId="6C4FCD50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1,240</w:t>
            </w:r>
          </w:p>
        </w:tc>
        <w:tc>
          <w:tcPr>
            <w:tcW w:w="2880" w:type="dxa"/>
          </w:tcPr>
          <w:p w14:paraId="4C847464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7.66%</w:t>
            </w:r>
          </w:p>
        </w:tc>
      </w:tr>
      <w:tr w:rsidR="00DA6DC7" w14:paraId="1C549389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704BE" w14:textId="77777777" w:rsidR="00DA6DC7" w:rsidRDefault="00BD17C6">
            <w:pPr>
              <w:rPr>
                <w:rFonts w:hint="eastAsia"/>
              </w:rPr>
            </w:pPr>
            <w:r>
              <w:t>Low</w:t>
            </w:r>
          </w:p>
        </w:tc>
        <w:tc>
          <w:tcPr>
            <w:tcW w:w="2880" w:type="dxa"/>
          </w:tcPr>
          <w:p w14:paraId="054DA9A5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1,680</w:t>
            </w:r>
          </w:p>
        </w:tc>
        <w:tc>
          <w:tcPr>
            <w:tcW w:w="2880" w:type="dxa"/>
          </w:tcPr>
          <w:p w14:paraId="0F71D066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10.77%</w:t>
            </w:r>
          </w:p>
        </w:tc>
      </w:tr>
      <w:tr w:rsidR="00DA6DC7" w14:paraId="1A00BCC2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CA4FF" w14:textId="77777777" w:rsidR="00DA6DC7" w:rsidRDefault="00BD17C6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2880" w:type="dxa"/>
          </w:tcPr>
          <w:p w14:paraId="4142BFD3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1,952</w:t>
            </w:r>
          </w:p>
        </w:tc>
        <w:tc>
          <w:tcPr>
            <w:tcW w:w="2880" w:type="dxa"/>
          </w:tcPr>
          <w:p w14:paraId="38C5DECA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9.12%</w:t>
            </w:r>
          </w:p>
        </w:tc>
      </w:tr>
      <w:tr w:rsidR="00DA6DC7" w14:paraId="58F03089" w14:textId="77777777" w:rsidTr="00DA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61BFF" w14:textId="77777777" w:rsidR="00DA6DC7" w:rsidRDefault="00BD17C6">
            <w:pPr>
              <w:rPr>
                <w:rFonts w:hint="eastAsia"/>
              </w:rPr>
            </w:pPr>
            <w:r>
              <w:t>Very High</w:t>
            </w:r>
          </w:p>
        </w:tc>
        <w:tc>
          <w:tcPr>
            <w:tcW w:w="2880" w:type="dxa"/>
          </w:tcPr>
          <w:p w14:paraId="677CBDFB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612</w:t>
            </w:r>
          </w:p>
        </w:tc>
        <w:tc>
          <w:tcPr>
            <w:tcW w:w="2880" w:type="dxa"/>
          </w:tcPr>
          <w:p w14:paraId="379136CD" w14:textId="77777777" w:rsidR="00DA6DC7" w:rsidRDefault="00BD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8.17%</w:t>
            </w:r>
          </w:p>
        </w:tc>
      </w:tr>
      <w:tr w:rsidR="00DA6DC7" w14:paraId="25BE761F" w14:textId="77777777" w:rsidTr="00D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2DE59" w14:textId="77777777" w:rsidR="00DA6DC7" w:rsidRDefault="00BD17C6">
            <w:pPr>
              <w:rPr>
                <w:rFonts w:hint="eastAsia"/>
              </w:rPr>
            </w:pPr>
            <w:r>
              <w:t>Very Low</w:t>
            </w:r>
          </w:p>
        </w:tc>
        <w:tc>
          <w:tcPr>
            <w:tcW w:w="2880" w:type="dxa"/>
          </w:tcPr>
          <w:p w14:paraId="6498C95B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1,016</w:t>
            </w:r>
          </w:p>
        </w:tc>
        <w:tc>
          <w:tcPr>
            <w:tcW w:w="2880" w:type="dxa"/>
          </w:tcPr>
          <w:p w14:paraId="54719DC5" w14:textId="77777777" w:rsidR="00DA6DC7" w:rsidRDefault="00BD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11.02%</w:t>
            </w:r>
          </w:p>
        </w:tc>
      </w:tr>
    </w:tbl>
    <w:p w14:paraId="16C637CA" w14:textId="77777777" w:rsidR="00DA6DC7" w:rsidRDefault="00DA6DC7">
      <w:pPr>
        <w:rPr>
          <w:rFonts w:hint="eastAsia"/>
        </w:rPr>
      </w:pPr>
    </w:p>
    <w:p w14:paraId="4D570085" w14:textId="77777777" w:rsidR="00DA6DC7" w:rsidRDefault="00BD17C6">
      <w:pPr>
        <w:rPr>
          <w:rFonts w:hint="eastAsia"/>
        </w:rPr>
      </w:pPr>
      <w:r>
        <w:t>High-risk customer ranking was implemented in SQL with ROW_NUMBER() ordered by summed outstanding balances for loans tagged High or Very High. This is an exposure prioritization tool, not a probability-of-default model.</w:t>
      </w:r>
    </w:p>
    <w:p w14:paraId="1DBBDABD" w14:textId="77777777" w:rsidR="00DA6DC7" w:rsidRDefault="00BD17C6">
      <w:pPr>
        <w:pStyle w:val="Heading1"/>
      </w:pPr>
      <w:r>
        <w:t>6. Branch and transaction performanc</w:t>
      </w:r>
      <w:r>
        <w:t>e</w:t>
      </w:r>
    </w:p>
    <w:p w14:paraId="4AC35821" w14:textId="77777777" w:rsidR="00DA6DC7" w:rsidRDefault="00BD17C6">
      <w:pPr>
        <w:rPr>
          <w:rFonts w:hint="eastAsia"/>
        </w:rPr>
      </w:pPr>
      <w:r>
        <w:t>The SQL work included branch-wise loan principal, outstanding amount, defaulted principal and customer counts; monthly transaction trends; transaction-channel volume and value; and top customers by transaction amount. Screenshots show five channels: Mobi</w:t>
      </w:r>
      <w:r>
        <w:t>le App, ATM, POS, Internet Banking and Branch. Mobile App had the highest observed channel volume (9,581) and transaction value (approximately ₹7.89 crore) in the displayed SQL results.</w:t>
      </w:r>
    </w:p>
    <w:p w14:paraId="4318D12A" w14:textId="77777777" w:rsidR="00DA6DC7" w:rsidRDefault="00BD17C6">
      <w:pPr>
        <w:rPr>
          <w:rFonts w:hint="eastAsia"/>
        </w:rPr>
      </w:pPr>
      <w:r>
        <w:t>The consolidated file records 28,934 successful and 1,066 failed trans</w:t>
      </w:r>
      <w:r>
        <w:t>actions, equivalent to a 3.55% failed share. In the Power BI screenshot, city failure rates appear around 3%–4%, but the rounded labels are not precise enough for a reliable city ranking. Failure rates should be calculated as failed transactions divided by</w:t>
      </w:r>
      <w:r>
        <w:t xml:space="preserve"> all transactions and formatted as percentages, not raw decimals.</w:t>
      </w:r>
    </w:p>
    <w:p w14:paraId="2A1D16AB" w14:textId="2F51FD28" w:rsidR="00DA6DC7" w:rsidRDefault="00BD17C6">
      <w:r>
        <w:t>Branch reporting caveat: COUNT(c.customer_id) after joining branches → customers → loans counts customer-loan rows, not distinct customers. Use COUNT(DISTINCT c.customer_id) for unique borro</w:t>
      </w:r>
      <w:r>
        <w:t>wer counts. Include branches with no loans through left joins when completeness matters.</w:t>
      </w:r>
    </w:p>
    <w:p w14:paraId="7769B24E" w14:textId="2CEA652E" w:rsidR="00D053CC" w:rsidRDefault="00D053CC"/>
    <w:p w14:paraId="37385F84" w14:textId="47B800A7" w:rsidR="00D053CC" w:rsidRDefault="00D053CC">
      <w:r>
        <w:rPr>
          <w:noProof/>
        </w:rPr>
        <w:drawing>
          <wp:inline distT="0" distB="0" distL="0" distR="0" wp14:anchorId="78FDEA9F" wp14:editId="69914F21">
            <wp:extent cx="6392174" cy="251557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8887" cy="253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B6FB" w14:textId="4CD985F6" w:rsidR="00D053CC" w:rsidRDefault="00D053CC"/>
    <w:p w14:paraId="38FB72DE" w14:textId="77777777" w:rsidR="00DA6DC7" w:rsidRDefault="00BD17C6">
      <w:pPr>
        <w:pStyle w:val="Heading1"/>
      </w:pPr>
      <w:r>
        <w:lastRenderedPageBreak/>
        <w:t>7. Dashboard design and delivery</w:t>
      </w:r>
    </w:p>
    <w:p w14:paraId="403530EF" w14:textId="301DE1A4" w:rsidR="009A79E5" w:rsidRDefault="00BD17C6">
      <w:r>
        <w:t>The Power BI report was used to communicate lending KPIs, risk distributions and transaction performance. Recommended final navigation</w:t>
      </w:r>
      <w:r>
        <w:t>: Executive Overview; Loan &amp; Credit Risk; Transaction &amp; Branch Performance. Include slicers for city, branch, loan type and customer segment, with clearly labelled currency units, percentage formats and reporting period</w:t>
      </w:r>
    </w:p>
    <w:p w14:paraId="3BD7D825" w14:textId="77777777" w:rsidR="009A79E5" w:rsidRDefault="009A79E5">
      <w:r>
        <w:rPr>
          <w:noProof/>
        </w:rPr>
        <w:drawing>
          <wp:inline distT="0" distB="0" distL="0" distR="0" wp14:anchorId="1290635D" wp14:editId="581B27AB">
            <wp:extent cx="6918214" cy="3881887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30388" cy="38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3A75" w14:textId="2CA34E96" w:rsidR="00DA6DC7" w:rsidRDefault="009A79E5">
      <w:pPr>
        <w:rPr>
          <w:rFonts w:hint="eastAsia"/>
        </w:rPr>
      </w:pPr>
      <w:r>
        <w:rPr>
          <w:noProof/>
        </w:rPr>
        <w:drawing>
          <wp:inline distT="0" distB="0" distL="0" distR="0" wp14:anchorId="100A979A" wp14:editId="440C9A2A">
            <wp:extent cx="6927011" cy="3914403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28306" cy="39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C6">
        <w:br w:type="page"/>
      </w:r>
    </w:p>
    <w:p w14:paraId="7ED24AD1" w14:textId="77777777" w:rsidR="009A79E5" w:rsidRDefault="009A79E5">
      <w:pPr>
        <w:pStyle w:val="Heading1"/>
      </w:pPr>
      <w:r>
        <w:rPr>
          <w:noProof/>
        </w:rPr>
        <w:lastRenderedPageBreak/>
        <w:drawing>
          <wp:inline distT="0" distB="0" distL="0" distR="0" wp14:anchorId="2BC1795D" wp14:editId="6536F314">
            <wp:extent cx="7068662" cy="3976777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69730" cy="397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759D" w14:textId="32B25777" w:rsidR="00DA6DC7" w:rsidRDefault="00BD17C6">
      <w:pPr>
        <w:pStyle w:val="Heading1"/>
      </w:pPr>
      <w:r>
        <w:t xml:space="preserve">8. Business </w:t>
      </w:r>
      <w:r>
        <w:t>recommendations</w:t>
      </w:r>
    </w:p>
    <w:p w14:paraId="19EC0372" w14:textId="77777777" w:rsidR="00DA6DC7" w:rsidRDefault="00BD17C6">
      <w:pPr>
        <w:pStyle w:val="Heading2"/>
      </w:pPr>
      <w:r>
        <w:t>Prioritize default monitoring</w:t>
      </w:r>
    </w:p>
    <w:p w14:paraId="0E4CE630" w14:textId="77777777" w:rsidR="00DA6DC7" w:rsidRDefault="00BD17C6">
      <w:pPr>
        <w:rPr>
          <w:rFonts w:hint="eastAsia"/>
        </w:rPr>
      </w:pPr>
      <w:r>
        <w:t>Track default rates and principal on defaulted loans by product, branch and segment. Use both rates and amounts to avoid overemphasizing large portfolios.</w:t>
      </w:r>
    </w:p>
    <w:p w14:paraId="372774A3" w14:textId="77777777" w:rsidR="00DA6DC7" w:rsidRDefault="00BD17C6">
      <w:pPr>
        <w:pStyle w:val="Heading2"/>
      </w:pPr>
      <w:r>
        <w:t>Validate credit-risk signals</w:t>
      </w:r>
    </w:p>
    <w:p w14:paraId="7FB269B4" w14:textId="77777777" w:rsidR="00DA6DC7" w:rsidRDefault="00BD17C6">
      <w:pPr>
        <w:rPr>
          <w:rFonts w:hint="eastAsia"/>
        </w:rPr>
      </w:pPr>
      <w:r>
        <w:t>Compare actual defaults ac</w:t>
      </w:r>
      <w:r>
        <w:t>ross credit-score ranges, source risk bands and debt-to-income proxy groups before setting lending thresholds.</w:t>
      </w:r>
    </w:p>
    <w:p w14:paraId="7A8E0C15" w14:textId="77777777" w:rsidR="00DA6DC7" w:rsidRDefault="00BD17C6">
      <w:pPr>
        <w:pStyle w:val="Heading2"/>
      </w:pPr>
      <w:r>
        <w:t>Focus operational investigation</w:t>
      </w:r>
    </w:p>
    <w:p w14:paraId="36727ED6" w14:textId="77777777" w:rsidR="00DA6DC7" w:rsidRDefault="00BD17C6">
      <w:pPr>
        <w:rPr>
          <w:rFonts w:hint="eastAsia"/>
        </w:rPr>
      </w:pPr>
      <w:r>
        <w:t xml:space="preserve">Review transaction failures by channel and city, and compare failure counts with total transaction </w:t>
      </w:r>
      <w:r>
        <w:t>volumes.</w:t>
      </w:r>
    </w:p>
    <w:p w14:paraId="61789F4C" w14:textId="77777777" w:rsidR="00DA6DC7" w:rsidRDefault="00BD17C6">
      <w:pPr>
        <w:pStyle w:val="Heading2"/>
      </w:pPr>
      <w:r>
        <w:t>Improve data governance</w:t>
      </w:r>
    </w:p>
    <w:p w14:paraId="6B84125B" w14:textId="77777777" w:rsidR="00DA6DC7" w:rsidRDefault="00BD17C6">
      <w:pPr>
        <w:rPr>
          <w:rFonts w:hint="eastAsia"/>
        </w:rPr>
      </w:pPr>
      <w:r>
        <w:t>Preserve no-loan customers as zero exposure rather than replacing missing loan aggregates with the median; keep a clear data dictionary and reconciliation checks.</w:t>
      </w:r>
    </w:p>
    <w:p w14:paraId="44C10E8A" w14:textId="77777777" w:rsidR="00DA6DC7" w:rsidRDefault="00BD17C6">
      <w:pPr>
        <w:pStyle w:val="Heading2"/>
      </w:pPr>
      <w:r>
        <w:t>Strengthen dashboard usability</w:t>
      </w:r>
    </w:p>
    <w:p w14:paraId="141F5940" w14:textId="11AF9B4F" w:rsidR="009A79E5" w:rsidRDefault="00BD17C6" w:rsidP="009A79E5">
      <w:r>
        <w:t>Use correctly formatted perce</w:t>
      </w:r>
      <w:r>
        <w:t>ntages, distinct-customer measures, consistent denominators and a visible data refresh date.</w:t>
      </w:r>
    </w:p>
    <w:p w14:paraId="6725D62D" w14:textId="511A00B8" w:rsidR="00DA6DC7" w:rsidRDefault="00BD17C6">
      <w:pPr>
        <w:pStyle w:val="Heading1"/>
      </w:pPr>
      <w:r>
        <w:t>9</w:t>
      </w:r>
      <w:r>
        <w:t>. Limitations and analytical integrity</w:t>
      </w:r>
    </w:p>
    <w:p w14:paraId="31966CAB" w14:textId="77777777" w:rsidR="00DA6DC7" w:rsidRDefault="00BD17C6">
      <w:pPr>
        <w:rPr>
          <w:rFonts w:hint="eastAsia"/>
        </w:rPr>
      </w:pPr>
      <w:r>
        <w:t>This case study uses supplied project data, not live bank records. There is no evidence of recoveries, write-offs, net inte</w:t>
      </w:r>
      <w:r>
        <w:t>rest income, regulatory capital or realized loss-given-default. Consequently, the report does not estimate profitability, expected credit loss, or regulatory non-performing asset ratios. Transaction source rows and the branch master file were not available</w:t>
      </w:r>
      <w:r>
        <w:t xml:space="preserve"> as separate CSVs in the working files; detailed transaction/channel and branch observations are therefore attributed to the screenshots, while customer, loan and consolidated totals were verified against CSV files.</w:t>
      </w:r>
    </w:p>
    <w:p w14:paraId="72D39A4F" w14:textId="77777777" w:rsidR="00DA6DC7" w:rsidRDefault="00BD17C6">
      <w:pPr>
        <w:rPr>
          <w:rFonts w:hint="eastAsia"/>
        </w:rPr>
      </w:pPr>
      <w:r>
        <w:lastRenderedPageBreak/>
        <w:t>The notebook screenshot reports 4,988 co</w:t>
      </w:r>
      <w:r>
        <w:t>mplete rows after dropna, while the consolidated CSV has 5,000. Metrics should not be mixed across these populations without labeling the denominator. Source loan risk-band labels are descriptive categories; no independent validation of their calibration w</w:t>
      </w:r>
      <w:r>
        <w:t>as provided.</w:t>
      </w:r>
    </w:p>
    <w:p w14:paraId="3AD3BFC3" w14:textId="77777777" w:rsidR="00DA6DC7" w:rsidRDefault="00BD17C6">
      <w:pPr>
        <w:pStyle w:val="Heading1"/>
      </w:pPr>
      <w:r>
        <w:t>10. Conclusion</w:t>
      </w:r>
    </w:p>
    <w:p w14:paraId="68706771" w14:textId="77777777" w:rsidR="00DA6DC7" w:rsidRDefault="00BD17C6">
      <w:pPr>
        <w:rPr>
          <w:rFonts w:hint="eastAsia"/>
        </w:rPr>
      </w:pPr>
      <w:r>
        <w:t>The analysis demonstrates an end-to-end workflow from raw data inspection and cleaning to SQL-based portfolio analysis, Python EDA and Power BI presentation. The most material observed signals are a 9.48% loan default incidence,</w:t>
      </w:r>
      <w:r>
        <w:t xml:space="preserve"> ₹51.91 crore of original principal associated with defaulted loans, concentration of customers in the Mass Market segment, and measurable transaction failures. The next step for a production-grade banking risk system would be validated definitions, tempor</w:t>
      </w:r>
      <w:r>
        <w:t>al trend monitoring, and evidence-based risk models.</w:t>
      </w:r>
    </w:p>
    <w:p w14:paraId="3B3D3E75" w14:textId="77777777" w:rsidR="00DA6DC7" w:rsidRDefault="00BD17C6">
      <w:pPr>
        <w:pStyle w:val="Heading1"/>
      </w:pPr>
      <w:r>
        <w:t>Appendix: SQL and Python techniques demonstrated</w:t>
      </w:r>
    </w:p>
    <w:p w14:paraId="3791D144" w14:textId="77777777" w:rsidR="00DA6DC7" w:rsidRDefault="00BD17C6">
      <w:pPr>
        <w:rPr>
          <w:rFonts w:hint="eastAsia"/>
        </w:rPr>
      </w:pPr>
      <w:r>
        <w:t>SQL: joins, conditional SUM(CASE WHEN ...), GROUP BY, CTEs, COUNT, SUM, AVG, ROW_NUMBER, RANK, date functions, customer ranking and channel analysis. Pyth</w:t>
      </w:r>
      <w:r>
        <w:t>on: read_csv, dtypes, isnull, drop, groupby/agg, merge, fillna, dropna, value_counts, descriptive statistics and histogram/bar/pie visualizations.</w:t>
      </w:r>
    </w:p>
    <w:p w14:paraId="7015F178" w14:textId="77777777" w:rsidR="00DA6DC7" w:rsidRDefault="00BD17C6">
      <w:pPr>
        <w:rPr>
          <w:rFonts w:hint="eastAsia"/>
        </w:rPr>
      </w:pPr>
      <w:r>
        <w:t>Sources: supplied Customers CSV, Loans CSV, Final CSV, SQL Workbench screenshots, Jupyter screenshots and Pow</w:t>
      </w:r>
      <w:r>
        <w:t>er BI dashboard screenshot. All monetary values are assumed to be INR based on project context; currency metadata was not independently supplied.</w:t>
      </w:r>
    </w:p>
    <w:sectPr w:rsidR="00DA6DC7" w:rsidSect="0079032E">
      <w:headerReference w:type="default" r:id="rId25"/>
      <w:footerReference w:type="default" r:id="rId26"/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6362F" w14:textId="77777777" w:rsidR="00BD17C6" w:rsidRDefault="00BD17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544006" w14:textId="77777777" w:rsidR="00BD17C6" w:rsidRDefault="00BD17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99DE5" w14:textId="77777777" w:rsidR="00DA6DC7" w:rsidRDefault="00BD17C6">
    <w:pPr>
      <w:pStyle w:val="Footer"/>
      <w:jc w:val="right"/>
      <w:rPr>
        <w:rFonts w:hint="eastAsia"/>
      </w:rPr>
    </w:pPr>
    <w:r>
      <w:t>Portfolio case study  • 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AC772" w14:textId="77777777" w:rsidR="00BD17C6" w:rsidRDefault="00BD17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4CAA8A" w14:textId="77777777" w:rsidR="00BD17C6" w:rsidRDefault="00BD17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53221" w14:textId="77777777" w:rsidR="00DA6DC7" w:rsidRDefault="00BD17C6">
    <w:pPr>
      <w:pStyle w:val="Caption"/>
      <w:rPr>
        <w:rFonts w:hint="eastAsia"/>
      </w:rPr>
    </w:pPr>
    <w:r>
      <w:t>BANKING RISK ANALYTICS  /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C4E"/>
    <w:rsid w:val="0015074B"/>
    <w:rsid w:val="00194499"/>
    <w:rsid w:val="0029639D"/>
    <w:rsid w:val="00326F90"/>
    <w:rsid w:val="00551D4F"/>
    <w:rsid w:val="0079032E"/>
    <w:rsid w:val="009A79E5"/>
    <w:rsid w:val="009C3E72"/>
    <w:rsid w:val="00A938E9"/>
    <w:rsid w:val="00AA1D8D"/>
    <w:rsid w:val="00B360FB"/>
    <w:rsid w:val="00B47730"/>
    <w:rsid w:val="00BD17C6"/>
    <w:rsid w:val="00CB0664"/>
    <w:rsid w:val="00D053CC"/>
    <w:rsid w:val="00DA6D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B4F2A"/>
  <w14:defaultImageDpi w14:val="300"/>
  <w15:docId w15:val="{A5CCE264-74E4-4C2A-8764-77AE79D5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3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3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436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Tuhin Subhra Banerjee</cp:lastModifiedBy>
  <cp:revision>2</cp:revision>
  <dcterms:created xsi:type="dcterms:W3CDTF">2026-10-15T07:34:00Z</dcterms:created>
  <dcterms:modified xsi:type="dcterms:W3CDTF">2026-10-15T07:34:00Z</dcterms:modified>
  <cp:category/>
</cp:coreProperties>
</file>