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C4CA8" w14:textId="77777777" w:rsidR="00065FDF" w:rsidRDefault="007C3805">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t>Instructions for Authors of JMIR</w:t>
      </w:r>
    </w:p>
    <w:p w14:paraId="0EB581AE" w14:textId="77777777" w:rsidR="00065FDF" w:rsidRDefault="00065FDF"/>
    <w:p w14:paraId="643CAFF9" w14:textId="77777777" w:rsidR="00065FDF" w:rsidRDefault="007C3805">
      <w:r>
        <w:t>Here are some quick links to how your manuscript should look at the time of submission.  Components are detailed in the expected format of your manuscript.  Please also refer to Instructions for Authors of JMIR for more information related to submissions, and Guide to JMIR Online Interface (PPT to come) for help with using our online system.</w:t>
      </w:r>
      <w:bookmarkStart w:id="0" w:name="_GoBack"/>
      <w:bookmarkEnd w:id="0"/>
    </w:p>
    <w:p w14:paraId="0737D367" w14:textId="77777777" w:rsidR="00065FDF" w:rsidRDefault="00065FDF"/>
    <w:p w14:paraId="03B5D822" w14:textId="77777777" w:rsidR="00065FDF" w:rsidRDefault="00CB174B">
      <w:hyperlink w:anchor="Authors" w:history="1">
        <w:r w:rsidR="007C3805">
          <w:rPr>
            <w:rStyle w:val="af4"/>
          </w:rPr>
          <w:t>Authors’ information/metadata</w:t>
        </w:r>
      </w:hyperlink>
    </w:p>
    <w:p w14:paraId="72314F4A" w14:textId="77777777" w:rsidR="00065FDF" w:rsidRDefault="00CB174B">
      <w:hyperlink w:anchor="Subheadings" w:history="1">
        <w:r w:rsidR="007C3805">
          <w:rPr>
            <w:rStyle w:val="af4"/>
          </w:rPr>
          <w:t>Heading/heading styles</w:t>
        </w:r>
      </w:hyperlink>
    </w:p>
    <w:p w14:paraId="68BBB9E6" w14:textId="77777777" w:rsidR="00065FDF" w:rsidRDefault="00CB174B">
      <w:hyperlink w:anchor="Paper" w:history="1">
        <w:r w:rsidR="007C3805">
          <w:rPr>
            <w:rStyle w:val="af4"/>
          </w:rPr>
          <w:t>Type of Paper</w:t>
        </w:r>
      </w:hyperlink>
    </w:p>
    <w:p w14:paraId="04D79BAD" w14:textId="77777777" w:rsidR="00065FDF" w:rsidRDefault="00CB174B">
      <w:hyperlink w:anchor="Length" w:history="1">
        <w:r w:rsidR="007C3805">
          <w:rPr>
            <w:rStyle w:val="af4"/>
          </w:rPr>
          <w:t>Length of paper</w:t>
        </w:r>
      </w:hyperlink>
    </w:p>
    <w:p w14:paraId="5E7BFDA2" w14:textId="77777777" w:rsidR="00065FDF" w:rsidRDefault="00CB174B">
      <w:hyperlink w:anchor="Title" w:history="1">
        <w:r w:rsidR="007C3805">
          <w:rPr>
            <w:rStyle w:val="af4"/>
          </w:rPr>
          <w:t>Title</w:t>
        </w:r>
      </w:hyperlink>
    </w:p>
    <w:p w14:paraId="55BE1C1F" w14:textId="77777777" w:rsidR="00065FDF" w:rsidRDefault="00CB174B">
      <w:hyperlink w:anchor="Keywords" w:history="1">
        <w:r w:rsidR="007C3805">
          <w:rPr>
            <w:rStyle w:val="af4"/>
          </w:rPr>
          <w:t>Keywords</w:t>
        </w:r>
      </w:hyperlink>
    </w:p>
    <w:p w14:paraId="7949BD28" w14:textId="77777777" w:rsidR="00065FDF" w:rsidRDefault="00CB174B">
      <w:hyperlink w:anchor="Trial" w:history="1">
        <w:r w:rsidR="007C3805">
          <w:rPr>
            <w:rStyle w:val="af4"/>
          </w:rPr>
          <w:t>Trial registration</w:t>
        </w:r>
      </w:hyperlink>
    </w:p>
    <w:p w14:paraId="1CEA96F4" w14:textId="77777777" w:rsidR="00065FDF" w:rsidRDefault="00CB174B">
      <w:hyperlink w:anchor="_Introduction_1" w:history="1">
        <w:r w:rsidR="007C3805">
          <w:rPr>
            <w:rStyle w:val="af4"/>
          </w:rPr>
          <w:t>Introduction</w:t>
        </w:r>
      </w:hyperlink>
    </w:p>
    <w:p w14:paraId="6EADC603" w14:textId="77777777" w:rsidR="00065FDF" w:rsidRDefault="00CB174B">
      <w:hyperlink w:anchor="_Methods_1" w:history="1">
        <w:r w:rsidR="007C3805">
          <w:rPr>
            <w:rStyle w:val="af4"/>
          </w:rPr>
          <w:t>Methods</w:t>
        </w:r>
      </w:hyperlink>
    </w:p>
    <w:p w14:paraId="1B9243D9" w14:textId="77777777" w:rsidR="00065FDF" w:rsidRDefault="00CB174B">
      <w:hyperlink w:anchor="_Results_1" w:history="1">
        <w:r w:rsidR="007C3805">
          <w:rPr>
            <w:rStyle w:val="af4"/>
          </w:rPr>
          <w:t>Results</w:t>
        </w:r>
      </w:hyperlink>
    </w:p>
    <w:p w14:paraId="55419EE4" w14:textId="77777777" w:rsidR="00065FDF" w:rsidRDefault="00CB174B">
      <w:hyperlink w:anchor="_Discussion_1" w:history="1">
        <w:r w:rsidR="007C3805">
          <w:rPr>
            <w:rStyle w:val="af4"/>
          </w:rPr>
          <w:t>Discussion</w:t>
        </w:r>
      </w:hyperlink>
    </w:p>
    <w:p w14:paraId="51798078" w14:textId="77777777" w:rsidR="00065FDF" w:rsidRDefault="00CB174B">
      <w:hyperlink w:anchor="Other" w:history="1">
        <w:r w:rsidR="007C3805">
          <w:rPr>
            <w:rStyle w:val="af4"/>
          </w:rPr>
          <w:t>Other components</w:t>
        </w:r>
      </w:hyperlink>
    </w:p>
    <w:p w14:paraId="3D426E29" w14:textId="77777777" w:rsidR="00065FDF" w:rsidRDefault="007C3805">
      <w:r>
        <w:tab/>
      </w:r>
      <w:hyperlink w:anchor="Figure" w:history="1">
        <w:r>
          <w:rPr>
            <w:rStyle w:val="af4"/>
          </w:rPr>
          <w:t>Figures</w:t>
        </w:r>
      </w:hyperlink>
    </w:p>
    <w:p w14:paraId="3888EA52" w14:textId="77777777" w:rsidR="00065FDF" w:rsidRDefault="00CB174B">
      <w:pPr>
        <w:ind w:firstLine="720"/>
      </w:pPr>
      <w:hyperlink w:anchor="Table" w:history="1">
        <w:r w:rsidR="007C3805">
          <w:rPr>
            <w:rStyle w:val="af4"/>
          </w:rPr>
          <w:t>Tables</w:t>
        </w:r>
      </w:hyperlink>
    </w:p>
    <w:p w14:paraId="779213F1" w14:textId="77777777" w:rsidR="00065FDF" w:rsidRDefault="007C3805">
      <w:r>
        <w:tab/>
      </w:r>
      <w:r>
        <w:tab/>
      </w:r>
      <w:hyperlink w:anchor="Footnotes" w:history="1">
        <w:r>
          <w:rPr>
            <w:rStyle w:val="af4"/>
          </w:rPr>
          <w:t>Footnotes</w:t>
        </w:r>
      </w:hyperlink>
      <w:r>
        <w:t xml:space="preserve"> </w:t>
      </w:r>
    </w:p>
    <w:p w14:paraId="3A1401AF" w14:textId="77777777" w:rsidR="00065FDF" w:rsidRDefault="00CB174B">
      <w:pPr>
        <w:ind w:firstLine="720"/>
      </w:pPr>
      <w:hyperlink w:anchor="Textbox" w:history="1">
        <w:r w:rsidR="007C3805">
          <w:rPr>
            <w:rStyle w:val="af4"/>
          </w:rPr>
          <w:t>Textboxes</w:t>
        </w:r>
      </w:hyperlink>
    </w:p>
    <w:p w14:paraId="2C91573D" w14:textId="77777777" w:rsidR="00065FDF" w:rsidRDefault="00CB174B">
      <w:pPr>
        <w:ind w:firstLine="720"/>
      </w:pPr>
      <w:hyperlink w:anchor="Appendix" w:history="1">
        <w:r w:rsidR="007C3805">
          <w:rPr>
            <w:rStyle w:val="af4"/>
          </w:rPr>
          <w:t>Multimedia Appendices</w:t>
        </w:r>
      </w:hyperlink>
    </w:p>
    <w:p w14:paraId="5ECC8FA2" w14:textId="77777777" w:rsidR="00065FDF" w:rsidRDefault="007C3805">
      <w:r>
        <w:tab/>
      </w:r>
      <w:r>
        <w:tab/>
      </w:r>
      <w:hyperlink w:anchor="CONSORT" w:history="1">
        <w:r>
          <w:rPr>
            <w:rStyle w:val="af4"/>
          </w:rPr>
          <w:t>CONSORT-EHEALTH</w:t>
        </w:r>
      </w:hyperlink>
    </w:p>
    <w:p w14:paraId="68AF16D6" w14:textId="77777777" w:rsidR="00065FDF" w:rsidRDefault="00CB174B">
      <w:hyperlink w:anchor="_Acknowledgements_1" w:history="1">
        <w:r w:rsidR="007C3805">
          <w:rPr>
            <w:rStyle w:val="af4"/>
          </w:rPr>
          <w:t>Acknowledgements</w:t>
        </w:r>
      </w:hyperlink>
      <w:r w:rsidR="007C3805">
        <w:t xml:space="preserve"> (previously Authors’ Contributions)</w:t>
      </w:r>
    </w:p>
    <w:p w14:paraId="200BF98B" w14:textId="77777777" w:rsidR="00065FDF" w:rsidRDefault="00CB174B">
      <w:hyperlink w:anchor="Conflicts" w:history="1">
        <w:r w:rsidR="007C3805">
          <w:rPr>
            <w:rStyle w:val="af4"/>
          </w:rPr>
          <w:t>Conflicts of Interest</w:t>
        </w:r>
      </w:hyperlink>
    </w:p>
    <w:p w14:paraId="06710F42" w14:textId="77777777" w:rsidR="00065FDF" w:rsidRDefault="00CB174B">
      <w:hyperlink w:anchor="_Abbreviations_1" w:history="1">
        <w:r w:rsidR="007C3805">
          <w:rPr>
            <w:rStyle w:val="af4"/>
          </w:rPr>
          <w:t>Abbreviations</w:t>
        </w:r>
      </w:hyperlink>
    </w:p>
    <w:p w14:paraId="3A630E93" w14:textId="77777777" w:rsidR="00065FDF" w:rsidRDefault="00CB174B">
      <w:hyperlink w:anchor="URLs" w:history="1">
        <w:r w:rsidR="007C3805">
          <w:rPr>
            <w:rStyle w:val="af4"/>
          </w:rPr>
          <w:t>URLs</w:t>
        </w:r>
      </w:hyperlink>
    </w:p>
    <w:p w14:paraId="0532EEB4" w14:textId="77777777" w:rsidR="00065FDF" w:rsidRDefault="00CB174B">
      <w:hyperlink w:anchor="Field" w:history="1">
        <w:r w:rsidR="007C3805">
          <w:rPr>
            <w:rStyle w:val="af4"/>
          </w:rPr>
          <w:t>Field codes/citation formatting</w:t>
        </w:r>
      </w:hyperlink>
    </w:p>
    <w:p w14:paraId="0DFC25F1" w14:textId="77777777" w:rsidR="00065FDF" w:rsidRDefault="00CB174B">
      <w:hyperlink w:anchor="_References_1" w:history="1">
        <w:r w:rsidR="007C3805">
          <w:rPr>
            <w:rStyle w:val="af4"/>
          </w:rPr>
          <w:t>References:</w:t>
        </w:r>
      </w:hyperlink>
    </w:p>
    <w:p w14:paraId="1D484B05" w14:textId="77777777" w:rsidR="00065FDF" w:rsidRDefault="007C3805">
      <w:r>
        <w:tab/>
      </w:r>
      <w:hyperlink w:anchor="Refformat" w:history="1">
        <w:r>
          <w:rPr>
            <w:rStyle w:val="af4"/>
          </w:rPr>
          <w:t>Formatting</w:t>
        </w:r>
      </w:hyperlink>
    </w:p>
    <w:p w14:paraId="7972C8B1" w14:textId="77777777" w:rsidR="00065FDF" w:rsidRDefault="007C3805">
      <w:r>
        <w:tab/>
      </w:r>
      <w:hyperlink w:anchor="Refpublished" w:history="1">
        <w:r>
          <w:rPr>
            <w:rStyle w:val="af4"/>
          </w:rPr>
          <w:t>Published works</w:t>
        </w:r>
      </w:hyperlink>
    </w:p>
    <w:p w14:paraId="438A3240" w14:textId="77777777" w:rsidR="00065FDF" w:rsidRDefault="00CB174B">
      <w:pPr>
        <w:ind w:firstLine="720"/>
      </w:pPr>
      <w:hyperlink w:anchor="Refjournal" w:history="1">
        <w:r w:rsidR="007C3805">
          <w:rPr>
            <w:rStyle w:val="af4"/>
          </w:rPr>
          <w:t>Journal</w:t>
        </w:r>
      </w:hyperlink>
    </w:p>
    <w:p w14:paraId="27B69625" w14:textId="77777777" w:rsidR="00065FDF" w:rsidRDefault="007C3805">
      <w:r>
        <w:tab/>
      </w:r>
      <w:hyperlink w:anchor="Refbook" w:history="1">
        <w:r>
          <w:rPr>
            <w:rStyle w:val="af4"/>
          </w:rPr>
          <w:t>Book</w:t>
        </w:r>
      </w:hyperlink>
    </w:p>
    <w:p w14:paraId="22AADB91" w14:textId="77777777" w:rsidR="00065FDF" w:rsidRDefault="007C3805">
      <w:r>
        <w:tab/>
      </w:r>
      <w:hyperlink w:anchor="RefWeb" w:history="1">
        <w:r>
          <w:rPr>
            <w:rStyle w:val="af4"/>
          </w:rPr>
          <w:t>Web</w:t>
        </w:r>
      </w:hyperlink>
    </w:p>
    <w:p w14:paraId="0FB60027" w14:textId="77777777" w:rsidR="00065FDF" w:rsidRDefault="007C3805">
      <w:r>
        <w:tab/>
      </w:r>
      <w:hyperlink w:anchor="Refconference" w:history="1">
        <w:r>
          <w:rPr>
            <w:rStyle w:val="af4"/>
          </w:rPr>
          <w:t>Conference proceedings</w:t>
        </w:r>
      </w:hyperlink>
    </w:p>
    <w:p w14:paraId="54308DAA" w14:textId="77777777" w:rsidR="00065FDF" w:rsidRDefault="007C3805">
      <w:r>
        <w:tab/>
      </w:r>
      <w:hyperlink w:anchor="RefWeb" w:history="1">
        <w:r>
          <w:rPr>
            <w:rStyle w:val="af4"/>
          </w:rPr>
          <w:t>WebCite archive</w:t>
        </w:r>
      </w:hyperlink>
    </w:p>
    <w:p w14:paraId="65B7A71F" w14:textId="77777777" w:rsidR="00065FDF" w:rsidRDefault="00065FDF"/>
    <w:p w14:paraId="51932D79" w14:textId="77777777" w:rsidR="00065FDF" w:rsidRDefault="00065FDF"/>
    <w:p w14:paraId="1644534D" w14:textId="77777777" w:rsidR="00065FDF" w:rsidRDefault="00065FDF"/>
    <w:p w14:paraId="563C6A5E" w14:textId="77777777" w:rsidR="00065FDF" w:rsidRDefault="007C3805">
      <w:pPr>
        <w:rPr>
          <w:rFonts w:asciiTheme="majorHAnsi" w:eastAsiaTheme="majorEastAsia" w:hAnsiTheme="majorHAnsi" w:cstheme="majorBidi"/>
          <w:b/>
          <w:bCs/>
          <w:color w:val="4F81BD" w:themeColor="accent1"/>
          <w:sz w:val="26"/>
          <w:szCs w:val="26"/>
        </w:rPr>
      </w:pPr>
      <w:r>
        <w:br w:type="page"/>
      </w:r>
    </w:p>
    <w:p w14:paraId="66C9773B" w14:textId="77777777" w:rsidR="00065FDF" w:rsidRDefault="007C3805">
      <w:pPr>
        <w:pStyle w:val="2"/>
      </w:pPr>
      <w:bookmarkStart w:id="1" w:name="Paper"/>
      <w:bookmarkEnd w:id="1"/>
      <w:commentRangeStart w:id="2"/>
      <w:commentRangeStart w:id="3"/>
      <w:r>
        <w:lastRenderedPageBreak/>
        <w:t>Original Paper</w:t>
      </w:r>
      <w:commentRangeEnd w:id="2"/>
      <w:r>
        <w:rPr>
          <w:rStyle w:val="af5"/>
        </w:rPr>
        <w:commentReference w:id="2"/>
      </w:r>
      <w:commentRangeEnd w:id="3"/>
      <w:r>
        <w:rPr>
          <w:rStyle w:val="af5"/>
          <w:rFonts w:asciiTheme="minorHAnsi" w:eastAsiaTheme="minorEastAsia" w:hAnsiTheme="minorHAnsi" w:cstheme="minorBidi"/>
          <w:b w:val="0"/>
          <w:bCs w:val="0"/>
          <w:color w:val="auto"/>
        </w:rPr>
        <w:commentReference w:id="3"/>
      </w:r>
    </w:p>
    <w:p w14:paraId="5DC20D14" w14:textId="77777777" w:rsidR="00065FDF" w:rsidRDefault="007C3805">
      <w:bookmarkStart w:id="4" w:name="Authors"/>
      <w:bookmarkEnd w:id="4"/>
      <w:r>
        <w:t>Enter information for authors (including designations, affiliations, correspondence, contributions) in the online metadata form. Do not use periods after initials, and include degree designations and affiliations for all authors. Trial registration numbers are also filled in on the metadata forms online.</w:t>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5" w:name="Title"/>
      <w:bookmarkEnd w:id="5"/>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61308ED5" w14:textId="77777777" w:rsidR="008A0B47" w:rsidRDefault="008A0B47">
      <w:pPr>
        <w:pStyle w:val="2"/>
      </w:pPr>
      <w:bookmarkStart w:id="6" w:name="Abstract"/>
      <w:bookmarkEnd w:id="6"/>
      <w:r w:rsidRPr="008A0B47">
        <w:rPr>
          <w:rFonts w:hint="eastAsia"/>
        </w:rPr>
        <w:t>Abstract</w:t>
      </w:r>
    </w:p>
    <w:p w14:paraId="0782F5DD" w14:textId="77777777" w:rsidR="00065FDF" w:rsidRDefault="007C3805">
      <w:r>
        <w:t>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classic medicine formulas, which may be adjusted at any moment according to symptoms of patients. A typical prescription may contain several medicine formulas. The large number and the flexibility of medicine formulas make them difficult to memorize and understand rules of composition.</w:t>
      </w:r>
    </w:p>
    <w:p w14:paraId="461ECC04" w14:textId="77777777" w:rsidR="00065FDF" w:rsidRDefault="007C3805">
      <w:r>
        <w:t>The traditional education method is to recite the classical medicine formulas in combination with expert medical records</w:t>
      </w:r>
      <w:r>
        <w:rPr>
          <w:rFonts w:ascii="Cambria" w:hAnsi="Cambria"/>
        </w:rPr>
        <w:t>[</w:t>
      </w:r>
      <w:r>
        <w:rPr>
          <w:rFonts w:ascii="Cambria" w:hAnsi="Cambria"/>
        </w:rPr>
        <w:fldChar w:fldCharType="begin"/>
      </w:r>
      <w:r>
        <w:rPr>
          <w:rFonts w:ascii="Cambria" w:hAnsi="Cambria"/>
        </w:rPr>
        <w:instrText xml:space="preserve"> REF BIB_zhongyijichulilun \* MERGEFORMAT </w:instrText>
      </w:r>
      <w:r>
        <w:rPr>
          <w:rFonts w:ascii="Cambria" w:hAnsi="Cambria"/>
        </w:rPr>
        <w:fldChar w:fldCharType="separate"/>
      </w:r>
      <w:r>
        <w:rPr>
          <w:rFonts w:ascii="Cambria" w:hAnsi="Cambria" w:cs="Times New Roman"/>
        </w:rPr>
        <w:t>1</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BIB_zhongyaotextbook2004 \* MERGEFORMAT </w:instrText>
      </w:r>
      <w:r>
        <w:rPr>
          <w:rFonts w:ascii="Cambria" w:hAnsi="Cambria"/>
        </w:rPr>
        <w:fldChar w:fldCharType="separate"/>
      </w:r>
      <w:r>
        <w:rPr>
          <w:rFonts w:ascii="Cambria" w:hAnsi="Cambria" w:cs="Times New Roman"/>
        </w:rPr>
        <w:t>2</w:t>
      </w:r>
      <w:r>
        <w:rPr>
          <w:rFonts w:ascii="Cambria" w:hAnsi="Cambria"/>
        </w:rPr>
        <w:fldChar w:fldCharType="end"/>
      </w:r>
      <w:r>
        <w:rPr>
          <w:rFonts w:ascii="Cambria" w:hAnsi="Cambria"/>
        </w:rPr>
        <w:t>]</w:t>
      </w:r>
      <w:r>
        <w:t>. However, the medicine data of medicine formulas and medical records are only presented in texts (Table 1), and the composition rules could not be intuitively understood. Data mining and some visual presentations are adopted in the existing computerized analysis of TCM medicine formulas</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t xml:space="preserve"> . However, these methods are query-based and do not allow users to interactively explore medicine formulas, and the relatively simple visualization cannot provide the overview of a group of medicine formulas nor in-depth comparison of formulas.</w:t>
      </w:r>
    </w:p>
    <w:p w14:paraId="2685A027" w14:textId="77777777" w:rsidR="00065FDF" w:rsidRDefault="007C3805">
      <w:r>
        <w:t xml:space="preserve">In this paper, we propose a visual analysis method for TCM medicine formulas to address the issues of the existing training method. As a result of a close collaboration between visualization and TCM experts, our method provides compact and clear visualization of hierarchical data of medicine formulas and multidimensional attribute data of medicines. While our method is data-driven, we emphasize the perception aspect of the visualization. Specifically, a tree layout algorithm is designed to improve the comparability and reduce visual clutter of tree branches in the icicle chart with data-driven similarity measurement; medicines are color mapped with a 2D color map generated with radial basis function (RBF) interpolation in a perceptual-uniform color space with TCM-concept inspired colors, while their placement in the dimensionality reduction plot is driven by their TCM properties. As shown in Figure 1, our method is realized as a web-based interactive tool, which comprises two linked views: a medicine formulas view with an icicle </w:t>
      </w:r>
      <w:r>
        <w:lastRenderedPageBreak/>
        <w:t>chart (right) and a medicine view with a dimensionality reduction plot (left). With brushing-and-linking, users could flexibly select drugs of interest with lassos in the medicine view, and the corresponding formulas are highlighted in the medicine formulas view; conversely, medicines within selected formula in the medicine formulas view are highlighted in the medicine view. Colors of medicines provide rich information as they encode the multidimensional TCM attributes and the similarity measure at the same time.</w:t>
      </w:r>
    </w:p>
    <w:p w14:paraId="6F5DC4D1" w14:textId="77777777" w:rsidR="00065FDF" w:rsidRDefault="007C3805">
      <w:r>
        <w:t>These are the contributions of our method:</w:t>
      </w:r>
    </w:p>
    <w:p w14:paraId="7B547F28" w14:textId="77777777" w:rsidR="00065FDF" w:rsidRDefault="007C3805">
      <w:r>
        <w:rPr>
          <w:rFonts w:hint="eastAsia"/>
        </w:rPr>
        <w:t>•</w:t>
      </w:r>
      <w:r>
        <w:t>A layout algorithm for medicine formula hierarchies to improve comparison capability of medicines in an icicle plot.</w:t>
      </w:r>
    </w:p>
    <w:p w14:paraId="739F1DD6" w14:textId="77777777" w:rsidR="00065FDF" w:rsidRDefault="007C3805">
      <w:r>
        <w:rPr>
          <w:rFonts w:hint="eastAsia"/>
        </w:rPr>
        <w:t>•</w:t>
      </w:r>
      <w:r>
        <w:t>Perception-guided data-driven color encoding for medicines.</w:t>
      </w:r>
    </w:p>
    <w:p w14:paraId="3A4881C5" w14:textId="77777777" w:rsidR="00065FDF" w:rsidRDefault="007C3805">
      <w:r>
        <w:rPr>
          <w:rFonts w:hint="eastAsia"/>
        </w:rPr>
        <w:t>•</w:t>
      </w:r>
      <w:r>
        <w:t>An interactive tool that facilitates the analysis and understanding of TCM medicine formulas as a result of a close interdisciplinary collaboration.</w:t>
      </w:r>
    </w:p>
    <w:p w14:paraId="0AA7331E" w14:textId="77777777" w:rsidR="00065FDF" w:rsidRDefault="007C3805">
      <w:r>
        <w:t>The usefulness of our method is demonstrated by two use cases of typical medicine formulas. A TCM expert analyzed these medicine formulas with our method and considered that the new method could effectively reveal the constitution principle of medicine formulas in an intuitive way, and could assist the learning of the subject in TCM. Furthermore, our method provides a link between medicine attributes and medicine formulas, and, therefore, is a promising tool for designing new formulas.</w:t>
      </w:r>
    </w:p>
    <w:p w14:paraId="4B60C37D" w14:textId="77777777" w:rsidR="00065FDF" w:rsidRDefault="00065FDF"/>
    <w:p w14:paraId="674225D9" w14:textId="77777777" w:rsidR="00065FDF" w:rsidRDefault="00065FDF"/>
    <w:p w14:paraId="6FB2D8E2" w14:textId="77777777" w:rsidR="00065FDF" w:rsidRDefault="007C3805">
      <w:pPr>
        <w:rPr>
          <w:b/>
        </w:rPr>
      </w:pPr>
      <w:r>
        <w:rPr>
          <w:b/>
        </w:rPr>
        <w:t>Background:</w:t>
      </w:r>
    </w:p>
    <w:p w14:paraId="3B375B40" w14:textId="77777777" w:rsidR="00065FDF" w:rsidRDefault="007C3805">
      <w:pPr>
        <w:rPr>
          <w:b/>
        </w:rPr>
      </w:pPr>
      <w:r>
        <w:rPr>
          <w:b/>
        </w:rPr>
        <w:t>Objective:</w:t>
      </w:r>
    </w:p>
    <w:p w14:paraId="55B4778C" w14:textId="77777777" w:rsidR="00065FDF" w:rsidRDefault="007C3805">
      <w:pPr>
        <w:rPr>
          <w:b/>
        </w:rPr>
      </w:pPr>
      <w:r>
        <w:rPr>
          <w:b/>
        </w:rPr>
        <w:t>Methods:</w:t>
      </w:r>
    </w:p>
    <w:p w14:paraId="075B12C6" w14:textId="77777777" w:rsidR="00065FDF" w:rsidRDefault="007C3805">
      <w:r>
        <w:rPr>
          <w:b/>
        </w:rPr>
        <w:t>Results:</w:t>
      </w:r>
      <w:r>
        <w:t xml:space="preserve"> Be sure to include relevant statistics here, such as sample sizes, response rates, </w:t>
      </w:r>
      <w:r>
        <w:rPr>
          <w:i/>
        </w:rPr>
        <w:t>P</w:t>
      </w:r>
      <w:r>
        <w:t xml:space="preserve"> values or Confidence Intervals.  Be specific (by stating the value) rather than general (eg, “there were differences between the groups”).</w:t>
      </w:r>
    </w:p>
    <w:p w14:paraId="4BEBF265" w14:textId="77777777" w:rsidR="00065FDF" w:rsidRDefault="007C3805">
      <w:pPr>
        <w:rPr>
          <w:b/>
        </w:rPr>
      </w:pPr>
      <w:r>
        <w:rPr>
          <w:b/>
        </w:rPr>
        <w:t>Conclusions:</w:t>
      </w:r>
    </w:p>
    <w:p w14:paraId="35BEFCEF" w14:textId="77777777" w:rsidR="00065FDF" w:rsidRDefault="007C3805">
      <w:bookmarkStart w:id="7" w:name="Trial"/>
      <w:bookmarkEnd w:id="7"/>
      <w:r>
        <w:rPr>
          <w:b/>
        </w:rPr>
        <w:t>Trial Registration:</w:t>
      </w:r>
      <w:r>
        <w:t xml:space="preserve"> In accordance with ICMJE recommendations, </w:t>
      </w:r>
      <w:r>
        <w:rPr>
          <w:b/>
        </w:rPr>
        <w:t>RCTs must have been registered in a WHO accredited trial registry</w:t>
      </w:r>
      <w:r>
        <w:t xml:space="preserve">. Please mention the ClinicalTrials.gov registration identifier, the </w:t>
      </w:r>
      <w:hyperlink r:id="rId11" w:history="1">
        <w:r>
          <w:t>International Standard Randomized Controlled Trial Number (ISRCTN)</w:t>
        </w:r>
      </w:hyperlink>
      <w:r>
        <w:t xml:space="preserve">, or a comparable trial identifier at the end of the abstract ("Trial Registration: ClinicalTrials.gov NCT123456"), as well as when you first mention the trial in the manuscript. When mentioning related trials (e.g. in the Introduction or Methods section) the trial registration number should also be added in brackets. </w:t>
      </w:r>
      <w:r>
        <w:rPr>
          <w:b/>
        </w:rPr>
        <w:t>ICMJE member journals require, as a condition of consideration for publication, registration in a public trials registry at or before the onset of patient enrollment. This policy applies to any trial which started enrollment after July 1, 2005. JMIR authors must add an explanation to the methods section of their manuscript if a RCT meeting these criteria has not been registered</w:t>
      </w:r>
      <w:r>
        <w:t>. The JMIR editor reserves the right to reject any paper without trial registration without any further consideration or peer-review.</w:t>
      </w:r>
    </w:p>
    <w:p w14:paraId="7AFA3A68" w14:textId="77777777" w:rsidR="00065FDF" w:rsidRDefault="00065FDF">
      <w:pPr>
        <w:rPr>
          <w:b/>
        </w:rPr>
      </w:pPr>
    </w:p>
    <w:p w14:paraId="6C9FA2F6" w14:textId="77777777" w:rsidR="00065FDF" w:rsidRDefault="007C3805">
      <w:bookmarkStart w:id="8" w:name="Keywords"/>
      <w:bookmarkEnd w:id="8"/>
      <w:commentRangeStart w:id="9"/>
      <w:r>
        <w:rPr>
          <w:b/>
        </w:rPr>
        <w:t>Keywords</w:t>
      </w:r>
      <w:commentRangeEnd w:id="9"/>
      <w:r>
        <w:rPr>
          <w:rStyle w:val="af5"/>
          <w:b/>
          <w:bCs/>
        </w:rPr>
        <w:commentReference w:id="9"/>
      </w:r>
      <w:r>
        <w:rPr>
          <w:b/>
        </w:rPr>
        <w:t xml:space="preserve">: </w:t>
      </w:r>
      <w:r>
        <w:t>visual analytics; traditional Chinese herbal medicine formulas; multidimensional data; color map design</w:t>
      </w:r>
    </w:p>
    <w:p w14:paraId="62CAC722" w14:textId="77777777" w:rsidR="00065FDF" w:rsidRDefault="00065FDF"/>
    <w:p w14:paraId="184645CF" w14:textId="49902C44" w:rsidR="00065FDF" w:rsidRDefault="007C3805">
      <w:pPr>
        <w:pStyle w:val="2"/>
      </w:pPr>
      <w:bookmarkStart w:id="10" w:name="Introduction"/>
      <w:bookmarkStart w:id="11" w:name="_Introduction_1"/>
      <w:bookmarkEnd w:id="10"/>
      <w:bookmarkEnd w:id="11"/>
      <w:commentRangeStart w:id="12"/>
      <w:r>
        <w:t>Introduction</w:t>
      </w:r>
      <w:commentRangeEnd w:id="12"/>
      <w:r>
        <w:rPr>
          <w:rStyle w:val="af5"/>
          <w:rFonts w:asciiTheme="minorHAnsi" w:eastAsiaTheme="minorEastAsia" w:hAnsiTheme="minorHAnsi" w:cstheme="minorBidi"/>
          <w:b w:val="0"/>
          <w:bCs w:val="0"/>
          <w:color w:val="auto"/>
        </w:rPr>
        <w:commentReference w:id="12"/>
      </w:r>
    </w:p>
    <w:p w14:paraId="70EDD27E" w14:textId="3151A8AF" w:rsidR="00FE4C42" w:rsidRDefault="00FE4C42" w:rsidP="00FE4C42">
      <w:pPr>
        <w:pStyle w:val="3"/>
      </w:pPr>
      <w:r>
        <w:t>Background</w:t>
      </w:r>
    </w:p>
    <w:p w14:paraId="7EBFA6C2" w14:textId="77777777" w:rsidR="00FE4C42" w:rsidRDefault="00FE4C42" w:rsidP="00FE4C42">
      <w:r>
        <w:t>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classic medicine formulas, which may be adjusted at any moment according to symptoms of patients. A typical prescription may contain several medicine formulas. The large number and the flexibility of medicine formulas make them difficult to memorize and understand rules of composition.</w:t>
      </w:r>
    </w:p>
    <w:p w14:paraId="3AFF0844" w14:textId="6B740A3A" w:rsidR="00FE4C42" w:rsidRDefault="00FE4C42" w:rsidP="00FE4C42">
      <w:r>
        <w:t>The traditional education method is to recite the classical medicine formulas in combination with expert medical records[1, 2]. However, the medicine data of medicine formulas and medical records are only presented in texts (Table 1), and the composition rules could not be intuitively understood.</w:t>
      </w:r>
    </w:p>
    <w:p w14:paraId="5DB932C1" w14:textId="24DCEE4E" w:rsidR="00FE4C42" w:rsidRDefault="00FE4C42" w:rsidP="00FE4C42"/>
    <w:p w14:paraId="030BF2B7" w14:textId="77777777" w:rsidR="00FE4C42" w:rsidRDefault="00FE4C42" w:rsidP="00FE4C42">
      <w:r>
        <w:t>Classifications of Chinese herbal medicines are multi-faceted and multi- leveled[2]. For example, perimental research that focuses on Siqi (</w:t>
      </w:r>
      <w:r>
        <w:rPr>
          <w:rFonts w:hint="eastAsia"/>
        </w:rPr>
        <w:t>四气</w:t>
      </w:r>
      <w:r>
        <w:t>), Wuwei (</w:t>
      </w:r>
      <w:r>
        <w:rPr>
          <w:rFonts w:hint="eastAsia"/>
        </w:rPr>
        <w:t>五味</w:t>
      </w:r>
      <w:r>
        <w:t>), and Guijing (</w:t>
      </w:r>
      <w:r>
        <w:rPr>
          <w:rFonts w:ascii="微软雅黑" w:eastAsia="微软雅黑" w:hAnsi="微软雅黑" w:cs="微软雅黑" w:hint="eastAsia"/>
        </w:rPr>
        <w:t>归经</w:t>
      </w:r>
      <w:r>
        <w:t>) has been an important area in TCM research[1]. Guijing regards the orientation of Chinese herbal medicines, which is to closely connect the functions of medicines with the organs and meridians (</w:t>
      </w:r>
      <w:r>
        <w:rPr>
          <w:rFonts w:ascii="微软雅黑" w:eastAsia="微软雅黑" w:hAnsi="微软雅黑" w:cs="微软雅黑" w:hint="eastAsia"/>
        </w:rPr>
        <w:t>脏</w:t>
      </w:r>
      <w:r>
        <w:rPr>
          <w:rFonts w:ascii="MS Mincho" w:eastAsia="MS Mincho" w:hAnsi="MS Mincho" w:cs="MS Mincho" w:hint="eastAsia"/>
        </w:rPr>
        <w:t>腑</w:t>
      </w:r>
      <w:r>
        <w:rPr>
          <w:rFonts w:ascii="微软雅黑" w:eastAsia="微软雅黑" w:hAnsi="微软雅黑" w:cs="微软雅黑" w:hint="eastAsia"/>
        </w:rPr>
        <w:t>经络</w:t>
      </w:r>
      <w:r>
        <w:t>) of the human body.</w:t>
      </w:r>
    </w:p>
    <w:p w14:paraId="2F72C450" w14:textId="50060444" w:rsidR="00FE4C42" w:rsidRDefault="00FE4C42" w:rsidP="00FE4C42">
      <w:r>
        <w:t>Chinese herbal medicines can be divided into four properties (Siqi) as cold (</w:t>
      </w:r>
      <w:r>
        <w:rPr>
          <w:rFonts w:hint="eastAsia"/>
        </w:rPr>
        <w:t>寒</w:t>
      </w:r>
      <w:r>
        <w:t>), hot (</w:t>
      </w:r>
      <w:r>
        <w:rPr>
          <w:rFonts w:ascii="微软雅黑" w:eastAsia="微软雅黑" w:hAnsi="微软雅黑" w:cs="微软雅黑" w:hint="eastAsia"/>
        </w:rPr>
        <w:t>热</w:t>
      </w:r>
      <w:r>
        <w:t>), warm (</w:t>
      </w:r>
      <w:r>
        <w:rPr>
          <w:rFonts w:hint="eastAsia"/>
        </w:rPr>
        <w:t>温</w:t>
      </w:r>
      <w:r>
        <w:t>) and cool (</w:t>
      </w:r>
      <w:r>
        <w:rPr>
          <w:rFonts w:hint="eastAsia"/>
        </w:rPr>
        <w:t>凉</w:t>
      </w:r>
      <w:r>
        <w:t>) according to their functions on the human body. Cold medicines generally have the function of heat-clearing and detoxifying (</w:t>
      </w:r>
      <w:r>
        <w:rPr>
          <w:rFonts w:hint="eastAsia"/>
        </w:rPr>
        <w:t>清</w:t>
      </w:r>
      <w:r>
        <w:rPr>
          <w:rFonts w:ascii="微软雅黑" w:eastAsia="微软雅黑" w:hAnsi="微软雅黑" w:cs="微软雅黑" w:hint="eastAsia"/>
        </w:rPr>
        <w:t>热</w:t>
      </w:r>
      <w:r>
        <w:rPr>
          <w:rFonts w:ascii="MS Mincho" w:eastAsia="MS Mincho" w:hAnsi="MS Mincho" w:cs="MS Mincho" w:hint="eastAsia"/>
        </w:rPr>
        <w:t>解毒</w:t>
      </w:r>
      <w:r>
        <w:t>), which are used to treat febrile diseases. Warm medicines typically have the function of warming Yang to expel coldness (</w:t>
      </w:r>
      <w:r>
        <w:rPr>
          <w:rFonts w:hint="eastAsia"/>
        </w:rPr>
        <w:t>温阳散寒</w:t>
      </w:r>
      <w:r>
        <w:t>), which are used to treat cold diseases. In addition, a kind of medicines with gentle properties exist, which is namely Ping (</w:t>
      </w:r>
      <w:r>
        <w:rPr>
          <w:rFonts w:hint="eastAsia"/>
        </w:rPr>
        <w:t>平</w:t>
      </w:r>
      <w:r>
        <w:t xml:space="preserve">). </w:t>
      </w:r>
      <w:r>
        <w:rPr>
          <w:rFonts w:hint="eastAsia"/>
        </w:rPr>
        <w:t>Wuwei means five flavors: pungent (</w:t>
      </w:r>
      <w:r>
        <w:rPr>
          <w:rFonts w:hint="eastAsia"/>
        </w:rPr>
        <w:t>辛</w:t>
      </w:r>
      <w:r>
        <w:rPr>
          <w:rFonts w:hint="eastAsia"/>
        </w:rPr>
        <w:t>), sweet (</w:t>
      </w:r>
      <w:r>
        <w:rPr>
          <w:rFonts w:hint="eastAsia"/>
        </w:rPr>
        <w:t>甘</w:t>
      </w:r>
      <w:r>
        <w:rPr>
          <w:rFonts w:hint="eastAsia"/>
        </w:rPr>
        <w:t>), sour (</w:t>
      </w:r>
      <w:r>
        <w:rPr>
          <w:rFonts w:hint="eastAsia"/>
        </w:rPr>
        <w:t>酸</w:t>
      </w:r>
      <w:r>
        <w:rPr>
          <w:rFonts w:hint="eastAsia"/>
        </w:rPr>
        <w:t>), bitter(</w:t>
      </w:r>
      <w:r>
        <w:rPr>
          <w:rFonts w:hint="eastAsia"/>
        </w:rPr>
        <w:t>苦</w:t>
      </w:r>
      <w:r>
        <w:rPr>
          <w:rFonts w:hint="eastAsia"/>
        </w:rPr>
        <w:t>) and salty (</w:t>
      </w:r>
      <w:r>
        <w:rPr>
          <w:rFonts w:hint="eastAsia"/>
        </w:rPr>
        <w:t>咸</w:t>
      </w:r>
      <w:r>
        <w:rPr>
          <w:rFonts w:hint="eastAsia"/>
        </w:rPr>
        <w:t>). Pungent medicines, in general, taste spicy (such as ginger) or cool (such as mint and borneol), and are used to sweat and relieve Qi. Sweet medicines typically taste sweet</w:t>
      </w:r>
      <w:r>
        <w:t>, for example, licorices and wheat. They have the effect of easing and nourishing. They are also used to reconcile medical properties. Sour medicines, such as black plum and gallnut, have an astringent effect and are used to stop sweating and diarrhea. Bitter medicines have functions of clearing heat, drying dampness and catharsis. Finally, salty medicines have the functions of diarrhea and defecation, softening and firmness. It is believed that these factors are associated with body heat production processes or metabolic activities, and may also play a role in the digestive system, nervous system, and cardiovascular system, and so on[30].</w:t>
      </w:r>
    </w:p>
    <w:p w14:paraId="22610CE0" w14:textId="77777777" w:rsidR="00FE4C42" w:rsidRDefault="00FE4C42" w:rsidP="00FE4C42"/>
    <w:p w14:paraId="4AAEF828" w14:textId="56488327" w:rsidR="00FE4C42" w:rsidRDefault="00FE4C42" w:rsidP="00FE4C42">
      <w:r>
        <w:lastRenderedPageBreak/>
        <w:t>Another important concept is Jun-Chen-Zuo-Shi (</w:t>
      </w:r>
      <w:r>
        <w:rPr>
          <w:rFonts w:hint="eastAsia"/>
        </w:rPr>
        <w:t>君臣佐使</w:t>
      </w:r>
      <w:r>
        <w:t>). Jun- Chen-Zuo-Shi are the principles for the compatibility of TCM prescriptions. Junyao (</w:t>
      </w:r>
      <w:r>
        <w:rPr>
          <w:rFonts w:hint="eastAsia"/>
        </w:rPr>
        <w:t>君</w:t>
      </w:r>
      <w:r>
        <w:rPr>
          <w:rFonts w:ascii="微软雅黑" w:eastAsia="微软雅黑" w:hAnsi="微软雅黑" w:cs="微软雅黑" w:hint="eastAsia"/>
        </w:rPr>
        <w:t>药</w:t>
      </w:r>
      <w:r>
        <w:t>), or namely, sovereign medicines as used hereafter, play a major role to against the main disease or syndrome. It is the primary medicine among the prescriptions. Texts in blue in Table 1 indicate Junyao in the corresponding formulas.</w:t>
      </w:r>
      <w:r w:rsidR="00E128AA">
        <w:t xml:space="preserve"> </w:t>
      </w:r>
    </w:p>
    <w:p w14:paraId="36DC4975" w14:textId="45602EC4" w:rsidR="00E128AA" w:rsidRDefault="00E128AA" w:rsidP="00FE4C42"/>
    <w:p w14:paraId="15EEEA79" w14:textId="18ACF448" w:rsidR="00E128AA" w:rsidRPr="00E128AA" w:rsidRDefault="00E128AA" w:rsidP="00FE4C42">
      <w:pPr>
        <w:rPr>
          <w:color w:val="4F81BD" w:themeColor="accent1"/>
        </w:rPr>
      </w:pPr>
      <w:r w:rsidRPr="00E128AA">
        <w:rPr>
          <w:color w:val="4F81BD" w:themeColor="accent1"/>
        </w:rPr>
        <w:t>In this work, the Siqi and Wuwei properties are represented as XXX- and YYY-dimensional vectors, respectively.</w:t>
      </w:r>
    </w:p>
    <w:p w14:paraId="665856C5" w14:textId="77777777" w:rsidR="00065FDF" w:rsidRDefault="007C3805">
      <w:pPr>
        <w:pStyle w:val="3"/>
      </w:pPr>
      <w:r>
        <w:rPr>
          <w:rFonts w:hint="eastAsia"/>
        </w:rPr>
        <w:t>R</w:t>
      </w:r>
      <w:r>
        <w:t>elated</w:t>
      </w:r>
      <w:r>
        <w:rPr>
          <w:rFonts w:hint="eastAsia"/>
        </w:rPr>
        <w:t xml:space="preserve"> W</w:t>
      </w:r>
      <w:r>
        <w:t>ork</w:t>
      </w:r>
    </w:p>
    <w:p w14:paraId="6605BCE0" w14:textId="77777777" w:rsidR="00065FDF" w:rsidRDefault="007C3805">
      <w:r>
        <w:rPr>
          <w:rFonts w:hint="eastAsia"/>
        </w:rPr>
        <w:t>Our method is related to TCM visualization in general. Important aspects of our method include hierarchy visualization, multidimensional data visualization and color perception.</w:t>
      </w:r>
    </w:p>
    <w:p w14:paraId="052BBA24" w14:textId="77777777" w:rsidR="00065FDF" w:rsidRDefault="007C3805">
      <w:pPr>
        <w:pStyle w:val="4"/>
      </w:pPr>
      <w:r>
        <w:rPr>
          <w:rFonts w:hint="eastAsia"/>
        </w:rPr>
        <w:t>TCM</w:t>
      </w:r>
      <w:r>
        <w:t xml:space="preserve"> </w:t>
      </w:r>
      <w:r>
        <w:rPr>
          <w:rFonts w:hint="eastAsia"/>
        </w:rPr>
        <w:t>Visualization</w:t>
      </w:r>
    </w:p>
    <w:p w14:paraId="7990A59B" w14:textId="77777777" w:rsidR="00065FDF" w:rsidRDefault="007C3805">
      <w:r>
        <w:rPr>
          <w:rFonts w:hint="eastAsia"/>
        </w:rPr>
        <w:t>Visualization methods are used in the area of TCM. Visual recognition and visualization is proposed for TCM pulse information</w:t>
      </w:r>
      <w:r>
        <w:rPr>
          <w:rFonts w:hint="eastAsia"/>
        </w:rPr>
        <w:t>—</w:t>
      </w:r>
      <w:r>
        <w:rPr>
          <w:rFonts w:hint="eastAsia"/>
        </w:rPr>
        <w:t>the pulse information is quantified and visualized to support more accurate diagnosis</w:t>
      </w:r>
      <w:r>
        <w:rPr>
          <w:rFonts w:ascii="Cambria" w:hAnsi="Cambria"/>
        </w:rPr>
        <w:t>[</w:t>
      </w:r>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Pr>
          <w:rFonts w:ascii="Cambria" w:hAnsi="Cambria" w:cs="Times New Roman"/>
        </w:rPr>
        <w:t>6</w:t>
      </w:r>
      <w:r>
        <w:rPr>
          <w:rFonts w:ascii="Cambria" w:hAnsi="Cambria"/>
        </w:rPr>
        <w:fldChar w:fldCharType="end"/>
      </w:r>
      <w:r>
        <w:rPr>
          <w:rFonts w:ascii="Cambria" w:hAnsi="Cambria"/>
        </w:rPr>
        <w:t>]</w:t>
      </w:r>
      <w:r>
        <w:rPr>
          <w:rFonts w:hint="eastAsia"/>
        </w:rPr>
        <w:t>. Digital tongue images that are important in TCM are recognized and analyzed with a visualization of tongues</w:t>
      </w:r>
      <w:r>
        <w:rPr>
          <w:rFonts w:ascii="Cambria" w:hAnsi="Cambria"/>
        </w:rPr>
        <w:t>[</w:t>
      </w:r>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Pr>
          <w:rFonts w:ascii="Cambria" w:hAnsi="Cambria" w:cs="Times New Roman"/>
        </w:rPr>
        <w:t>7</w:t>
      </w:r>
      <w:r>
        <w:rPr>
          <w:rFonts w:ascii="Cambria" w:hAnsi="Cambria"/>
        </w:rPr>
        <w:fldChar w:fldCharType="end"/>
      </w:r>
      <w:r>
        <w:rPr>
          <w:rFonts w:ascii="Cambria" w:hAnsi="Cambria"/>
        </w:rPr>
        <w:t>]</w:t>
      </w:r>
      <w:r>
        <w:rPr>
          <w:rFonts w:hint="eastAsia"/>
        </w:rPr>
        <w:t>. Infrared thermal imaging visualization enables users to see and assess physiological states or pathological conditions intuitively as the temperature of local tissues or the whole body may change due to illness</w:t>
      </w:r>
      <w:r>
        <w:rPr>
          <w:rFonts w:ascii="Cambria" w:hAnsi="Cambria"/>
        </w:rPr>
        <w:t>[</w:t>
      </w:r>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Pr>
          <w:rFonts w:ascii="Cambria" w:hAnsi="Cambria" w:cs="Times New Roman"/>
        </w:rPr>
        <w:t>8</w:t>
      </w:r>
      <w:r>
        <w:rPr>
          <w:rFonts w:ascii="Cambria" w:hAnsi="Cambria"/>
        </w:rPr>
        <w:fldChar w:fldCharType="end"/>
      </w:r>
      <w:r>
        <w:rPr>
          <w:rFonts w:ascii="Cambria" w:hAnsi="Cambria"/>
        </w:rPr>
        <w:t>]</w:t>
      </w:r>
      <w:r>
        <w:rPr>
          <w:rFonts w:hint="eastAsia"/>
        </w:rPr>
        <w:t>. Visualization based on a 3D human model of Chinese medicine pulses could facilitate the teaching, understanding, and communication of meridians and acupoints</w:t>
      </w:r>
      <w:r>
        <w:rPr>
          <w:rFonts w:ascii="Cambria" w:hAnsi="Cambria"/>
        </w:rPr>
        <w:t>[</w:t>
      </w:r>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Pr>
          <w:rFonts w:ascii="Cambria" w:hAnsi="Cambria" w:cs="Times New Roman"/>
        </w:rPr>
        <w:t>9</w:t>
      </w:r>
      <w:r>
        <w:rPr>
          <w:rFonts w:ascii="Cambria" w:hAnsi="Cambria"/>
        </w:rPr>
        <w:fldChar w:fldCharType="end"/>
      </w:r>
      <w:r>
        <w:rPr>
          <w:rFonts w:ascii="Cambria" w:hAnsi="Cambria"/>
        </w:rPr>
        <w:t>]</w:t>
      </w:r>
      <w:r>
        <w:rPr>
          <w:rFonts w:hint="eastAsia"/>
        </w:rPr>
        <w:t>.</w:t>
      </w:r>
    </w:p>
    <w:p w14:paraId="3D2E23CB" w14:textId="77777777" w:rsidR="00065FDF" w:rsidRDefault="007C3805">
      <w:r>
        <w:rPr>
          <w:rFonts w:hint="eastAsia"/>
        </w:rPr>
        <w:t>Specific visualization methods for herbal medicine formulas are available. Cold and hot properties are visualized as indicators for herbal medicine formulas in a formula analysis platform</w:t>
      </w:r>
      <w:r>
        <w:rPr>
          <w:rFonts w:ascii="Cambria" w:hAnsi="Cambria"/>
        </w:rPr>
        <w:t>[</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w:t>
      </w:r>
      <w:r>
        <w:rPr>
          <w:rFonts w:hint="eastAsia"/>
        </w:rPr>
        <w:t>. However, this method covers only two properties and does not show the multidimensional attributes of medicines. Knowledge graph visualization is proposed for a large number of medicine formulas through manual processing and natural language processing</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w:t>
      </w:r>
      <w:r>
        <w:rPr>
          <w:rFonts w:hint="eastAsia"/>
        </w:rPr>
        <w:t>. Network visualization is used for showing the composition of medicine formulas to assist the construction of medicine formulas databases</w:t>
      </w:r>
      <w:r>
        <w:rPr>
          <w:rFonts w:ascii="Cambria" w:hAnsi="Cambria"/>
        </w:rPr>
        <w:t>[</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rPr>
          <w:rFonts w:hint="eastAsia"/>
        </w:rPr>
        <w:t>. However, these methods rely on querying based on text input and do not support interactive visual analysis.</w:t>
      </w:r>
    </w:p>
    <w:p w14:paraId="2E1FFF95" w14:textId="77777777" w:rsidR="00065FDF" w:rsidRDefault="007C3805">
      <w:r>
        <w:rPr>
          <w:rFonts w:hint="eastAsia"/>
        </w:rPr>
        <w:t>Moreover, most if not all works above are not done through collaborations between TCM and visualization experts. In contrast, a visual analysis method of TCM health records is available recently as a result of the collaboration between TCM and visualization experts</w:t>
      </w:r>
      <w:r>
        <w:rPr>
          <w:rFonts w:ascii="Cambria" w:hAnsi="Cambria"/>
        </w:rPr>
        <w:t>[</w:t>
      </w:r>
      <w:r>
        <w:rPr>
          <w:rFonts w:ascii="Cambria" w:hAnsi="Cambria"/>
        </w:rPr>
        <w:fldChar w:fldCharType="begin"/>
      </w:r>
      <w:r>
        <w:rPr>
          <w:rFonts w:ascii="Cambria" w:hAnsi="Cambria"/>
        </w:rPr>
        <w:instrText xml:space="preserve"> REF BIB_hu_3a2021 \* MERGEFORMAT </w:instrText>
      </w:r>
      <w:r>
        <w:rPr>
          <w:rFonts w:ascii="Cambria" w:hAnsi="Cambria"/>
        </w:rPr>
        <w:fldChar w:fldCharType="separate"/>
      </w:r>
      <w:r>
        <w:rPr>
          <w:rFonts w:ascii="Cambria" w:hAnsi="Cambria" w:cs="Times New Roman"/>
        </w:rPr>
        <w:t>10</w:t>
      </w:r>
      <w:r>
        <w:rPr>
          <w:rFonts w:ascii="Cambria" w:hAnsi="Cambria"/>
        </w:rPr>
        <w:fldChar w:fldCharType="end"/>
      </w:r>
      <w:r>
        <w:rPr>
          <w:rFonts w:ascii="Cambria" w:hAnsi="Cambria"/>
        </w:rPr>
        <w:t>]</w:t>
      </w:r>
      <w:r>
        <w:rPr>
          <w:rFonts w:hint="eastAsia"/>
        </w:rPr>
        <w:t>. This method supports the analysis of time-varying TCM health records and comparing medicines in prescriptions of different patients. However, a visual analysis method for herbal medicine formulas is not available yet.</w:t>
      </w:r>
    </w:p>
    <w:p w14:paraId="3A0DEEAC" w14:textId="77777777" w:rsidR="00E128AA" w:rsidRDefault="00E128AA">
      <w:pPr>
        <w:pStyle w:val="4"/>
      </w:pPr>
      <w:r>
        <w:t>Set Visualization</w:t>
      </w:r>
    </w:p>
    <w:p w14:paraId="1C9CD2FE" w14:textId="263E2B40" w:rsidR="00065FDF" w:rsidRDefault="007C3805">
      <w:pPr>
        <w:pStyle w:val="4"/>
      </w:pPr>
      <w:r>
        <w:t>Hierarchical and Multidimensional Data Visualization</w:t>
      </w:r>
    </w:p>
    <w:p w14:paraId="47572846" w14:textId="2E1B5A95" w:rsidR="00065FDF" w:rsidRDefault="007C3805">
      <w:pPr>
        <w:rPr>
          <w:rFonts w:eastAsia="宋体"/>
          <w:lang w:eastAsia="zh-CN"/>
        </w:rPr>
      </w:pPr>
      <w:r>
        <w:t>Hierarchical data visualization techniques can be classified into explicit techniques, i.e., trees using node-link diagrams, and implicit techniques that no explicit edges are drawn. Implicit hierarchy visualization tech</w:t>
      </w:r>
      <w:r>
        <w:rPr>
          <w:rFonts w:hint="eastAsia"/>
        </w:rPr>
        <w:t xml:space="preserve">niques are summarized in an </w:t>
      </w:r>
      <w:r>
        <w:rPr>
          <w:rFonts w:hint="eastAsia"/>
        </w:rPr>
        <w:lastRenderedPageBreak/>
        <w:t>extensive survey</w:t>
      </w:r>
      <w:r>
        <w:rPr>
          <w:rFonts w:ascii="Cambria" w:hAnsi="Cambria"/>
        </w:rPr>
        <w:t>[</w:t>
      </w:r>
      <w:r>
        <w:rPr>
          <w:rFonts w:ascii="Cambria" w:hAnsi="Cambria"/>
        </w:rPr>
        <w:fldChar w:fldCharType="begin"/>
      </w:r>
      <w:r>
        <w:rPr>
          <w:rFonts w:ascii="Cambria" w:hAnsi="Cambria"/>
        </w:rPr>
        <w:instrText xml:space="preserve"> REF BIB_schulz_3a2011 \* MERGEFORMAT </w:instrText>
      </w:r>
      <w:r>
        <w:rPr>
          <w:rFonts w:ascii="Cambria" w:hAnsi="Cambria"/>
        </w:rPr>
        <w:fldChar w:fldCharType="separate"/>
      </w:r>
      <w:r>
        <w:rPr>
          <w:rFonts w:ascii="Cambria" w:hAnsi="Cambria" w:cs="Times New Roman"/>
        </w:rPr>
        <w:t>11</w:t>
      </w:r>
      <w:r>
        <w:rPr>
          <w:rFonts w:ascii="Cambria" w:hAnsi="Cambria"/>
        </w:rPr>
        <w:fldChar w:fldCharType="end"/>
      </w:r>
      <w:r>
        <w:rPr>
          <w:rFonts w:ascii="Cambria" w:hAnsi="Cambria"/>
        </w:rPr>
        <w:t>]</w:t>
      </w:r>
      <w:r>
        <w:rPr>
          <w:rFonts w:hint="eastAsia"/>
        </w:rPr>
        <w:t>, and the main benefit</w:t>
      </w:r>
      <w:r>
        <w:rPr>
          <w:rFonts w:eastAsia="宋体" w:hint="eastAsia"/>
          <w:lang w:eastAsia="zh-CN"/>
        </w:rPr>
        <w:t xml:space="preserve"> </w:t>
      </w:r>
      <w:r>
        <w:rPr>
          <w:rFonts w:hint="eastAsia"/>
        </w:rPr>
        <w:t>of implicit techniques is the efficient use of space making them more</w:t>
      </w:r>
      <w:r>
        <w:rPr>
          <w:rFonts w:eastAsia="宋体" w:hint="eastAsia"/>
          <w:lang w:eastAsia="zh-CN"/>
        </w:rPr>
        <w:t xml:space="preserve"> suitable for large hierarchical data than trees. Popular implicit methods include treemaps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BIB_johnson_3a1991 \* MERGEFORMAT </w:instrText>
      </w:r>
      <w:r>
        <w:rPr>
          <w:rFonts w:ascii="Cambria" w:eastAsia="宋体" w:hAnsi="Cambria"/>
          <w:lang w:eastAsia="zh-CN"/>
        </w:rPr>
        <w:fldChar w:fldCharType="separate"/>
      </w:r>
      <w:r>
        <w:rPr>
          <w:rFonts w:ascii="Cambria" w:hAnsi="Cambria" w:cs="Times New Roman"/>
        </w:rPr>
        <w:t>12</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BIB_shneiderman1992 \* MERGEFORMAT </w:instrText>
      </w:r>
      <w:r>
        <w:rPr>
          <w:rFonts w:ascii="Cambria" w:eastAsia="宋体" w:hAnsi="Cambria"/>
          <w:lang w:eastAsia="zh-CN"/>
        </w:rPr>
        <w:fldChar w:fldCharType="separate"/>
      </w:r>
      <w:r>
        <w:rPr>
          <w:rFonts w:ascii="Cambria" w:hAnsi="Cambria" w:cs="Times New Roman"/>
        </w:rPr>
        <w:t>13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icicle charts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BIB_kruskal_3a1983 \* MERGEFORMAT </w:instrText>
      </w:r>
      <w:r>
        <w:rPr>
          <w:rFonts w:ascii="Cambria" w:eastAsia="宋体" w:hAnsi="Cambria"/>
          <w:lang w:eastAsia="zh-CN"/>
        </w:rPr>
        <w:fldChar w:fldCharType="separate"/>
      </w:r>
      <w:r>
        <w:rPr>
          <w:rFonts w:ascii="Cambria" w:hAnsi="Cambria" w:cs="Times New Roman"/>
        </w:rPr>
        <w:t>14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Treemaps use nested sets to show hierarchies by placing the graphical representation of children inside that of their parent. Typically, treemaps are drawn as rectangles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BIB_johnson_3a1991 \* MERGEFORMAT </w:instrText>
      </w:r>
      <w:r>
        <w:rPr>
          <w:rFonts w:ascii="Cambria" w:eastAsia="宋体" w:hAnsi="Cambria"/>
          <w:lang w:eastAsia="zh-CN"/>
        </w:rPr>
        <w:fldChar w:fldCharType="separate"/>
      </w:r>
      <w:r>
        <w:rPr>
          <w:rFonts w:ascii="Cambria" w:hAnsi="Cambria" w:cs="Times New Roman"/>
        </w:rPr>
        <w:t>12</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BIB_shneiderman1992 \* MERGEFORMAT </w:instrText>
      </w:r>
      <w:r>
        <w:rPr>
          <w:rFonts w:ascii="Cambria" w:eastAsia="宋体" w:hAnsi="Cambria"/>
          <w:lang w:eastAsia="zh-CN"/>
        </w:rPr>
        <w:fldChar w:fldCharType="separate"/>
      </w:r>
      <w:r>
        <w:rPr>
          <w:rFonts w:ascii="Cambria" w:hAnsi="Cambria" w:cs="Times New Roman"/>
        </w:rPr>
        <w:t>13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and variants of circles and even irregular shapes formed by Gosper curves exist</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BIB_auber2013 \* MERGEFORMAT </w:instrText>
      </w:r>
      <w:r>
        <w:rPr>
          <w:rFonts w:ascii="Cambria" w:eastAsia="宋体" w:hAnsi="Cambria"/>
          <w:lang w:eastAsia="zh-CN"/>
        </w:rPr>
        <w:fldChar w:fldCharType="separate"/>
      </w:r>
      <w:r>
        <w:rPr>
          <w:rFonts w:ascii="Cambria" w:hAnsi="Cambria" w:cs="Times New Roman"/>
        </w:rPr>
        <w:t>15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Research efforts are made to improve the perception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BIB_vanwijk1999 \* MERGEFORMAT </w:instrText>
      </w:r>
      <w:r>
        <w:rPr>
          <w:rFonts w:ascii="Cambria" w:eastAsia="宋体" w:hAnsi="Cambria"/>
          <w:lang w:eastAsia="zh-CN"/>
        </w:rPr>
        <w:fldChar w:fldCharType="separate"/>
      </w:r>
      <w:r>
        <w:rPr>
          <w:rFonts w:ascii="Cambria" w:hAnsi="Cambria" w:cs="Times New Roman"/>
        </w:rPr>
        <w:t>16</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BIB_bruls2000 \* MERGEFORMAT </w:instrText>
      </w:r>
      <w:r>
        <w:rPr>
          <w:rFonts w:ascii="Cambria" w:eastAsia="宋体" w:hAnsi="Cambria"/>
          <w:lang w:eastAsia="zh-CN"/>
        </w:rPr>
        <w:fldChar w:fldCharType="separate"/>
      </w:r>
      <w:r>
        <w:rPr>
          <w:rFonts w:ascii="Cambria" w:hAnsi="Cambria" w:cs="Times New Roman"/>
        </w:rPr>
        <w:t>17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or to encode more information, for example, uncertainty</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BIB_goertler2018 \* MERGEFORMAT </w:instrText>
      </w:r>
      <w:r>
        <w:rPr>
          <w:rFonts w:ascii="Cambria" w:eastAsia="宋体" w:hAnsi="Cambria"/>
          <w:lang w:eastAsia="zh-CN"/>
        </w:rPr>
        <w:fldChar w:fldCharType="separate"/>
      </w:r>
      <w:r>
        <w:rPr>
          <w:rFonts w:ascii="Cambria" w:hAnsi="Cambria" w:cs="Times New Roman"/>
        </w:rPr>
        <w:t>18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while maintaining the compactness of the treemaps. Icicle plots utilize the vertical placement of nodes to show the hierarchical information. Compared to treemaps, icicle plots are not as space-efficient but seem to be more intuitive from our informal empirical study with domain experts. In our case, we choose the icicle plot for hierarchy visualization as our TCM expert considers it easier to understand and allows for quick comparison of formulas.</w:t>
      </w:r>
    </w:p>
    <w:p w14:paraId="6A6ED1A8" w14:textId="77777777" w:rsidR="00E128AA" w:rsidRDefault="00E128AA">
      <w:pPr>
        <w:rPr>
          <w:rFonts w:eastAsia="宋体"/>
          <w:lang w:eastAsia="zh-CN"/>
        </w:rPr>
      </w:pPr>
    </w:p>
    <w:p w14:paraId="75B0E2A3" w14:textId="77777777" w:rsidR="00065FDF" w:rsidRDefault="007C3805">
      <w:pPr>
        <w:rPr>
          <w:rFonts w:eastAsia="宋体"/>
          <w:lang w:eastAsia="zh-CN"/>
        </w:rPr>
      </w:pPr>
      <w:r>
        <w:rPr>
          <w:rFonts w:eastAsia="宋体" w:hint="eastAsia"/>
          <w:lang w:eastAsia="zh-CN"/>
        </w:rPr>
        <w:t>Multidimensional data can be effectively visualized using dimensionality reduction techniques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BIB_maaten2008 \* MERGEFORMAT </w:instrText>
      </w:r>
      <w:r>
        <w:rPr>
          <w:rFonts w:ascii="Cambria" w:eastAsia="宋体" w:hAnsi="Cambria"/>
          <w:lang w:eastAsia="zh-CN"/>
        </w:rPr>
        <w:fldChar w:fldCharType="separate"/>
      </w:r>
      <w:r>
        <w:rPr>
          <w:rFonts w:ascii="Cambria" w:hAnsi="Cambria" w:cs="Times New Roman"/>
        </w:rPr>
        <w:t>19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Nonlinear dimensionality reduction methods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BIB_lee07 \* MERGEFORMAT </w:instrText>
      </w:r>
      <w:r>
        <w:rPr>
          <w:rFonts w:ascii="Cambria" w:eastAsia="宋体" w:hAnsi="Cambria"/>
          <w:lang w:eastAsia="zh-CN"/>
        </w:rPr>
        <w:fldChar w:fldCharType="separate"/>
      </w:r>
      <w:r>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more suitable to preserve complex high- dimensional structures than linear methods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BIB_cunningham2015 \* MERGEFORMAT </w:instrText>
      </w:r>
      <w:r>
        <w:rPr>
          <w:rFonts w:ascii="Cambria" w:eastAsia="宋体" w:hAnsi="Cambria"/>
          <w:lang w:eastAsia="zh-CN"/>
        </w:rPr>
        <w:fldChar w:fldCharType="separate"/>
      </w:r>
      <w:r>
        <w:rPr>
          <w:rFonts w:ascii="Cambria" w:hAnsi="Cambria" w:cs="Times New Roman"/>
        </w:rPr>
        <w:t>21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Currently, t-SNE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BIB_maaten09 \* MERGEFORMAT </w:instrText>
      </w:r>
      <w:r>
        <w:rPr>
          <w:rFonts w:ascii="Cambria" w:eastAsia="宋体" w:hAnsi="Cambria"/>
          <w:lang w:eastAsia="zh-CN"/>
        </w:rPr>
        <w:fldChar w:fldCharType="separate"/>
      </w:r>
      <w:r>
        <w:rPr>
          <w:rFonts w:ascii="Cambria" w:hAnsi="Cambria" w:cs="Times New Roman"/>
        </w:rPr>
        <w:t>22</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UMAP</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BIB_mcinnes2018 \* MERGEFORMAT </w:instrText>
      </w:r>
      <w:r>
        <w:rPr>
          <w:rFonts w:ascii="Cambria" w:eastAsia="宋体" w:hAnsi="Cambria"/>
          <w:lang w:eastAsia="zh-CN"/>
        </w:rPr>
        <w:fldChar w:fldCharType="separate"/>
      </w:r>
      <w:r>
        <w:rPr>
          <w:rFonts w:ascii="Cambria" w:hAnsi="Cambria" w:cs="Times New Roman"/>
        </w:rPr>
        <w:t>23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1DF385EC" w14:textId="77777777" w:rsidR="00065FDF" w:rsidRDefault="007C3805">
      <w:pPr>
        <w:pStyle w:val="4"/>
        <w:rPr>
          <w:lang w:eastAsia="zh-CN"/>
        </w:rPr>
      </w:pPr>
      <w:r>
        <w:rPr>
          <w:rFonts w:hint="eastAsia"/>
          <w:lang w:eastAsia="zh-CN"/>
        </w:rPr>
        <w:t>Color Perception in Visualization</w:t>
      </w:r>
    </w:p>
    <w:p w14:paraId="22656835" w14:textId="77777777" w:rsidR="00065FDF" w:rsidRDefault="007C3805">
      <w:pPr>
        <w:rPr>
          <w:rFonts w:eastAsia="宋体"/>
          <w:lang w:eastAsia="zh-CN"/>
        </w:rPr>
      </w:pPr>
      <w:r>
        <w:rPr>
          <w:rFonts w:eastAsia="宋体" w:hint="eastAsia"/>
          <w:lang w:eastAsia="zh-CN"/>
        </w:rPr>
        <w:t>Perception is important in visualization, and color perception, among others, is most relevant in our case. With numerous medicines and formulas, colors provide critical classification information that assist the users for the reasoning of formulas composition. A survey of the use of colors in visualization can be found elsewhere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BIB_zhou2016 \* MERGEFORMAT </w:instrText>
      </w:r>
      <w:r>
        <w:rPr>
          <w:rFonts w:ascii="Cambria" w:eastAsia="宋体" w:hAnsi="Cambria"/>
          <w:lang w:eastAsia="zh-CN"/>
        </w:rPr>
        <w:fldChar w:fldCharType="separate"/>
      </w:r>
      <w:r>
        <w:rPr>
          <w:rFonts w:ascii="Cambria" w:hAnsi="Cambria" w:cs="Times New Roman"/>
        </w:rPr>
        <w:t>24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 key concept for effective use of colors is perceptual uniformity, i.e., the perceived color difference should match the data value difference. Perceptual uniformity is used for color map design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BIB_robertson1986 \* MERGEFORMAT </w:instrText>
      </w:r>
      <w:r>
        <w:rPr>
          <w:rFonts w:ascii="Cambria" w:eastAsia="宋体" w:hAnsi="Cambria"/>
          <w:lang w:eastAsia="zh-CN"/>
        </w:rPr>
        <w:fldChar w:fldCharType="separate"/>
      </w:r>
      <w:r>
        <w:rPr>
          <w:rFonts w:ascii="Cambria" w:hAnsi="Cambria" w:cs="Times New Roman"/>
        </w:rPr>
        <w:t>25</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BIB_levkowitz1992 \* MERGEFORMAT </w:instrText>
      </w:r>
      <w:r>
        <w:rPr>
          <w:rFonts w:ascii="Cambria" w:eastAsia="宋体" w:hAnsi="Cambria"/>
          <w:lang w:eastAsia="zh-CN"/>
        </w:rPr>
        <w:fldChar w:fldCharType="separate"/>
      </w:r>
      <w:r>
        <w:rPr>
          <w:rFonts w:ascii="Cambria" w:hAnsi="Cambria" w:cs="Times New Roman"/>
        </w:rPr>
        <w:t>26</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and an online tool ColorBrewer is readily available</w:t>
      </w:r>
      <w:r>
        <w:rPr>
          <w:rStyle w:val="af6"/>
          <w:rFonts w:eastAsia="宋体" w:hint="eastAsia"/>
          <w:lang w:eastAsia="zh-CN"/>
        </w:rPr>
        <w:footnoteReference w:id="1"/>
      </w:r>
      <w:r>
        <w:rPr>
          <w:rFonts w:eastAsia="宋体" w:hint="eastAsia"/>
          <w:lang w:eastAsia="zh-CN"/>
        </w:rPr>
        <w:t>,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CIELab is perhaps the most well known perceptual uniform color space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BIB_cie2018 \* MERGEFORMAT </w:instrText>
      </w:r>
      <w:r>
        <w:rPr>
          <w:rFonts w:ascii="Cambria" w:eastAsia="宋体" w:hAnsi="Cambria"/>
          <w:lang w:eastAsia="zh-CN"/>
        </w:rPr>
        <w:fldChar w:fldCharType="separate"/>
      </w:r>
      <w:r>
        <w:rPr>
          <w:rFonts w:ascii="Cambria" w:hAnsi="Cambria" w:cs="Times New Roman"/>
        </w:rPr>
        <w:t>27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However, studies show that the uniformity performance of CIELab is not very good</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Recently, several color spaces based on the CIECAM02 color appearance model</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BIB_moroney2002 \* MERGEFORMAT </w:instrText>
      </w:r>
      <w:r>
        <w:rPr>
          <w:rFonts w:ascii="Cambria" w:eastAsia="宋体" w:hAnsi="Cambria"/>
          <w:lang w:eastAsia="zh-CN"/>
        </w:rPr>
        <w:fldChar w:fldCharType="separate"/>
      </w:r>
      <w:r>
        <w:rPr>
          <w:rFonts w:ascii="Cambria" w:hAnsi="Cambria" w:cs="Times New Roman"/>
        </w:rPr>
        <w:t>29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with better uniformity than CIELab are available. In our method, we choose the CIECAM02- UCS color space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for its good performance.</w:t>
      </w:r>
    </w:p>
    <w:p w14:paraId="0694AAC2" w14:textId="7D7FC2E7" w:rsidR="008B201F" w:rsidRDefault="008B201F"/>
    <w:p w14:paraId="2965168C" w14:textId="77777777" w:rsidR="007D5C87" w:rsidRDefault="007D5C87"/>
    <w:p w14:paraId="368C196B" w14:textId="77777777" w:rsidR="00065FDF" w:rsidRDefault="007C3805">
      <w:r>
        <w:lastRenderedPageBreak/>
        <w:t>Table 1: Part of the original text-based medicine formula information summarized from the textbook Medicine Formulas (Tenth Edition)</w:t>
      </w:r>
      <w:r>
        <w:rPr>
          <w:rFonts w:ascii="Cambria" w:hAnsi="Cambria"/>
        </w:rPr>
        <w:t>[</w:t>
      </w:r>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Pr>
          <w:rFonts w:ascii="Cambria" w:hAnsi="Cambria" w:cs="Times New Roman"/>
        </w:rPr>
        <w:t>31</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2214"/>
        <w:gridCol w:w="4049"/>
      </w:tblGrid>
      <w:tr w:rsidR="00065FDF" w14:paraId="32EC8022" w14:textId="77777777">
        <w:tc>
          <w:tcPr>
            <w:tcW w:w="2214" w:type="dxa"/>
          </w:tcPr>
          <w:p w14:paraId="37B7DCBD" w14:textId="77777777" w:rsidR="00065FDF" w:rsidRDefault="007C3805">
            <w:r>
              <w:t>Formula</w:t>
            </w:r>
          </w:p>
        </w:tc>
        <w:tc>
          <w:tcPr>
            <w:tcW w:w="6263" w:type="dxa"/>
            <w:gridSpan w:val="2"/>
          </w:tcPr>
          <w:p w14:paraId="239C0159" w14:textId="77777777" w:rsidR="00065FDF" w:rsidRDefault="007C3805">
            <w:r>
              <w:t>Medicines</w:t>
            </w:r>
          </w:p>
        </w:tc>
      </w:tr>
      <w:tr w:rsidR="00065FDF" w14:paraId="507BDA2D" w14:textId="77777777">
        <w:trPr>
          <w:gridAfter w:val="1"/>
          <w:wAfter w:w="4049" w:type="dxa"/>
        </w:trPr>
        <w:tc>
          <w:tcPr>
            <w:tcW w:w="2214" w:type="dxa"/>
          </w:tcPr>
          <w:p w14:paraId="35FC7929" w14:textId="77777777" w:rsidR="00065FDF" w:rsidRDefault="00065FDF"/>
        </w:tc>
        <w:tc>
          <w:tcPr>
            <w:tcW w:w="2214" w:type="dxa"/>
          </w:tcPr>
          <w:p w14:paraId="31C0E772" w14:textId="77777777" w:rsidR="00065FDF" w:rsidRDefault="00065FDF"/>
        </w:tc>
      </w:tr>
      <w:tr w:rsidR="00065FDF" w14:paraId="1761F6AB" w14:textId="77777777">
        <w:tc>
          <w:tcPr>
            <w:tcW w:w="2214" w:type="dxa"/>
          </w:tcPr>
          <w:p w14:paraId="3A6DE16A" w14:textId="77777777" w:rsidR="00065FDF" w:rsidRDefault="007C3805">
            <w:pPr>
              <w:rPr>
                <w:b/>
              </w:rPr>
            </w:pPr>
            <w:r>
              <w:rPr>
                <w:rFonts w:ascii="宋体" w:eastAsia="宋体" w:hint="eastAsia"/>
              </w:rPr>
              <w:t>八珍汤</w:t>
            </w:r>
          </w:p>
        </w:tc>
        <w:tc>
          <w:tcPr>
            <w:tcW w:w="6263" w:type="dxa"/>
            <w:gridSpan w:val="2"/>
          </w:tcPr>
          <w:p w14:paraId="246D7D05" w14:textId="77777777" w:rsidR="00065FDF" w:rsidRDefault="007C3805">
            <w:pPr>
              <w:rPr>
                <w:lang w:eastAsia="zh-CN"/>
              </w:rPr>
            </w:pPr>
            <w:r>
              <w:rPr>
                <w:rFonts w:ascii="宋体" w:eastAsia="宋体" w:hint="eastAsia"/>
                <w:color w:val="0000FF"/>
                <w:w w:val="95"/>
                <w:lang w:eastAsia="zh-CN"/>
              </w:rPr>
              <w:t>人参、熟地黄</w:t>
            </w:r>
            <w:r>
              <w:rPr>
                <w:rFonts w:ascii="宋体" w:eastAsia="宋体"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r>
              <w:rPr>
                <w:rFonts w:ascii="宋体" w:eastAsia="宋体" w:hint="eastAsia"/>
              </w:rPr>
              <w:t>参苓白术散</w:t>
            </w:r>
          </w:p>
        </w:tc>
        <w:tc>
          <w:tcPr>
            <w:tcW w:w="6263" w:type="dxa"/>
            <w:gridSpan w:val="2"/>
          </w:tcPr>
          <w:p w14:paraId="65147C46" w14:textId="77777777" w:rsidR="00065FDF" w:rsidRDefault="007C3805">
            <w:pPr>
              <w:rPr>
                <w:lang w:eastAsia="zh-CN"/>
              </w:rPr>
            </w:pPr>
            <w:r>
              <w:rPr>
                <w:rFonts w:ascii="宋体" w:eastAsia="宋体" w:hint="eastAsia"/>
                <w:color w:val="0000FF"/>
                <w:w w:val="95"/>
                <w:lang w:eastAsia="zh-CN"/>
              </w:rPr>
              <w:t>人参、白术、茯苓</w:t>
            </w:r>
            <w:r>
              <w:rPr>
                <w:rFonts w:ascii="宋体" w:eastAsia="宋体"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r>
              <w:rPr>
                <w:rFonts w:ascii="宋体" w:eastAsia="宋体" w:hint="eastAsia"/>
              </w:rPr>
              <w:t>生脉散</w:t>
            </w:r>
          </w:p>
        </w:tc>
        <w:tc>
          <w:tcPr>
            <w:tcW w:w="6263" w:type="dxa"/>
            <w:gridSpan w:val="2"/>
          </w:tcPr>
          <w:p w14:paraId="3351F982" w14:textId="77777777" w:rsidR="00065FDF" w:rsidRDefault="007C3805">
            <w:r>
              <w:rPr>
                <w:rFonts w:ascii="宋体" w:eastAsia="宋体" w:hint="eastAsia"/>
                <w:color w:val="0000FF"/>
                <w:w w:val="95"/>
              </w:rPr>
              <w:t>人参</w:t>
            </w:r>
            <w:r>
              <w:rPr>
                <w:rFonts w:ascii="宋体" w:eastAsia="宋体" w:hint="eastAsia"/>
                <w:w w:val="95"/>
              </w:rPr>
              <w:t>、麦冬、五味子</w:t>
            </w:r>
          </w:p>
        </w:tc>
      </w:tr>
      <w:tr w:rsidR="00065FDF" w14:paraId="6B03F4C9" w14:textId="77777777">
        <w:tc>
          <w:tcPr>
            <w:tcW w:w="2214" w:type="dxa"/>
          </w:tcPr>
          <w:p w14:paraId="5605E93B" w14:textId="77777777" w:rsidR="00065FDF" w:rsidRDefault="007C3805">
            <w:r>
              <w:rPr>
                <w:rFonts w:ascii="宋体" w:eastAsia="宋体" w:hint="eastAsia"/>
              </w:rPr>
              <w:t>四君子汤</w:t>
            </w:r>
          </w:p>
        </w:tc>
        <w:tc>
          <w:tcPr>
            <w:tcW w:w="6263" w:type="dxa"/>
            <w:gridSpan w:val="2"/>
          </w:tcPr>
          <w:p w14:paraId="3BD1645C" w14:textId="77777777" w:rsidR="00065FDF" w:rsidRDefault="007C3805">
            <w:pPr>
              <w:rPr>
                <w:lang w:eastAsia="zh-CN"/>
              </w:rPr>
            </w:pPr>
            <w:r>
              <w:rPr>
                <w:rFonts w:ascii="宋体" w:eastAsia="宋体" w:hint="eastAsia"/>
                <w:color w:val="0000FF"/>
                <w:w w:val="95"/>
                <w:lang w:eastAsia="zh-CN"/>
              </w:rPr>
              <w:t>人参</w:t>
            </w:r>
            <w:r>
              <w:rPr>
                <w:rFonts w:ascii="宋体" w:eastAsia="宋体" w:hint="eastAsia"/>
                <w:w w:val="95"/>
                <w:lang w:eastAsia="zh-CN"/>
              </w:rPr>
              <w:t>、甘草、白术、茯苓</w:t>
            </w:r>
          </w:p>
        </w:tc>
      </w:tr>
      <w:tr w:rsidR="00065FDF" w14:paraId="09D2F117" w14:textId="77777777">
        <w:tc>
          <w:tcPr>
            <w:tcW w:w="2214" w:type="dxa"/>
          </w:tcPr>
          <w:p w14:paraId="11D2BB48" w14:textId="77777777" w:rsidR="00065FDF" w:rsidRDefault="007C3805">
            <w:r>
              <w:rPr>
                <w:rFonts w:ascii="宋体" w:eastAsia="宋体" w:hint="eastAsia"/>
              </w:rPr>
              <w:t>大补阴丸</w:t>
            </w:r>
          </w:p>
        </w:tc>
        <w:tc>
          <w:tcPr>
            <w:tcW w:w="6263" w:type="dxa"/>
            <w:gridSpan w:val="2"/>
          </w:tcPr>
          <w:p w14:paraId="5C678129" w14:textId="77777777" w:rsidR="00065FDF" w:rsidRDefault="007C3805">
            <w:pPr>
              <w:rPr>
                <w:lang w:eastAsia="zh-CN"/>
              </w:rPr>
            </w:pPr>
            <w:r>
              <w:rPr>
                <w:rFonts w:ascii="宋体" w:eastAsia="宋体" w:hint="eastAsia"/>
                <w:color w:val="0000FF"/>
                <w:w w:val="95"/>
                <w:lang w:eastAsia="zh-CN"/>
              </w:rPr>
              <w:t>熟地黄、龟甲</w:t>
            </w:r>
            <w:r>
              <w:rPr>
                <w:rFonts w:ascii="宋体" w:eastAsia="宋体" w:hint="eastAsia"/>
                <w:w w:val="95"/>
                <w:lang w:eastAsia="zh-CN"/>
              </w:rPr>
              <w:t>、黄柏、知母</w:t>
            </w:r>
          </w:p>
        </w:tc>
      </w:tr>
      <w:tr w:rsidR="00065FDF" w14:paraId="5ADFB036" w14:textId="77777777">
        <w:tc>
          <w:tcPr>
            <w:tcW w:w="2214" w:type="dxa"/>
          </w:tcPr>
          <w:p w14:paraId="7C77C81C" w14:textId="77777777" w:rsidR="00065FDF" w:rsidRDefault="007C3805">
            <w:r>
              <w:rPr>
                <w:rFonts w:ascii="宋体" w:eastAsia="宋体" w:hint="eastAsia"/>
              </w:rPr>
              <w:t>四物汤</w:t>
            </w:r>
          </w:p>
        </w:tc>
        <w:tc>
          <w:tcPr>
            <w:tcW w:w="6263" w:type="dxa"/>
            <w:gridSpan w:val="2"/>
          </w:tcPr>
          <w:p w14:paraId="1A44C253" w14:textId="77777777" w:rsidR="00065FDF" w:rsidRDefault="007C3805">
            <w:pPr>
              <w:rPr>
                <w:lang w:eastAsia="zh-CN"/>
              </w:rPr>
            </w:pPr>
            <w:r>
              <w:rPr>
                <w:rFonts w:ascii="宋体" w:eastAsia="宋体" w:hint="eastAsia"/>
                <w:color w:val="0000FF"/>
                <w:w w:val="95"/>
                <w:lang w:eastAsia="zh-CN"/>
              </w:rPr>
              <w:t>熟地黄</w:t>
            </w:r>
            <w:r>
              <w:rPr>
                <w:rFonts w:ascii="宋体" w:eastAsia="宋体" w:hint="eastAsia"/>
                <w:w w:val="95"/>
                <w:lang w:eastAsia="zh-CN"/>
              </w:rPr>
              <w:t>、白芍、川芎、当归</w:t>
            </w:r>
          </w:p>
        </w:tc>
      </w:tr>
      <w:tr w:rsidR="00065FDF" w14:paraId="7951CA07" w14:textId="77777777">
        <w:tc>
          <w:tcPr>
            <w:tcW w:w="2214" w:type="dxa"/>
          </w:tcPr>
          <w:p w14:paraId="5277DB16" w14:textId="77777777" w:rsidR="00065FDF" w:rsidRDefault="007C3805">
            <w:r>
              <w:rPr>
                <w:rFonts w:ascii="宋体" w:eastAsia="宋体" w:hint="eastAsia"/>
              </w:rPr>
              <w:t>地黄饮子</w:t>
            </w:r>
          </w:p>
        </w:tc>
        <w:tc>
          <w:tcPr>
            <w:tcW w:w="6263" w:type="dxa"/>
            <w:gridSpan w:val="2"/>
          </w:tcPr>
          <w:p w14:paraId="5B1CC22B" w14:textId="77777777" w:rsidR="00065FDF" w:rsidRDefault="007C3805">
            <w:pPr>
              <w:rPr>
                <w:lang w:eastAsia="zh-CN"/>
              </w:rPr>
            </w:pPr>
            <w:r>
              <w:rPr>
                <w:rFonts w:ascii="宋体" w:eastAsia="宋体" w:hint="eastAsia"/>
                <w:color w:val="0000FF"/>
                <w:w w:val="95"/>
                <w:lang w:eastAsia="zh-CN"/>
              </w:rPr>
              <w:t>熟地黄、山茱萸、肉苁蓉、巴戟天</w:t>
            </w:r>
            <w:r>
              <w:rPr>
                <w:rFonts w:ascii="宋体" w:eastAsia="宋体" w:hint="eastAsia"/>
                <w:w w:val="95"/>
                <w:lang w:eastAsia="zh-CN"/>
              </w:rPr>
              <w:t>、麦冬、远志、生姜、附子、茯苓、大枣、五味子、石斛、石蒲、肉桂、薄荷</w:t>
            </w:r>
          </w:p>
        </w:tc>
      </w:tr>
    </w:tbl>
    <w:p w14:paraId="51C069A6" w14:textId="067A3C9E" w:rsidR="00065FDF" w:rsidRDefault="007C3805">
      <w:pPr>
        <w:pStyle w:val="2"/>
      </w:pPr>
      <w:bookmarkStart w:id="13" w:name="Methods"/>
      <w:bookmarkStart w:id="14" w:name="_Methods_1"/>
      <w:bookmarkEnd w:id="13"/>
      <w:bookmarkEnd w:id="14"/>
      <w:r>
        <w:t>Methods</w:t>
      </w:r>
    </w:p>
    <w:p w14:paraId="4E4E730C" w14:textId="52B0D95A" w:rsidR="006F6686" w:rsidRDefault="006F6686" w:rsidP="008B201F">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0C55A19D" w14:textId="08CF0D3D" w:rsidR="006F6686" w:rsidRDefault="006F6686" w:rsidP="006F6686">
      <w:r>
        <w:t>The goal of our work is to devise a method that supports the joint</w:t>
      </w:r>
      <w:r w:rsidR="008B201F">
        <w:t xml:space="preserve"> visualization of medicine formulas and the attributes of corresponding drugs. The visual design should support comparison of formulas and drugs and also facilitate the classification of drugs based on their SiqiWuwei properties.  </w:t>
      </w:r>
      <w:r>
        <w:t>Visualization and TCM experts work closely together to analyze requirements of the visual analysis method for medicine formulas. The requirements are summarized as follows.</w:t>
      </w:r>
    </w:p>
    <w:p w14:paraId="675FCF4D" w14:textId="77777777" w:rsidR="006F6686" w:rsidRDefault="006F6686" w:rsidP="006F6686"/>
    <w:p w14:paraId="4C25BF74" w14:textId="77777777" w:rsidR="006F6686" w:rsidRDefault="006F6686" w:rsidP="006F6686">
      <w:r>
        <w:t>R1: clear visualization of medicine formulas.</w:t>
      </w:r>
    </w:p>
    <w:p w14:paraId="5F2EA08D" w14:textId="77777777" w:rsidR="006F6686" w:rsidRDefault="006F6686" w:rsidP="006F6686">
      <w:r>
        <w:t>R2: comparing different medicine formulas with ease.</w:t>
      </w:r>
    </w:p>
    <w:p w14:paraId="1AD23224" w14:textId="77777777" w:rsidR="006F6686" w:rsidRDefault="006F6686" w:rsidP="006F6686">
      <w:r>
        <w:t>R3: sovereign drugs should be highlighted.</w:t>
      </w:r>
    </w:p>
    <w:p w14:paraId="0CDA5EA8" w14:textId="77777777" w:rsidR="006F6686" w:rsidRDefault="006F6686" w:rsidP="006F6686">
      <w:r>
        <w:t>R4: associating medicine formulas and attributes of the corresponding drugs.</w:t>
      </w:r>
    </w:p>
    <w:p w14:paraId="306E02C3" w14:textId="77777777" w:rsidR="006F6686" w:rsidRDefault="006F6686" w:rsidP="006F6686">
      <w:r>
        <w:t>R5: visual elements should be effectively perceived.</w:t>
      </w:r>
    </w:p>
    <w:p w14:paraId="076CC15E" w14:textId="77777777" w:rsidR="006F6686" w:rsidRDefault="006F6686" w:rsidP="006F6686">
      <w:r>
        <w:t>R6: interactions should be easy.</w:t>
      </w:r>
    </w:p>
    <w:p w14:paraId="7242F469" w14:textId="056D396B" w:rsidR="006F6686" w:rsidRDefault="006F6686" w:rsidP="006F6686">
      <w:r>
        <w:t xml:space="preserve">R7: visual designs should reflect </w:t>
      </w:r>
      <w:r w:rsidR="00360DCF">
        <w:t xml:space="preserve">general </w:t>
      </w:r>
      <w:r>
        <w:t>concepts of TCM.</w:t>
      </w:r>
    </w:p>
    <w:p w14:paraId="6BF9B660" w14:textId="77777777" w:rsidR="006F6686" w:rsidRDefault="006F6686" w:rsidP="006F6686"/>
    <w:p w14:paraId="1A7420E3" w14:textId="649BDC87" w:rsidR="006F6686" w:rsidRDefault="006F6686" w:rsidP="006F6686">
      <w:r>
        <w:t>Our method is the result of an iterative development process with quick prototypes. Prototypes were realized based on the requirements and proposed to the TCM expert and improvements were made given the feedback of the TCM expert.</w:t>
      </w:r>
    </w:p>
    <w:p w14:paraId="3781AE52" w14:textId="6E1213CD" w:rsidR="006F6686" w:rsidRPr="006F6686" w:rsidRDefault="006F6686" w:rsidP="006F6686"/>
    <w:p w14:paraId="5DA1EFED" w14:textId="77777777" w:rsidR="00065FDF" w:rsidRDefault="007C3805">
      <w:pPr>
        <w:rPr>
          <w:rFonts w:eastAsia="宋体"/>
          <w:lang w:eastAsia="zh-CN"/>
        </w:rPr>
      </w:pPr>
      <w:r>
        <w:t xml:space="preserve">The workflow of our method is shown in Figure </w:t>
      </w:r>
      <w:hyperlink w:anchor="_bookmark3" w:history="1">
        <w:r>
          <w:t xml:space="preserve">2: </w:t>
        </w:r>
      </w:hyperlink>
      <w:r>
        <w:t>the medicine formulas information and the multidimensional medicine attribute data</w:t>
      </w:r>
      <w:r>
        <w:rPr>
          <w:spacing w:val="1"/>
        </w:rPr>
        <w:t xml:space="preserve"> </w:t>
      </w:r>
      <w:r>
        <w:t xml:space="preserve">are prepared as the input (Section </w:t>
      </w:r>
      <w:hyperlink w:anchor="_bookmark5" w:history="1">
        <w:r>
          <w:t>4.1);</w:t>
        </w:r>
      </w:hyperlink>
      <w:r>
        <w:t xml:space="preserve"> medicine attribute data are</w:t>
      </w:r>
      <w:r>
        <w:rPr>
          <w:spacing w:val="1"/>
        </w:rPr>
        <w:t xml:space="preserve"> </w:t>
      </w:r>
      <w:r>
        <w:t>projected to the low dimensional space (2D) and pair-wise distances</w:t>
      </w:r>
      <w:r>
        <w:rPr>
          <w:spacing w:val="1"/>
        </w:rPr>
        <w:t xml:space="preserve"> </w:t>
      </w:r>
      <w:r>
        <w:t>are</w:t>
      </w:r>
      <w:r>
        <w:rPr>
          <w:spacing w:val="14"/>
        </w:rPr>
        <w:t xml:space="preserve"> </w:t>
      </w:r>
      <w:r>
        <w:t>calculated;</w:t>
      </w:r>
      <w:r>
        <w:rPr>
          <w:spacing w:val="19"/>
        </w:rPr>
        <w:t xml:space="preserve"> </w:t>
      </w:r>
      <w:r>
        <w:t>medicine</w:t>
      </w:r>
      <w:r>
        <w:rPr>
          <w:spacing w:val="14"/>
        </w:rPr>
        <w:t xml:space="preserve"> </w:t>
      </w:r>
      <w:r>
        <w:t>formulas</w:t>
      </w:r>
      <w:r>
        <w:rPr>
          <w:spacing w:val="15"/>
        </w:rPr>
        <w:t xml:space="preserve"> </w:t>
      </w:r>
      <w:r>
        <w:t>data</w:t>
      </w:r>
      <w:r>
        <w:rPr>
          <w:spacing w:val="14"/>
        </w:rPr>
        <w:t xml:space="preserve"> </w:t>
      </w:r>
      <w:r>
        <w:t>is</w:t>
      </w:r>
      <w:r>
        <w:rPr>
          <w:spacing w:val="14"/>
        </w:rPr>
        <w:t xml:space="preserve"> </w:t>
      </w:r>
      <w:r>
        <w:t>converted</w:t>
      </w:r>
      <w:r>
        <w:rPr>
          <w:spacing w:val="15"/>
        </w:rPr>
        <w:t xml:space="preserve"> </w:t>
      </w:r>
      <w:r>
        <w:t>into</w:t>
      </w:r>
      <w:r>
        <w:rPr>
          <w:spacing w:val="14"/>
        </w:rPr>
        <w:t xml:space="preserve"> </w:t>
      </w:r>
      <w:r>
        <w:t>a</w:t>
      </w:r>
      <w:r>
        <w:rPr>
          <w:spacing w:val="14"/>
        </w:rPr>
        <w:t xml:space="preserve"> </w:t>
      </w:r>
      <w:r>
        <w:t>hierarchy</w:t>
      </w:r>
      <w:r>
        <w:rPr>
          <w:rFonts w:eastAsia="宋体" w:hint="eastAsia"/>
          <w:lang w:eastAsia="zh-CN"/>
        </w:rPr>
        <w:t xml:space="preserve"> with a tree layout using our similarity-based layout algorithm and is visualized as an icicle plot (Section 4.2); next, colors are designed for medicines using our perceptual-guided data-driven color encoding method (Section 4.3).</w:t>
      </w:r>
    </w:p>
    <w:p w14:paraId="287E4325" w14:textId="77777777" w:rsidR="00065FDF" w:rsidRDefault="00065FDF">
      <w:pPr>
        <w:jc w:val="center"/>
        <w:rPr>
          <w:rFonts w:eastAsia="宋体"/>
          <w:lang w:eastAsia="zh-CN"/>
        </w:rPr>
      </w:pPr>
    </w:p>
    <w:p w14:paraId="0EE2B970" w14:textId="77777777" w:rsidR="00065FDF" w:rsidRDefault="007C3805">
      <w:pPr>
        <w:jc w:val="center"/>
        <w:rPr>
          <w:rFonts w:eastAsia="宋体"/>
          <w:lang w:eastAsia="zh-CN"/>
        </w:rPr>
      </w:pPr>
      <w:r>
        <w:rPr>
          <w:rFonts w:eastAsia="宋体"/>
          <w:noProof/>
          <w:lang w:eastAsia="zh-CN"/>
        </w:rPr>
        <w:drawing>
          <wp:inline distT="0" distB="0" distL="0" distR="0" wp14:anchorId="7F92E2F5" wp14:editId="4119C046">
            <wp:extent cx="4439920" cy="1470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4461665" cy="1478443"/>
                    </a:xfrm>
                    <a:prstGeom prst="rect">
                      <a:avLst/>
                    </a:prstGeom>
                  </pic:spPr>
                </pic:pic>
              </a:graphicData>
            </a:graphic>
          </wp:inline>
        </w:drawing>
      </w:r>
    </w:p>
    <w:p w14:paraId="2AF0ACBE" w14:textId="77777777" w:rsidR="00065FDF" w:rsidRDefault="007C3805">
      <w:pPr>
        <w:jc w:val="center"/>
        <w:rPr>
          <w:rFonts w:eastAsia="宋体"/>
          <w:lang w:eastAsia="zh-CN"/>
        </w:rPr>
      </w:pPr>
      <w:r>
        <w:t>Fig.</w:t>
      </w:r>
      <w:r>
        <w:rPr>
          <w:spacing w:val="-6"/>
        </w:rPr>
        <w:t xml:space="preserve"> </w:t>
      </w:r>
      <w:r>
        <w:t>2:</w:t>
      </w:r>
      <w:r>
        <w:rPr>
          <w:spacing w:val="5"/>
        </w:rPr>
        <w:t xml:space="preserve"> </w:t>
      </w:r>
      <w:r>
        <w:t>The</w:t>
      </w:r>
      <w:r>
        <w:rPr>
          <w:spacing w:val="-5"/>
        </w:rPr>
        <w:t xml:space="preserve"> </w:t>
      </w:r>
      <w:r>
        <w:t>workflow</w:t>
      </w:r>
      <w:r>
        <w:rPr>
          <w:spacing w:val="-5"/>
        </w:rPr>
        <w:t xml:space="preserve"> </w:t>
      </w:r>
      <w:r>
        <w:t>of</w:t>
      </w:r>
      <w:r>
        <w:rPr>
          <w:spacing w:val="-5"/>
        </w:rPr>
        <w:t xml:space="preserve"> </w:t>
      </w:r>
      <w:r>
        <w:t>our</w:t>
      </w:r>
      <w:r>
        <w:rPr>
          <w:spacing w:val="-5"/>
        </w:rPr>
        <w:t xml:space="preserve"> </w:t>
      </w:r>
      <w:r>
        <w:t>method.</w:t>
      </w:r>
    </w:p>
    <w:p w14:paraId="6E1FD18F" w14:textId="77777777" w:rsidR="00065FDF" w:rsidRDefault="007C3805">
      <w:pPr>
        <w:rPr>
          <w:rFonts w:eastAsia="宋体"/>
          <w:lang w:eastAsia="zh-CN"/>
        </w:rPr>
      </w:pPr>
      <w:r>
        <w:rPr>
          <w:rFonts w:eastAsia="宋体" w:hint="eastAsia"/>
          <w:lang w:eastAsia="zh-CN"/>
        </w:rPr>
        <w:t>In this paper, the sources of the input data are as follows. The medicine formulas data are extracted from the key medicine formulas in the textbook Medicine Formulas (Tenth Edition)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BIB_fangjixue \* MERGEFORMAT </w:instrText>
      </w:r>
      <w:r>
        <w:rPr>
          <w:rFonts w:ascii="Cambria" w:eastAsia="宋体" w:hAnsi="Cambria"/>
          <w:lang w:eastAsia="zh-CN"/>
        </w:rPr>
        <w:fldChar w:fldCharType="separate"/>
      </w:r>
      <w:r>
        <w:rPr>
          <w:rFonts w:ascii="Cambria" w:hAnsi="Cambria" w:cs="Times New Roman"/>
        </w:rPr>
        <w:t>31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as shown in Table 1. The multidimensionial medicine attribute data are retrieved from the SymMap database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BIB_wu2019 \* MERGEFORMAT </w:instrText>
      </w:r>
      <w:r>
        <w:rPr>
          <w:rFonts w:ascii="Cambria" w:eastAsia="宋体" w:hAnsi="Cambria"/>
          <w:lang w:eastAsia="zh-CN"/>
        </w:rPr>
        <w:fldChar w:fldCharType="separate"/>
      </w:r>
      <w:r>
        <w:rPr>
          <w:rFonts w:ascii="Cambria" w:hAnsi="Cambria" w:cs="Times New Roman"/>
        </w:rPr>
        <w:t>32</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w:t>
      </w:r>
    </w:p>
    <w:p w14:paraId="55B7414D" w14:textId="77777777" w:rsidR="00065FDF" w:rsidRDefault="007C3805">
      <w:pPr>
        <w:pStyle w:val="3"/>
      </w:pPr>
      <w:r>
        <w:t>Dimensionality Reduction and Distance Computation</w:t>
      </w:r>
    </w:p>
    <w:p w14:paraId="7251059B" w14:textId="1A063F37" w:rsidR="00065FDF" w:rsidRDefault="007C3805">
      <w:r>
        <w:t>Attributes used in our method are Siqi and Wuwei in an M-dimensional space</w:t>
      </w:r>
      <w:r w:rsidR="007316C7">
        <w:t xml:space="preserve"> (</w:t>
      </w:r>
      <w:r w:rsidR="007316C7" w:rsidRPr="007316C7">
        <w:rPr>
          <w:color w:val="FF0000"/>
        </w:rPr>
        <w:t>M=XXX?</w:t>
      </w:r>
      <w:r w:rsidR="007316C7">
        <w:t>)</w:t>
      </w:r>
      <w:r>
        <w:t xml:space="preserve">. The Siqi and Wuwei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8.9pt" o:ole="">
            <v:imagedata r:id="rId13" o:title=""/>
          </v:shape>
          <o:OLEObject Type="Embed" ProgID="Equation.DSMT4" ShapeID="_x0000_i1025" DrawAspect="Content" ObjectID="_1719223663"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B174B">
        <w:fldChar w:fldCharType="begin"/>
      </w:r>
      <w:r w:rsidR="00CB174B">
        <w:instrText xml:space="preserve"> SEQ MTEqn</w:instrText>
      </w:r>
      <w:r w:rsidR="00CB174B">
        <w:instrText xml:space="preserve"> \c \* Arabic \* MERGEFORMAT </w:instrText>
      </w:r>
      <w:r w:rsidR="00CB174B">
        <w:fldChar w:fldCharType="separate"/>
      </w:r>
      <w:r>
        <w:instrText>1</w:instrText>
      </w:r>
      <w:r w:rsidR="00CB174B">
        <w:fldChar w:fldCharType="end"/>
      </w:r>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77777777" w:rsidR="00065FDF" w:rsidRDefault="007C3805">
      <w:pPr>
        <w:pStyle w:val="MTDisplayEquation"/>
      </w:pPr>
      <w:r>
        <w:tab/>
      </w:r>
      <w:r>
        <w:rPr>
          <w:position w:val="-12"/>
        </w:rPr>
        <w:object w:dxaOrig="2743" w:dyaOrig="383" w14:anchorId="7F00FB83">
          <v:shape id="_x0000_i1026" type="#_x0000_t75" style="width:136.85pt;height:18.9pt" o:ole="">
            <v:imagedata r:id="rId15" o:title=""/>
          </v:shape>
          <o:OLEObject Type="Embed" ProgID="Equation.DSMT4" ShapeID="_x0000_i1026" DrawAspect="Content" ObjectID="_1719223664"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B174B">
        <w:fldChar w:fldCharType="begin"/>
      </w:r>
      <w:r w:rsidR="00CB174B">
        <w:instrText xml:space="preserve"> SEQ MTEqn \c \* Arabic \* MERGEFORMAT </w:instrText>
      </w:r>
      <w:r w:rsidR="00CB174B">
        <w:fldChar w:fldCharType="separate"/>
      </w:r>
      <w:r>
        <w:instrText>2</w:instrText>
      </w:r>
      <w:r w:rsidR="00CB174B">
        <w:fldChar w:fldCharType="end"/>
      </w:r>
      <w:r>
        <w:instrText>)</w:instrText>
      </w:r>
      <w:r>
        <w:fldChar w:fldCharType="end"/>
      </w:r>
    </w:p>
    <w:p w14:paraId="05C8D902" w14:textId="77777777" w:rsidR="00065FDF" w:rsidRDefault="007C3805">
      <w:r>
        <w:t>UMAP</w:t>
      </w:r>
      <w:r>
        <w:rPr>
          <w:rFonts w:ascii="Cambria" w:hAnsi="Cambria"/>
        </w:rPr>
        <w:t>[</w:t>
      </w:r>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Pr>
          <w:rFonts w:ascii="Cambria" w:hAnsi="Cambria" w:cs="Times New Roman"/>
        </w:rPr>
        <w:t>23</w:t>
      </w:r>
      <w:r>
        <w:rPr>
          <w:rFonts w:ascii="Cambria" w:hAnsi="Cambria"/>
        </w:rPr>
        <w:fldChar w:fldCharType="end"/>
      </w:r>
      <w:r>
        <w:rPr>
          <w:rFonts w:ascii="Cambria" w:hAnsi="Cambria"/>
        </w:rPr>
        <w:t>]</w:t>
      </w:r>
      <w:r>
        <w:t xml:space="preserve">is used for its structure preservation ability and computational efficiency. The scatterplot of medicines in the dimensionality- reduced space is shown in Figure </w:t>
      </w:r>
      <w:hyperlink w:anchor="_bookmark0" w:history="1">
        <w:r>
          <w:t>1(left).</w:t>
        </w:r>
      </w:hyperlink>
    </w:p>
    <w:p w14:paraId="18448B97" w14:textId="5CD24424" w:rsidR="00065FDF" w:rsidRDefault="007C3805">
      <w:r>
        <w:t>The distance between medicines is the basis of our subsequent similarity-based hierarchy layout computation and visualization. We</w:t>
      </w:r>
      <w:r>
        <w:rPr>
          <w:rFonts w:eastAsia="宋体" w:hint="eastAsia"/>
          <w:lang w:eastAsia="zh-CN"/>
        </w:rPr>
        <w:t xml:space="preserve"> </w:t>
      </w:r>
      <w:r>
        <w:t xml:space="preserve">define the distance </w:t>
      </w:r>
      <w:r>
        <w:rPr>
          <w:i/>
          <w:iCs/>
        </w:rPr>
        <w:t>d(u, v)</w:t>
      </w:r>
      <w:r>
        <w:t xml:space="preserve"> between two herbal medicine </w:t>
      </w:r>
      <w:r>
        <w:rPr>
          <w:i/>
          <w:iCs/>
        </w:rPr>
        <w:t>u</w:t>
      </w:r>
      <w:r>
        <w:t xml:space="preserve"> and </w:t>
      </w:r>
      <w:r>
        <w:rPr>
          <w:i/>
          <w:iCs/>
        </w:rPr>
        <w:t>v</w:t>
      </w:r>
      <w:r>
        <w:t xml:space="preserve"> as the L2-norm, i.e., Euclidean distance, between their corresponding 2D</w:t>
      </w:r>
      <w:r w:rsidR="007316C7">
        <w:t xml:space="preserve"> </w:t>
      </w:r>
      <w:r>
        <w:t xml:space="preserve">vectors </w:t>
      </w:r>
      <w:r>
        <w:rPr>
          <w:b/>
          <w:bCs/>
        </w:rPr>
        <w:t>p</w:t>
      </w:r>
      <w:r>
        <w:rPr>
          <w:b/>
          <w:bCs/>
          <w:vertAlign w:val="subscript"/>
        </w:rPr>
        <w:t>u</w:t>
      </w:r>
      <w:r>
        <w:t xml:space="preserve"> and</w:t>
      </w:r>
      <w:r>
        <w:rPr>
          <w:b/>
          <w:bCs/>
        </w:rPr>
        <w:t xml:space="preserve"> p</w:t>
      </w:r>
      <w:r>
        <w:rPr>
          <w:b/>
          <w:bCs/>
          <w:vertAlign w:val="subscript"/>
        </w:rPr>
        <w:t>v</w:t>
      </w:r>
      <w:r>
        <w:t>, resp</w:t>
      </w:r>
      <w:bookmarkStart w:id="15" w:name="_bookmark6"/>
      <w:bookmarkEnd w:id="15"/>
      <w:r>
        <w:t>ectively:</w:t>
      </w:r>
    </w:p>
    <w:p w14:paraId="18ABD582" w14:textId="77777777" w:rsidR="00065FDF" w:rsidRDefault="007C3805">
      <w:pPr>
        <w:pStyle w:val="MTDisplayEquation"/>
      </w:pPr>
      <w:r>
        <w:tab/>
      </w:r>
      <w:r>
        <w:rPr>
          <w:position w:val="-14"/>
        </w:rPr>
        <w:object w:dxaOrig="1959" w:dyaOrig="401" w14:anchorId="4FFC9AFB">
          <v:shape id="_x0000_i1027" type="#_x0000_t75" style="width:98.4pt;height:19.95pt" o:ole="">
            <v:imagedata r:id="rId17" o:title=""/>
          </v:shape>
          <o:OLEObject Type="Embed" ProgID="Equation.DSMT4" ShapeID="_x0000_i1027" DrawAspect="Content" ObjectID="_1719223665"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B174B">
        <w:fldChar w:fldCharType="begin"/>
      </w:r>
      <w:r w:rsidR="00CB174B">
        <w:instrText xml:space="preserve"> SEQ MTEqn \c \* Arabic \* MERGEFORMAT </w:instrText>
      </w:r>
      <w:r w:rsidR="00CB174B">
        <w:fldChar w:fldCharType="separate"/>
      </w:r>
      <w:r>
        <w:instrText>3</w:instrText>
      </w:r>
      <w:r w:rsidR="00CB174B">
        <w:fldChar w:fldCharType="end"/>
      </w:r>
      <w:r>
        <w:instrText>)</w:instrText>
      </w:r>
      <w:r>
        <w:fldChar w:fldCharType="end"/>
      </w:r>
      <w:r>
        <w:t xml:space="preserve">                                                        </w:t>
      </w:r>
    </w:p>
    <w:p w14:paraId="38EB092A" w14:textId="21262CEC" w:rsidR="007316C7" w:rsidRDefault="007C3805" w:rsidP="00C1239A">
      <w:r>
        <w:t xml:space="preserve">A distance between </w:t>
      </w:r>
      <w:r>
        <w:rPr>
          <w:b/>
          <w:bCs/>
        </w:rPr>
        <w:t>P</w:t>
      </w:r>
      <w:r>
        <w:rPr>
          <w:b/>
          <w:bCs/>
          <w:vertAlign w:val="subscript"/>
        </w:rPr>
        <w:t>u</w:t>
      </w:r>
      <w:r>
        <w:t xml:space="preserve"> and </w:t>
      </w:r>
      <w:r>
        <w:rPr>
          <w:b/>
          <w:bCs/>
        </w:rPr>
        <w:t>P</w:t>
      </w:r>
      <w:r>
        <w:rPr>
          <w:b/>
          <w:bCs/>
          <w:vertAlign w:val="subscript"/>
        </w:rPr>
        <w:t>v</w:t>
      </w:r>
      <w:r>
        <w:t xml:space="preserve"> in the original M-dimensional space is also considered. Therefore, discriminating herbal medicine based on the distance using </w:t>
      </w:r>
      <w:r>
        <w:rPr>
          <w:b/>
          <w:bCs/>
        </w:rPr>
        <w:t>P</w:t>
      </w:r>
      <w:r>
        <w:t xml:space="preserve"> is more difficult than that of the projected vectors </w:t>
      </w:r>
      <w:r>
        <w:rPr>
          <w:b/>
          <w:bCs/>
        </w:rPr>
        <w:t>p</w:t>
      </w:r>
      <w:r>
        <w:t>, and, makes the resulting hierarchy visualization more difficult for comparison and comes with more visual clutter.</w:t>
      </w:r>
      <w:bookmarkStart w:id="16" w:name="Icicle_Plot_with_Similarity-Based_Tree_L"/>
      <w:bookmarkStart w:id="17" w:name="_bookmark7"/>
      <w:bookmarkEnd w:id="16"/>
      <w:bookmarkEnd w:id="17"/>
    </w:p>
    <w:p w14:paraId="74D28DA7" w14:textId="45B1722E" w:rsidR="007316C7" w:rsidRDefault="008D5429" w:rsidP="007316C7">
      <w:pPr>
        <w:pStyle w:val="3"/>
      </w:pPr>
      <w:r>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66695AA9" w14:textId="6E0D60B9" w:rsidR="00BC0372" w:rsidRDefault="00C1239A" w:rsidP="00C1239A">
      <w:r>
        <w:t>Typically,</w:t>
      </w:r>
      <w:r w:rsidR="00BC0372">
        <w:t xml:space="preserve"> </w:t>
      </w:r>
      <w:r>
        <w:t xml:space="preserve">a dozen of formulas and </w:t>
      </w:r>
      <w:r w:rsidR="00356E5D">
        <w:t xml:space="preserve">even </w:t>
      </w:r>
      <w:r>
        <w:t xml:space="preserve">more </w:t>
      </w:r>
      <w:r w:rsidR="00356E5D">
        <w:t>herbal medicines</w:t>
      </w:r>
      <w:r>
        <w:t xml:space="preserve"> are involved in a category of formulas. </w:t>
      </w:r>
      <w:r w:rsidR="00FE6AA5">
        <w:t>From a set visualization perspective</w:t>
      </w:r>
      <w:r w:rsidR="00BC0372">
        <w:t>, both the number of sets and set elements are large</w:t>
      </w:r>
      <w:r>
        <w:t>, and, therefore, a suitable visualization that scales well and is easy to understand is required.</w:t>
      </w:r>
    </w:p>
    <w:p w14:paraId="47F13E7B" w14:textId="0CF6C695" w:rsidR="00C1239A" w:rsidRDefault="00C1239A"/>
    <w:p w14:paraId="2CA29313" w14:textId="1B5613FB" w:rsidR="004C2335" w:rsidRPr="00FE6AA5" w:rsidRDefault="00C1239A">
      <w:pPr>
        <w:rPr>
          <w:color w:val="FF0000"/>
        </w:rPr>
      </w:pPr>
      <w:r>
        <w:lastRenderedPageBreak/>
        <w:t xml:space="preserve">An informal </w:t>
      </w:r>
      <w:r w:rsidR="00FE6AA5">
        <w:t xml:space="preserve">domain expert </w:t>
      </w:r>
      <w:r>
        <w:t>evaluation of popular sets visualization techniques was performed to</w:t>
      </w:r>
      <w:r w:rsidR="007C3805">
        <w:t xml:space="preserve"> </w:t>
      </w:r>
      <w:r w:rsidR="004C2335">
        <w:t>drive the design</w:t>
      </w:r>
      <w:r w:rsidR="007C3805">
        <w:t xml:space="preserve"> </w:t>
      </w:r>
      <w:r w:rsidR="004C2335">
        <w:t xml:space="preserve">of </w:t>
      </w:r>
      <w:r w:rsidR="007C3805">
        <w:t xml:space="preserve">a proper </w:t>
      </w:r>
      <w:r>
        <w:t>set</w:t>
      </w:r>
      <w:r w:rsidR="007C3805">
        <w:t xml:space="preserve"> visualization method</w:t>
      </w:r>
      <w:r w:rsidR="004C2335">
        <w:t>.</w:t>
      </w:r>
      <w:r w:rsidR="00FE6AA5">
        <w:rPr>
          <w:rFonts w:hint="eastAsia"/>
        </w:rPr>
        <w:t xml:space="preserve"> </w:t>
      </w:r>
      <w:r w:rsidR="007C3805" w:rsidRPr="00FE6AA5">
        <w:rPr>
          <w:color w:val="FF0000"/>
        </w:rPr>
        <w:t xml:space="preserve">Examples of </w:t>
      </w:r>
      <w:r w:rsidR="004C2335" w:rsidRPr="00FE6AA5">
        <w:rPr>
          <w:color w:val="FF0000"/>
        </w:rPr>
        <w:t>a</w:t>
      </w:r>
      <w:r w:rsidR="007C3805" w:rsidRPr="00FE6AA5">
        <w:rPr>
          <w:color w:val="FF0000"/>
        </w:rPr>
        <w:t xml:space="preserve"> </w:t>
      </w:r>
      <w:r w:rsidR="004C2335" w:rsidRPr="00FE6AA5">
        <w:rPr>
          <w:color w:val="FF0000"/>
        </w:rPr>
        <w:t>Euler diagram,</w:t>
      </w:r>
      <w:r w:rsidR="00EC49E7" w:rsidRPr="00FE6AA5">
        <w:rPr>
          <w:color w:val="FF0000"/>
        </w:rPr>
        <w:t xml:space="preserve"> an overlay (Bubblesets),</w:t>
      </w:r>
      <w:r w:rsidR="004C2335" w:rsidRPr="00FE6AA5">
        <w:rPr>
          <w:color w:val="FF0000"/>
        </w:rPr>
        <w:t xml:space="preserve"> a node-link diagram, and a matrix-based method </w:t>
      </w:r>
      <w:r w:rsidR="00875FF5" w:rsidRPr="00FE6AA5">
        <w:rPr>
          <w:color w:val="FF0000"/>
        </w:rPr>
        <w:t>that are figures in the survey paper by Alsallakh~\</w:t>
      </w:r>
      <w:r w:rsidR="00361C0B" w:rsidRPr="00FE6AA5">
        <w:rPr>
          <w:color w:val="FF0000"/>
        </w:rPr>
        <w:t>cite</w:t>
      </w:r>
      <w:r w:rsidR="00875FF5" w:rsidRPr="00FE6AA5">
        <w:rPr>
          <w:color w:val="FF0000"/>
        </w:rPr>
        <w:t xml:space="preserve">{} </w:t>
      </w:r>
      <w:r w:rsidR="004C2335" w:rsidRPr="00FE6AA5">
        <w:rPr>
          <w:color w:val="FF0000"/>
        </w:rPr>
        <w:t>were shown to the TCM expert</w:t>
      </w:r>
      <w:r w:rsidR="00875FF5" w:rsidRPr="00FE6AA5">
        <w:rPr>
          <w:color w:val="FF0000"/>
        </w:rPr>
        <w:t>.</w:t>
      </w:r>
      <w:r w:rsidR="00EC49E7" w:rsidRPr="00FE6AA5">
        <w:rPr>
          <w:color w:val="FF0000"/>
        </w:rPr>
        <w:t xml:space="preserve"> </w:t>
      </w:r>
      <w:r w:rsidR="00875FF5" w:rsidRPr="00FE6AA5">
        <w:rPr>
          <w:color w:val="FF0000"/>
        </w:rPr>
        <w:t xml:space="preserve">The expert </w:t>
      </w:r>
      <w:r w:rsidR="004C2335" w:rsidRPr="00FE6AA5">
        <w:rPr>
          <w:color w:val="FF0000"/>
        </w:rPr>
        <w:t>was asked to rank</w:t>
      </w:r>
      <w:r w:rsidR="00356E5D" w:rsidRPr="00FE6AA5">
        <w:rPr>
          <w:color w:val="FF0000"/>
        </w:rPr>
        <w:t xml:space="preserve"> the feasibility of</w:t>
      </w:r>
      <w:r w:rsidR="004C2335" w:rsidRPr="00FE6AA5">
        <w:rPr>
          <w:color w:val="FF0000"/>
        </w:rPr>
        <w:t xml:space="preserve"> these methods </w:t>
      </w:r>
      <w:r w:rsidR="00356E5D" w:rsidRPr="00FE6AA5">
        <w:rPr>
          <w:color w:val="FF0000"/>
        </w:rPr>
        <w:t>for medicine formulas visualization based on</w:t>
      </w:r>
      <w:r w:rsidR="004C2335" w:rsidRPr="00FE6AA5">
        <w:rPr>
          <w:color w:val="FF0000"/>
        </w:rPr>
        <w:t xml:space="preserve"> the scalability, </w:t>
      </w:r>
      <w:r w:rsidR="00420731" w:rsidRPr="00FE6AA5">
        <w:rPr>
          <w:color w:val="FF0000"/>
        </w:rPr>
        <w:t xml:space="preserve">the ease of understanding and </w:t>
      </w:r>
      <w:r w:rsidR="004C2335" w:rsidRPr="00FE6AA5">
        <w:rPr>
          <w:color w:val="FF0000"/>
        </w:rPr>
        <w:t>the support of comparison</w:t>
      </w:r>
      <w:r w:rsidR="00420731" w:rsidRPr="00FE6AA5">
        <w:rPr>
          <w:color w:val="FF0000"/>
        </w:rPr>
        <w:t>.</w:t>
      </w:r>
    </w:p>
    <w:p w14:paraId="73930A59" w14:textId="77777777" w:rsidR="00356E5D" w:rsidRDefault="00356E5D"/>
    <w:p w14:paraId="097DB5F9" w14:textId="0678C116" w:rsidR="004C2335" w:rsidRDefault="004C2335">
      <w:pPr>
        <w:rPr>
          <w:rFonts w:eastAsia="宋体"/>
          <w:lang w:eastAsia="zh-CN"/>
        </w:rPr>
      </w:pPr>
      <w:r>
        <w:rPr>
          <w:rFonts w:eastAsia="宋体" w:hint="eastAsia"/>
          <w:lang w:eastAsia="zh-CN"/>
        </w:rPr>
        <w:t>T</w:t>
      </w:r>
      <w:r>
        <w:rPr>
          <w:rFonts w:eastAsia="宋体"/>
          <w:lang w:eastAsia="zh-CN"/>
        </w:rPr>
        <w:t>he matrix-based method is ranked first by the TCM expert, followed by the</w:t>
      </w:r>
      <w:r w:rsidR="00875FF5">
        <w:rPr>
          <w:rFonts w:eastAsia="宋体"/>
          <w:lang w:eastAsia="zh-CN"/>
        </w:rPr>
        <w:t xml:space="preserve"> node-link diagram, the </w:t>
      </w:r>
      <w:r>
        <w:rPr>
          <w:rFonts w:eastAsia="宋体"/>
          <w:lang w:eastAsia="zh-CN"/>
        </w:rPr>
        <w:t>Euler diagram</w:t>
      </w:r>
      <w:r w:rsidR="00374373">
        <w:rPr>
          <w:rFonts w:eastAsia="宋体"/>
          <w:lang w:eastAsia="zh-CN"/>
        </w:rPr>
        <w:t>, and the overlay</w:t>
      </w:r>
      <w:r w:rsidR="00875FF5">
        <w:rPr>
          <w:rFonts w:eastAsia="宋体"/>
          <w:lang w:eastAsia="zh-CN"/>
        </w:rPr>
        <w:t xml:space="preserve">. The expert </w:t>
      </w:r>
      <w:r w:rsidR="0091367E">
        <w:rPr>
          <w:rFonts w:eastAsia="宋体"/>
          <w:lang w:eastAsia="zh-CN"/>
        </w:rPr>
        <w:t>found</w:t>
      </w:r>
      <w:r w:rsidR="00875FF5">
        <w:rPr>
          <w:rFonts w:eastAsia="宋体"/>
          <w:lang w:eastAsia="zh-CN"/>
        </w:rPr>
        <w:t xml:space="preserve"> that the matrix-based method is easy to understand and scales to</w:t>
      </w:r>
      <w:r w:rsidR="004242F0">
        <w:rPr>
          <w:rFonts w:eastAsia="宋体"/>
          <w:lang w:eastAsia="zh-CN"/>
        </w:rPr>
        <w:t xml:space="preserve"> a </w:t>
      </w:r>
      <w:r w:rsidR="00875FF5">
        <w:rPr>
          <w:rFonts w:eastAsia="宋体"/>
          <w:lang w:eastAsia="zh-CN"/>
        </w:rPr>
        <w:t xml:space="preserve"> large number</w:t>
      </w:r>
      <w:r w:rsidR="004242F0">
        <w:rPr>
          <w:rFonts w:eastAsia="宋体"/>
          <w:lang w:eastAsia="zh-CN"/>
        </w:rPr>
        <w:t xml:space="preserve"> of </w:t>
      </w:r>
      <w:r w:rsidR="00875FF5">
        <w:rPr>
          <w:rFonts w:eastAsia="宋体"/>
          <w:lang w:eastAsia="zh-CN"/>
        </w:rPr>
        <w:t xml:space="preserve">sets and set elements. However, she </w:t>
      </w:r>
      <w:r w:rsidR="0091367E">
        <w:rPr>
          <w:rFonts w:eastAsia="宋体"/>
          <w:lang w:eastAsia="zh-CN"/>
        </w:rPr>
        <w:t>was</w:t>
      </w:r>
      <w:r w:rsidR="00875FF5">
        <w:rPr>
          <w:rFonts w:eastAsia="宋体"/>
          <w:lang w:eastAsia="zh-CN"/>
        </w:rPr>
        <w:t xml:space="preserve"> concerned about the compactness of this method as the matrix is typically large but sparse for medicine formulas data.</w:t>
      </w:r>
      <w:r w:rsidR="00EC49E7">
        <w:rPr>
          <w:rFonts w:eastAsia="宋体"/>
          <w:lang w:eastAsia="zh-CN"/>
        </w:rPr>
        <w:t xml:space="preserve"> Also, she found it difficult to trace elements of a set </w:t>
      </w:r>
      <w:r w:rsidR="00995E32">
        <w:rPr>
          <w:rFonts w:eastAsia="宋体"/>
          <w:lang w:eastAsia="zh-CN"/>
        </w:rPr>
        <w:t xml:space="preserve">and comparing sets </w:t>
      </w:r>
      <w:r w:rsidR="00EC49E7">
        <w:rPr>
          <w:rFonts w:eastAsia="宋体"/>
          <w:lang w:eastAsia="zh-CN"/>
        </w:rPr>
        <w:t>if the matrix is large.</w:t>
      </w:r>
    </w:p>
    <w:p w14:paraId="09E56122" w14:textId="790F65B9" w:rsidR="00875FF5" w:rsidRDefault="00EC49E7">
      <w:pPr>
        <w:rPr>
          <w:rFonts w:eastAsia="宋体"/>
          <w:lang w:eastAsia="zh-CN"/>
        </w:rPr>
      </w:pPr>
      <w:r>
        <w:rPr>
          <w:rFonts w:eastAsia="宋体"/>
          <w:lang w:eastAsia="zh-CN"/>
        </w:rPr>
        <w:t>For the</w:t>
      </w:r>
      <w:r w:rsidR="00875FF5">
        <w:rPr>
          <w:rFonts w:eastAsia="宋体"/>
          <w:lang w:eastAsia="zh-CN"/>
        </w:rPr>
        <w:t xml:space="preserve"> node-link diagram</w:t>
      </w:r>
      <w:r>
        <w:rPr>
          <w:rFonts w:eastAsia="宋体"/>
          <w:lang w:eastAsia="zh-CN"/>
        </w:rPr>
        <w:t xml:space="preserve">, the expert found </w:t>
      </w:r>
      <w:r w:rsidR="00995E32">
        <w:rPr>
          <w:rFonts w:eastAsia="宋体"/>
          <w:lang w:eastAsia="zh-CN"/>
        </w:rPr>
        <w:t xml:space="preserve">it easier to understand than the matrix, but the crossings of links make tracing difficult for large number of sets. </w:t>
      </w:r>
    </w:p>
    <w:p w14:paraId="3F209886" w14:textId="592BE3FC" w:rsidR="00EC49E7" w:rsidRDefault="00EC49E7" w:rsidP="00EC49E7">
      <w:pPr>
        <w:rPr>
          <w:rFonts w:eastAsia="宋体"/>
          <w:lang w:eastAsia="zh-CN"/>
        </w:rPr>
      </w:pPr>
      <w:r>
        <w:rPr>
          <w:rFonts w:eastAsia="宋体"/>
          <w:lang w:eastAsia="zh-CN"/>
        </w:rPr>
        <w:t>The intuitiveness of the Euler diagram</w:t>
      </w:r>
      <w:r w:rsidR="00995E32">
        <w:rPr>
          <w:rFonts w:eastAsia="宋体"/>
          <w:lang w:eastAsia="zh-CN"/>
        </w:rPr>
        <w:t xml:space="preserve"> and the overlay</w:t>
      </w:r>
      <w:r>
        <w:rPr>
          <w:rFonts w:eastAsia="宋体"/>
          <w:lang w:eastAsia="zh-CN"/>
        </w:rPr>
        <w:t xml:space="preserve"> </w:t>
      </w:r>
      <w:r w:rsidR="00995E32">
        <w:rPr>
          <w:rFonts w:eastAsia="宋体"/>
          <w:lang w:eastAsia="zh-CN"/>
        </w:rPr>
        <w:t>were</w:t>
      </w:r>
      <w:r>
        <w:rPr>
          <w:rFonts w:eastAsia="宋体"/>
          <w:lang w:eastAsia="zh-CN"/>
        </w:rPr>
        <w:t xml:space="preserve"> liked by the expert. However, </w:t>
      </w:r>
      <w:r w:rsidR="00995E32">
        <w:rPr>
          <w:rFonts w:eastAsia="宋体"/>
          <w:lang w:eastAsia="zh-CN"/>
        </w:rPr>
        <w:t>they</w:t>
      </w:r>
      <w:r>
        <w:rPr>
          <w:rFonts w:eastAsia="宋体"/>
          <w:lang w:eastAsia="zh-CN"/>
        </w:rPr>
        <w:t xml:space="preserve"> d</w:t>
      </w:r>
      <w:r w:rsidR="00995E32">
        <w:rPr>
          <w:rFonts w:eastAsia="宋体"/>
          <w:lang w:eastAsia="zh-CN"/>
        </w:rPr>
        <w:t>id</w:t>
      </w:r>
      <w:r>
        <w:rPr>
          <w:rFonts w:eastAsia="宋体"/>
          <w:lang w:eastAsia="zh-CN"/>
        </w:rPr>
        <w:t xml:space="preserve"> not scale well for the number of sets</w:t>
      </w:r>
      <w:r w:rsidR="00D60F58">
        <w:rPr>
          <w:rFonts w:eastAsia="宋体"/>
          <w:lang w:eastAsia="zh-CN"/>
        </w:rPr>
        <w:t>.</w:t>
      </w:r>
      <w:r>
        <w:rPr>
          <w:rFonts w:eastAsia="宋体"/>
          <w:lang w:eastAsia="zh-CN"/>
        </w:rPr>
        <w:t xml:space="preserve"> </w:t>
      </w:r>
      <w:r w:rsidR="00D60F58">
        <w:rPr>
          <w:rFonts w:eastAsia="宋体"/>
          <w:lang w:eastAsia="zh-CN"/>
        </w:rPr>
        <w:t>E</w:t>
      </w:r>
      <w:r>
        <w:rPr>
          <w:rFonts w:eastAsia="宋体"/>
          <w:lang w:eastAsia="zh-CN"/>
        </w:rPr>
        <w:t xml:space="preserve">specially, overlapping sets which </w:t>
      </w:r>
      <w:r w:rsidR="00995E32">
        <w:rPr>
          <w:rFonts w:eastAsia="宋体"/>
          <w:lang w:eastAsia="zh-CN"/>
        </w:rPr>
        <w:t>are</w:t>
      </w:r>
      <w:r>
        <w:rPr>
          <w:rFonts w:eastAsia="宋体"/>
          <w:lang w:eastAsia="zh-CN"/>
        </w:rPr>
        <w:t xml:space="preserve"> typically the case of medicine formulas data as formulas in a category share </w:t>
      </w:r>
      <w:r w:rsidR="00D60F58">
        <w:rPr>
          <w:rFonts w:eastAsia="宋体" w:hint="eastAsia"/>
          <w:lang w:eastAsia="zh-CN"/>
        </w:rPr>
        <w:t>same</w:t>
      </w:r>
      <w:r w:rsidR="00D60F58">
        <w:rPr>
          <w:rFonts w:eastAsia="宋体"/>
          <w:lang w:eastAsia="zh-CN"/>
        </w:rPr>
        <w:t xml:space="preserve"> medicines quickly makes these methods unusable</w:t>
      </w:r>
      <w:r>
        <w:rPr>
          <w:rFonts w:eastAsia="宋体"/>
          <w:lang w:eastAsia="zh-CN"/>
        </w:rPr>
        <w:t xml:space="preserve">. Therefore, the expert considered the Euler diagram </w:t>
      </w:r>
      <w:r w:rsidR="00995E32">
        <w:rPr>
          <w:rFonts w:eastAsia="宋体"/>
          <w:lang w:eastAsia="zh-CN"/>
        </w:rPr>
        <w:t xml:space="preserve">and the overlay </w:t>
      </w:r>
      <w:r>
        <w:rPr>
          <w:rFonts w:eastAsia="宋体"/>
          <w:lang w:eastAsia="zh-CN"/>
        </w:rPr>
        <w:t>infeasible for our case.</w:t>
      </w:r>
    </w:p>
    <w:p w14:paraId="7167613F" w14:textId="78C33CA4" w:rsidR="00875FF5" w:rsidRDefault="00875FF5">
      <w:pPr>
        <w:rPr>
          <w:rFonts w:eastAsia="宋体"/>
          <w:lang w:eastAsia="zh-CN"/>
        </w:rPr>
      </w:pPr>
    </w:p>
    <w:p w14:paraId="49FE4C30" w14:textId="351DDC2D" w:rsidR="00DA4117" w:rsidRDefault="00361C0B">
      <w:r>
        <w:rPr>
          <w:rFonts w:eastAsia="宋体"/>
          <w:lang w:eastAsia="zh-CN"/>
        </w:rPr>
        <w:t xml:space="preserve">According to the </w:t>
      </w:r>
      <w:r w:rsidR="00356E5D">
        <w:rPr>
          <w:rFonts w:eastAsia="宋体"/>
          <w:lang w:eastAsia="zh-CN"/>
        </w:rPr>
        <w:t>evaluation</w:t>
      </w:r>
      <w:r w:rsidR="00995E32">
        <w:rPr>
          <w:rFonts w:eastAsia="宋体"/>
          <w:lang w:eastAsia="zh-CN"/>
        </w:rPr>
        <w:t>, we decide</w:t>
      </w:r>
      <w:r>
        <w:rPr>
          <w:rFonts w:eastAsia="宋体"/>
          <w:lang w:eastAsia="zh-CN"/>
        </w:rPr>
        <w:t xml:space="preserve"> </w:t>
      </w:r>
      <w:r w:rsidR="00995E32">
        <w:rPr>
          <w:rFonts w:eastAsia="宋体"/>
          <w:lang w:eastAsia="zh-CN"/>
        </w:rPr>
        <w:t xml:space="preserve">to devise a </w:t>
      </w:r>
      <w:r>
        <w:rPr>
          <w:rFonts w:eastAsia="宋体"/>
          <w:lang w:eastAsia="zh-CN"/>
        </w:rPr>
        <w:t xml:space="preserve">sparse </w:t>
      </w:r>
      <w:r w:rsidR="00995E32">
        <w:rPr>
          <w:rFonts w:eastAsia="宋体"/>
          <w:lang w:eastAsia="zh-CN"/>
        </w:rPr>
        <w:t xml:space="preserve">matrix-based </w:t>
      </w:r>
      <w:r w:rsidR="00DA4117">
        <w:rPr>
          <w:rFonts w:eastAsia="宋体"/>
          <w:lang w:eastAsia="zh-CN"/>
        </w:rPr>
        <w:t>method to</w:t>
      </w:r>
      <w:r w:rsidR="00DA4117">
        <w:rPr>
          <w:rFonts w:eastAsia="宋体" w:hint="eastAsia"/>
          <w:lang w:eastAsia="zh-CN"/>
        </w:rPr>
        <w:t xml:space="preserve"> </w:t>
      </w:r>
      <w:r w:rsidR="007C3805">
        <w:t xml:space="preserve">show medicine formulas and meets requirements R1 and R2. </w:t>
      </w:r>
      <w:r w:rsidR="00DA4117">
        <w:t>With a sparse matrix representation, the set-element matrix can be compressed to rows of non-zero elements.</w:t>
      </w:r>
      <w:r>
        <w:t xml:space="preserve"> </w:t>
      </w:r>
      <w:r w:rsidR="00DA4117">
        <w:t xml:space="preserve">This </w:t>
      </w:r>
      <w:r>
        <w:t xml:space="preserve">representation </w:t>
      </w:r>
      <w:r w:rsidR="00DA4117">
        <w:t>is similar to an icicle plot</w:t>
      </w:r>
      <w:r>
        <w:t xml:space="preserve">~\cite{} for hierarchy visualization. If the icicle plot is properly laid out, it has potential to support comparison of similar medicine formulas. </w:t>
      </w:r>
    </w:p>
    <w:p w14:paraId="349426AE" w14:textId="77777777" w:rsidR="00DA4117" w:rsidRDefault="00DA4117"/>
    <w:p w14:paraId="42FFBCF4" w14:textId="4F4B269B" w:rsidR="00065FDF" w:rsidRDefault="007C3805">
      <w:r>
        <w:t>Therefore, we use the icicle plot as the basis of our visual design for the medicine formulas view.</w:t>
      </w:r>
      <w:r w:rsidR="00DA4117">
        <w:t xml:space="preserve"> </w:t>
      </w:r>
      <w:r w:rsidR="00361C0B">
        <w:t xml:space="preserve">To support </w:t>
      </w:r>
      <w:r w:rsidR="00F54F9B">
        <w:t xml:space="preserve">overlapping drugs analysis of formulas, </w:t>
      </w:r>
      <w:r w:rsidR="00A101AE">
        <w:t>a</w:t>
      </w:r>
      <w:r w:rsidR="00DA4117">
        <w:t xml:space="preserve"> co-occurrency matrix view </w:t>
      </w:r>
      <w:r w:rsidR="00A101AE">
        <w:t>is used to complement the icicle plot view.</w:t>
      </w:r>
    </w:p>
    <w:p w14:paraId="7DFB0323" w14:textId="77777777" w:rsidR="00065FDF" w:rsidRDefault="007C3805">
      <w:pPr>
        <w:pStyle w:val="4"/>
      </w:pPr>
      <w:bookmarkStart w:id="18" w:name="Icicle_Plot_of_Medicine_Formulas"/>
      <w:bookmarkEnd w:id="18"/>
      <w:r>
        <w:t>Icicle Plot of Medicine Formulas</w:t>
      </w:r>
    </w:p>
    <w:p w14:paraId="21B4547F" w14:textId="77777777" w:rsidR="00065FDF" w:rsidRDefault="007C3805">
      <w:r>
        <w:t xml:space="preserve">Each record in the medicine formula data contains the name of the formula, names of medicines, and tags for sovereign medicines (Table </w:t>
      </w:r>
      <w:hyperlink w:anchor="_bookmark1" w:history="1">
        <w:r>
          <w:t>1).</w:t>
        </w:r>
      </w:hyperlink>
      <w:r>
        <w:t xml:space="preserve"> We set the content of elements of the icicle plot to names of medicines, and use each column to show a medicine formula as shown in Figures </w:t>
      </w:r>
      <w:hyperlink w:anchor="_bookmark9" w:history="1">
        <w:r>
          <w:t>3</w:t>
        </w:r>
      </w:hyperlink>
      <w:r>
        <w:t xml:space="preserve"> and </w:t>
      </w:r>
      <w:hyperlink w:anchor="_bookmark10" w:history="1">
        <w:r>
          <w:t>4.</w:t>
        </w:r>
      </w:hyperlink>
    </w:p>
    <w:p w14:paraId="1E1A4C81" w14:textId="77777777" w:rsidR="00065FDF" w:rsidRDefault="007C3805">
      <w:r>
        <w:rPr>
          <w:noProof/>
        </w:rPr>
        <w:lastRenderedPageBreak/>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宋体"/>
          <w:lang w:eastAsia="zh-CN"/>
        </w:rPr>
      </w:pPr>
      <w:r>
        <w:rPr>
          <w:rFonts w:eastAsia="宋体"/>
          <w:lang w:eastAsia="zh-CN"/>
        </w:rPr>
        <w:t xml:space="preserve">                                                              (b)</w:t>
      </w:r>
    </w:p>
    <w:p w14:paraId="77D98D56" w14:textId="77777777" w:rsidR="00065FDF" w:rsidRDefault="007C3805">
      <w:pPr>
        <w:rPr>
          <w:rFonts w:eastAsia="宋体"/>
          <w:lang w:eastAsia="zh-CN"/>
        </w:rPr>
      </w:pPr>
      <w:r>
        <w:rPr>
          <w:rFonts w:eastAsia="宋体"/>
          <w:lang w:eastAsia="zh-CN"/>
        </w:rPr>
        <w:t>Fig. 3:Icicle plots with (a) the original order of medicine formulas data and (b) our similarity-based layout.</w:t>
      </w:r>
    </w:p>
    <w:p w14:paraId="7010049D" w14:textId="77777777" w:rsidR="00065FDF" w:rsidRDefault="007C3805">
      <w:pPr>
        <w:jc w:val="center"/>
        <w:rPr>
          <w:rFonts w:eastAsia="宋体"/>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2216F48F" w:rsidR="00065FDF" w:rsidRDefault="007C3805">
      <w:pPr>
        <w:rPr>
          <w:lang w:eastAsia="zh-CN"/>
        </w:rPr>
      </w:pPr>
      <w:r>
        <w:rPr>
          <w:lang w:eastAsia="zh-CN"/>
        </w:rPr>
        <w:t>Fig. 4: The design of the icicle plot of medicine formulas. Each column of the icicle plot contains a medicine formula, which comprises sovereign medicines (texts in blue) and other medicines (texts in black). The name of a formula is placed under each column.</w:t>
      </w:r>
    </w:p>
    <w:p w14:paraId="76908A4F" w14:textId="77777777" w:rsidR="007A50FD" w:rsidRPr="007A50FD" w:rsidRDefault="007A50FD">
      <w:pPr>
        <w:rPr>
          <w:rFonts w:eastAsia="宋体"/>
          <w:lang w:eastAsia="zh-CN"/>
        </w:rPr>
      </w:pPr>
    </w:p>
    <w:p w14:paraId="2F146319" w14:textId="77777777" w:rsidR="00065FDF" w:rsidRDefault="007C3805">
      <w:pPr>
        <w:rPr>
          <w:lang w:eastAsia="zh-CN"/>
        </w:rPr>
      </w:pPr>
      <w:r>
        <w:rPr>
          <w:lang w:eastAsia="zh-CN"/>
        </w:rPr>
        <w:t>In our design, sovereign medicines are highlighted and treated differently than other medicines to meet requirement R3. As shown in Figure 4, sovereign medicines are placed on the top levels of the hierarchy and colored blue. Formulas with common sover</w:t>
      </w:r>
      <w:r>
        <w:rPr>
          <w:rFonts w:hint="eastAsia"/>
          <w:lang w:eastAsia="zh-CN"/>
        </w:rPr>
        <w:t>eign medicines are grouped together. Rows are padded so that the top of all none- sovereign medicines are aligned for comparison (R2). For example, rows are padded for Renshen (</w:t>
      </w:r>
      <w:r>
        <w:rPr>
          <w:rFonts w:hint="eastAsia"/>
          <w:lang w:eastAsia="zh-CN"/>
        </w:rPr>
        <w:t>人参</w:t>
      </w:r>
      <w:r>
        <w:rPr>
          <w:rFonts w:hint="eastAsia"/>
          <w:lang w:eastAsia="zh-CN"/>
        </w:rPr>
        <w:t>) as seen in Figure 4.</w:t>
      </w:r>
    </w:p>
    <w:p w14:paraId="3C2A831C" w14:textId="77777777" w:rsidR="00065FDF" w:rsidRDefault="007C3805">
      <w:pPr>
        <w:rPr>
          <w:lang w:eastAsia="zh-CN"/>
        </w:rPr>
      </w:pPr>
      <w:r>
        <w:rPr>
          <w:lang w:eastAsia="zh-CN"/>
        </w:rPr>
        <w:t>The name of a medicine formula is placed under its corresponding column in italic font face with a fixed vertical spacing as shown in Figure 3. This design is simple yet 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48CBBDF0" w:rsidR="00065FDF" w:rsidRDefault="007C3805">
      <w:pPr>
        <w:rPr>
          <w:lang w:eastAsia="zh-CN"/>
        </w:rPr>
      </w:pPr>
      <w:r>
        <w:rPr>
          <w:lang w:eastAsia="zh-CN"/>
        </w:rPr>
        <w:t xml:space="preserve">Since the set-based formula information has to be converted into a column of the icicle plot—an ordering is needed for medicines in a formula. However, medicines in the original medicine formulas data has no specific ordering: the resulting icicle plot of medicine formulas of tonic prescriptions with the original appearance ordering of medicines is shown in Figure 3 (a). The plot is </w:t>
      </w:r>
      <w:r w:rsidR="006975A7">
        <w:rPr>
          <w:lang w:eastAsia="zh-CN"/>
        </w:rPr>
        <w:t>cluttered</w:t>
      </w:r>
      <w:r>
        <w:rPr>
          <w:lang w:eastAsia="zh-CN"/>
        </w:rPr>
        <w:t xml:space="preserve"> and comparing compositions of medicine formulas is difficult as frequent context switch has to be made while searching for a same medicine. Therefore, we propose a similarity-based tree layout to facilitate easier comparison and clearer visualization of medicine formulas than using the original ordering.</w:t>
      </w:r>
    </w:p>
    <w:p w14:paraId="538C0DDE" w14:textId="095374FB" w:rsidR="00065FDF" w:rsidRDefault="007C3805">
      <w:pPr>
        <w:pStyle w:val="4"/>
        <w:rPr>
          <w:lang w:eastAsia="zh-CN"/>
        </w:rPr>
      </w:pPr>
      <w:r>
        <w:rPr>
          <w:lang w:eastAsia="zh-CN"/>
        </w:rPr>
        <w:lastRenderedPageBreak/>
        <w:t>Similarity-Based Layout Computation</w:t>
      </w:r>
    </w:p>
    <w:p w14:paraId="3EFCD889" w14:textId="1BBF1A63" w:rsidR="00065FDF" w:rsidRDefault="007C3805">
      <w:pPr>
        <w:rPr>
          <w:lang w:eastAsia="zh-CN"/>
        </w:rPr>
      </w:pPr>
      <w:r>
        <w:rPr>
          <w:lang w:eastAsia="zh-CN"/>
        </w:rPr>
        <w:t>Our goal is to design a layout that is arranged based on the similarity of the corresponding herbal medicine so that those are similar in attributes are grouped together to enable effective comparison and reduce visual clutter in the icicle plot. Our method is an efficient greedy algorithm with two steps: first, the arrangement of sovereign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9.15pt;height:19.95pt" o:ole="">
            <v:imagedata r:id="rId22" o:title=""/>
          </v:shape>
          <o:OLEObject Type="Embed" ProgID="Equation.DSMT4" ShapeID="_x0000_i1028" DrawAspect="Content" ObjectID="_1719223666" r:id="rId23"/>
        </w:object>
      </w:r>
      <w:r>
        <w:rPr>
          <w:lang w:eastAsia="zh-CN"/>
        </w:rPr>
        <w:t xml:space="preserve"> for a set of medicines </w:t>
      </w:r>
      <w:r>
        <w:rPr>
          <w:position w:val="-14"/>
          <w:lang w:eastAsia="zh-CN"/>
        </w:rPr>
        <w:object w:dxaOrig="1495" w:dyaOrig="401" w14:anchorId="227B0985">
          <v:shape id="_x0000_i1029" type="#_x0000_t75" style="width:75.2pt;height:19.95pt" o:ole="">
            <v:imagedata r:id="rId24" o:title=""/>
          </v:shape>
          <o:OLEObject Type="Embed" ProgID="Equation.DSMT4" ShapeID="_x0000_i1029" DrawAspect="Content" ObjectID="_1719223667" r:id="rId25"/>
        </w:object>
      </w:r>
      <w:r>
        <w:rPr>
          <w:lang w:eastAsia="zh-CN"/>
        </w:rPr>
        <w:t>. The element</w:t>
      </w:r>
      <w:r>
        <w:rPr>
          <w:i/>
          <w:iCs/>
          <w:lang w:eastAsia="zh-CN"/>
        </w:rPr>
        <w:t xml:space="preserve"> s</w:t>
      </w:r>
      <w:r>
        <w:rPr>
          <w:i/>
          <w:iCs/>
          <w:vertAlign w:val="subscript"/>
          <w:lang w:eastAsia="zh-CN"/>
        </w:rPr>
        <w:t>i</w:t>
      </w:r>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0.85pt;height:46pt" o:ole="">
            <v:imagedata r:id="rId26" o:title=""/>
          </v:shape>
          <o:OLEObject Type="Embed" ProgID="Equation.DSMT4" ShapeID="_x0000_i1030" DrawAspect="Content" ObjectID="_1719223668" r:id="rId27"/>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77777777" w:rsidR="00065FDF" w:rsidRDefault="007C3805">
      <w:pPr>
        <w:rPr>
          <w:rFonts w:eastAsia="宋体"/>
          <w:lang w:eastAsia="zh-CN"/>
        </w:rPr>
      </w:pPr>
      <w:r>
        <w:rPr>
          <w:rFonts w:eastAsia="宋体"/>
          <w:lang w:eastAsia="zh-CN"/>
        </w:rPr>
        <w:t xml:space="preserve">where </w:t>
      </w:r>
      <w:r>
        <w:rPr>
          <w:rFonts w:eastAsia="宋体"/>
          <w:i/>
          <w:iCs/>
          <w:position w:val="-10"/>
          <w:lang w:eastAsia="zh-CN"/>
        </w:rPr>
        <w:object w:dxaOrig="702" w:dyaOrig="319" w14:anchorId="75AA2CF6">
          <v:shape id="_x0000_i1031" type="#_x0000_t75" style="width:34.95pt;height:16.05pt" o:ole="">
            <v:imagedata r:id="rId28" o:title=""/>
          </v:shape>
          <o:OLEObject Type="Embed" ProgID="Equation.DSMT4" ShapeID="_x0000_i1031" DrawAspect="Content" ObjectID="_1719223669" r:id="rId29"/>
        </w:object>
      </w:r>
      <w:r>
        <w:rPr>
          <w:rFonts w:eastAsia="宋体"/>
          <w:lang w:eastAsia="zh-CN"/>
        </w:rPr>
        <w:t xml:space="preserve"> is the distance between </w:t>
      </w:r>
      <w:r>
        <w:rPr>
          <w:rFonts w:eastAsia="宋体"/>
          <w:i/>
          <w:iCs/>
          <w:lang w:eastAsia="zh-CN"/>
        </w:rPr>
        <w:t>s</w:t>
      </w:r>
      <w:r>
        <w:rPr>
          <w:rFonts w:eastAsia="宋体"/>
          <w:lang w:eastAsia="zh-CN"/>
        </w:rPr>
        <w:t xml:space="preserve"> and </w:t>
      </w:r>
      <w:r>
        <w:rPr>
          <w:rFonts w:eastAsia="宋体"/>
          <w:i/>
          <w:iCs/>
          <w:lang w:eastAsia="zh-CN"/>
        </w:rPr>
        <w:t>h</w:t>
      </w:r>
      <w:r>
        <w:rPr>
          <w:rFonts w:eastAsia="宋体"/>
          <w:lang w:eastAsia="zh-CN"/>
        </w:rPr>
        <w:t xml:space="preserve"> with Equation 3, and </w:t>
      </w:r>
      <w:r>
        <w:rPr>
          <w:rFonts w:eastAsia="宋体"/>
          <w:i/>
          <w:iCs/>
          <w:lang w:eastAsia="zh-CN"/>
        </w:rPr>
        <w:t>t</w:t>
      </w:r>
      <w:r>
        <w:rPr>
          <w:rFonts w:eastAsia="宋体"/>
          <w:lang w:eastAsia="zh-CN"/>
        </w:rPr>
        <w:t xml:space="preserve"> is a random number between 1 and </w:t>
      </w:r>
      <w:r>
        <w:rPr>
          <w:rFonts w:eastAsia="宋体"/>
          <w:i/>
          <w:iCs/>
          <w:lang w:eastAsia="zh-CN"/>
        </w:rPr>
        <w:t>n</w:t>
      </w:r>
      <w:r>
        <w:rPr>
          <w:rFonts w:eastAsia="宋体"/>
          <w:lang w:eastAsia="zh-CN"/>
        </w:rPr>
        <w:t>.</w:t>
      </w:r>
    </w:p>
    <w:p w14:paraId="3B579119" w14:textId="77777777" w:rsidR="00065FDF" w:rsidRDefault="007C3805">
      <w:pPr>
        <w:rPr>
          <w:rFonts w:eastAsia="宋体"/>
          <w:b/>
          <w:bCs/>
          <w:lang w:eastAsia="zh-CN"/>
        </w:rPr>
      </w:pPr>
      <w:r>
        <w:rPr>
          <w:rFonts w:eastAsia="宋体"/>
          <w:b/>
          <w:bCs/>
          <w:lang w:eastAsia="zh-CN"/>
        </w:rPr>
        <w:t>The Arrangement of Sovereign Medicine Layout</w:t>
      </w:r>
    </w:p>
    <w:p w14:paraId="530866BE" w14:textId="71AAD540" w:rsidR="00065FDF" w:rsidRDefault="007C3805">
      <w:pPr>
        <w:rPr>
          <w:rFonts w:eastAsia="宋体"/>
          <w:lang w:eastAsia="zh-CN"/>
        </w:rPr>
      </w:pPr>
      <w:r>
        <w:rPr>
          <w:rFonts w:eastAsia="宋体"/>
          <w:lang w:eastAsia="zh-CN"/>
        </w:rPr>
        <w:t>In this step, columns of the icicle plot are sorted based on the similarity of sovereign medicines.</w:t>
      </w:r>
      <w:r w:rsidR="00D434FD">
        <w:rPr>
          <w:rFonts w:eastAsia="宋体" w:hint="eastAsia"/>
          <w:lang w:eastAsia="zh-CN"/>
        </w:rPr>
        <w:t xml:space="preserve"> </w:t>
      </w:r>
      <w:r>
        <w:rPr>
          <w:rFonts w:eastAsia="宋体"/>
          <w:lang w:eastAsia="zh-CN"/>
        </w:rPr>
        <w:t>For the set of all the sovereign medicines, if a medicine is the only sovereign medicine in a certain medicine formula, it is assigned as the top-level sovereign medicine. We denote the set of all such medicines</w:t>
      </w:r>
      <w:r>
        <w:rPr>
          <w:rFonts w:eastAsia="宋体" w:hint="eastAsia"/>
          <w:lang w:eastAsia="zh-CN"/>
        </w:rPr>
        <w:t xml:space="preserve"> </w:t>
      </w:r>
      <w:r>
        <w:rPr>
          <w:rFonts w:eastAsia="宋体"/>
          <w:lang w:eastAsia="zh-CN"/>
        </w:rPr>
        <w:t xml:space="preserve">as </w:t>
      </w:r>
      <w:r>
        <w:rPr>
          <w:rFonts w:eastAsia="宋体"/>
          <w:i/>
          <w:iCs/>
          <w:lang w:eastAsia="zh-CN"/>
        </w:rPr>
        <w:t>H</w:t>
      </w:r>
      <w:r>
        <w:rPr>
          <w:rFonts w:eastAsia="宋体"/>
          <w:i/>
          <w:iCs/>
          <w:vertAlign w:val="subscript"/>
          <w:lang w:eastAsia="zh-CN"/>
        </w:rPr>
        <w:t>s</w:t>
      </w:r>
      <w:r w:rsidR="00356E5D">
        <w:rPr>
          <w:rFonts w:eastAsia="宋体"/>
          <w:lang w:eastAsia="zh-CN"/>
        </w:rPr>
        <w:t xml:space="preserve">. </w:t>
      </w:r>
      <w:r>
        <w:rPr>
          <w:rFonts w:eastAsia="宋体"/>
          <w:lang w:eastAsia="zh-CN"/>
        </w:rPr>
        <w:t xml:space="preserve">The first element </w:t>
      </w:r>
      <w:r>
        <w:rPr>
          <w:rFonts w:eastAsia="宋体"/>
          <w:i/>
          <w:iCs/>
          <w:lang w:eastAsia="zh-CN"/>
        </w:rPr>
        <w:t>s</w:t>
      </w:r>
      <w:r>
        <w:rPr>
          <w:rFonts w:eastAsia="宋体"/>
          <w:i/>
          <w:iCs/>
          <w:vertAlign w:val="subscript"/>
          <w:lang w:eastAsia="zh-CN"/>
        </w:rPr>
        <w:t>1</w:t>
      </w:r>
      <w:r>
        <w:rPr>
          <w:rFonts w:eastAsia="宋体"/>
          <w:i/>
          <w:iCs/>
          <w:lang w:eastAsia="zh-CN"/>
        </w:rPr>
        <w:t xml:space="preserve"> = h</w:t>
      </w:r>
      <w:r>
        <w:rPr>
          <w:rFonts w:eastAsia="宋体"/>
          <w:i/>
          <w:iCs/>
          <w:vertAlign w:val="subscript"/>
          <w:lang w:eastAsia="zh-CN"/>
        </w:rPr>
        <w:t>t</w:t>
      </w:r>
      <w:r>
        <w:rPr>
          <w:rFonts w:eastAsia="宋体"/>
          <w:lang w:eastAsia="zh-CN"/>
        </w:rPr>
        <w:t xml:space="preserve"> is randomly selected from the set </w:t>
      </w:r>
      <w:bookmarkStart w:id="19" w:name="_Hlk108434274"/>
      <w:r>
        <w:rPr>
          <w:rFonts w:eastAsia="宋体"/>
          <w:i/>
          <w:iCs/>
          <w:lang w:eastAsia="zh-CN"/>
        </w:rPr>
        <w:t>H</w:t>
      </w:r>
      <w:r>
        <w:rPr>
          <w:rFonts w:eastAsia="宋体"/>
          <w:i/>
          <w:iCs/>
          <w:vertAlign w:val="subscript"/>
          <w:lang w:eastAsia="zh-CN"/>
        </w:rPr>
        <w:t>s</w:t>
      </w:r>
      <w:bookmarkEnd w:id="19"/>
      <w:r>
        <w:rPr>
          <w:rFonts w:eastAsia="宋体"/>
          <w:lang w:eastAsia="zh-CN"/>
        </w:rPr>
        <w:t xml:space="preserve">, and the rest of the sequence is set by finding the medicine </w:t>
      </w:r>
      <w:r>
        <w:rPr>
          <w:rFonts w:eastAsia="宋体"/>
          <w:i/>
          <w:iCs/>
          <w:lang w:eastAsia="zh-CN"/>
        </w:rPr>
        <w:t>h</w:t>
      </w:r>
      <w:r>
        <w:rPr>
          <w:rFonts w:eastAsia="宋体"/>
          <w:i/>
          <w:iCs/>
          <w:vertAlign w:val="subscript"/>
          <w:lang w:eastAsia="zh-CN"/>
        </w:rPr>
        <w:t>j</w:t>
      </w:r>
      <w:r>
        <w:rPr>
          <w:rFonts w:eastAsia="宋体"/>
          <w:lang w:eastAsia="zh-CN"/>
        </w:rPr>
        <w:t xml:space="preserve"> with the shortest distance to the previously ordered element </w:t>
      </w:r>
      <w:r>
        <w:rPr>
          <w:rFonts w:eastAsia="宋体"/>
          <w:i/>
          <w:iCs/>
          <w:lang w:eastAsia="zh-CN"/>
        </w:rPr>
        <w:t>s</w:t>
      </w:r>
      <w:r>
        <w:rPr>
          <w:rFonts w:eastAsia="宋体"/>
          <w:i/>
          <w:iCs/>
          <w:vertAlign w:val="subscript"/>
          <w:lang w:eastAsia="zh-CN"/>
        </w:rPr>
        <w:t>i</w:t>
      </w:r>
      <w:r>
        <w:rPr>
          <w:rFonts w:eastAsia="宋体"/>
          <w:lang w:eastAsia="zh-CN"/>
        </w:rPr>
        <w:t>. The sorted top-level sovereign medicines are placed on the first row of the icicle</w:t>
      </w:r>
      <w:r w:rsidR="00356E5D">
        <w:rPr>
          <w:rFonts w:eastAsia="宋体"/>
          <w:lang w:eastAsia="zh-CN"/>
        </w:rPr>
        <w:t xml:space="preserve"> </w:t>
      </w:r>
      <w:r>
        <w:rPr>
          <w:rFonts w:eastAsia="宋体"/>
          <w:lang w:eastAsia="zh-CN"/>
        </w:rPr>
        <w:t>plot.</w:t>
      </w:r>
    </w:p>
    <w:p w14:paraId="045A6A88" w14:textId="4CDE9710" w:rsidR="00065FDF" w:rsidRDefault="007C3805">
      <w:pPr>
        <w:rPr>
          <w:rFonts w:eastAsia="宋体"/>
          <w:lang w:eastAsia="zh-CN"/>
        </w:rPr>
      </w:pPr>
      <w:r>
        <w:rPr>
          <w:rFonts w:eastAsia="宋体"/>
          <w:lang w:eastAsia="zh-CN"/>
        </w:rPr>
        <w:t xml:space="preserve">We now process formulas with more than one sovereign medicines. For a top-level sovereign medicine </w:t>
      </w:r>
      <w:r>
        <w:rPr>
          <w:rFonts w:eastAsia="宋体"/>
          <w:i/>
          <w:iCs/>
          <w:lang w:eastAsia="zh-CN"/>
        </w:rPr>
        <w:t>h</w:t>
      </w:r>
      <w:r>
        <w:rPr>
          <w:rFonts w:eastAsia="宋体"/>
          <w:i/>
          <w:iCs/>
          <w:vertAlign w:val="subscript"/>
          <w:lang w:eastAsia="zh-CN"/>
        </w:rPr>
        <w:t>i</w:t>
      </w:r>
      <w:r>
        <w:rPr>
          <w:rFonts w:eastAsia="宋体"/>
          <w:lang w:eastAsia="zh-CN"/>
        </w:rPr>
        <w:t xml:space="preserve">, a set </w:t>
      </w:r>
      <w:r>
        <w:rPr>
          <w:rFonts w:eastAsia="宋体"/>
          <w:position w:val="-12"/>
          <w:lang w:eastAsia="zh-CN"/>
        </w:rPr>
        <w:object w:dxaOrig="283" w:dyaOrig="365" w14:anchorId="32E7A489">
          <v:shape id="_x0000_i1032" type="#_x0000_t75" style="width:13.9pt;height:18.55pt" o:ole="">
            <v:imagedata r:id="rId30" o:title=""/>
          </v:shape>
          <o:OLEObject Type="Embed" ProgID="Equation.DSMT4" ShapeID="_x0000_i1032" DrawAspect="Content" ObjectID="_1719223670" r:id="rId31"/>
        </w:object>
      </w:r>
      <w:r>
        <w:rPr>
          <w:rFonts w:eastAsia="宋体"/>
          <w:lang w:eastAsia="zh-CN"/>
        </w:rPr>
        <w:t xml:space="preserve"> denotes all medicine formulas that have </w:t>
      </w:r>
      <w:r>
        <w:rPr>
          <w:rFonts w:eastAsia="宋体"/>
          <w:i/>
          <w:iCs/>
          <w:lang w:eastAsia="zh-CN"/>
        </w:rPr>
        <w:t>h</w:t>
      </w:r>
      <w:r>
        <w:rPr>
          <w:rFonts w:eastAsia="宋体"/>
          <w:i/>
          <w:iCs/>
          <w:vertAlign w:val="subscript"/>
          <w:lang w:eastAsia="zh-CN"/>
        </w:rPr>
        <w:t>i</w:t>
      </w:r>
      <w:r>
        <w:rPr>
          <w:rFonts w:eastAsia="宋体"/>
          <w:i/>
          <w:iCs/>
          <w:lang w:eastAsia="zh-CN"/>
        </w:rPr>
        <w:t xml:space="preserve"> </w:t>
      </w:r>
      <w:r>
        <w:rPr>
          <w:rFonts w:eastAsia="宋体"/>
          <w:lang w:eastAsia="zh-CN"/>
        </w:rPr>
        <w:t xml:space="preserve">as a sovereign medicine, and the </w:t>
      </w:r>
      <w:r>
        <w:rPr>
          <w:rFonts w:eastAsia="宋体"/>
          <w:i/>
          <w:iCs/>
          <w:lang w:eastAsia="zh-CN"/>
        </w:rPr>
        <w:t>j</w:t>
      </w:r>
      <w:r>
        <w:rPr>
          <w:rFonts w:eastAsia="宋体"/>
          <w:lang w:eastAsia="zh-CN"/>
        </w:rPr>
        <w:t xml:space="preserve">-th formula in </w:t>
      </w:r>
      <w:r>
        <w:rPr>
          <w:rFonts w:eastAsia="宋体"/>
          <w:position w:val="-12"/>
          <w:lang w:eastAsia="zh-CN"/>
        </w:rPr>
        <w:object w:dxaOrig="283" w:dyaOrig="365" w14:anchorId="6649F46C">
          <v:shape id="_x0000_i1033" type="#_x0000_t75" style="width:13.9pt;height:18.55pt" o:ole="">
            <v:imagedata r:id="rId30" o:title=""/>
          </v:shape>
          <o:OLEObject Type="Embed" ProgID="Equation.DSMT4" ShapeID="_x0000_i1033" DrawAspect="Content" ObjectID="_1719223671" r:id="rId32"/>
        </w:object>
      </w:r>
      <w:r>
        <w:rPr>
          <w:rFonts w:eastAsia="宋体"/>
          <w:lang w:eastAsia="zh-CN"/>
        </w:rPr>
        <w:t xml:space="preserve"> is denoted as </w:t>
      </w:r>
      <w:r>
        <w:rPr>
          <w:rFonts w:eastAsia="宋体"/>
          <w:position w:val="-14"/>
          <w:lang w:eastAsia="zh-CN"/>
        </w:rPr>
        <w:object w:dxaOrig="319" w:dyaOrig="383" w14:anchorId="2E72864C">
          <v:shape id="_x0000_i1034" type="#_x0000_t75" style="width:16.05pt;height:18.9pt" o:ole="">
            <v:imagedata r:id="rId33" o:title=""/>
          </v:shape>
          <o:OLEObject Type="Embed" ProgID="Equation.DSMT4" ShapeID="_x0000_i1034" DrawAspect="Content" ObjectID="_1719223672" r:id="rId34"/>
        </w:object>
      </w:r>
      <w:r>
        <w:rPr>
          <w:rFonts w:eastAsia="宋体"/>
          <w:lang w:eastAsia="zh-CN"/>
        </w:rPr>
        <w:t xml:space="preserve">. If its sovereign medicine contains elements of </w:t>
      </w:r>
      <w:r>
        <w:rPr>
          <w:rFonts w:eastAsia="宋体"/>
          <w:i/>
          <w:iCs/>
          <w:lang w:eastAsia="zh-CN"/>
        </w:rPr>
        <w:t>H</w:t>
      </w:r>
      <w:r>
        <w:rPr>
          <w:rFonts w:eastAsia="宋体"/>
          <w:i/>
          <w:iCs/>
          <w:vertAlign w:val="subscript"/>
          <w:lang w:eastAsia="zh-CN"/>
        </w:rPr>
        <w:t>s</w:t>
      </w:r>
      <w:r>
        <w:rPr>
          <w:rFonts w:eastAsia="宋体"/>
          <w:lang w:eastAsia="zh-CN"/>
        </w:rPr>
        <w:t xml:space="preserve">, add that formula to set </w:t>
      </w:r>
      <w:r>
        <w:rPr>
          <w:rFonts w:eastAsia="宋体"/>
          <w:position w:val="-12"/>
          <w:lang w:eastAsia="zh-CN"/>
        </w:rPr>
        <w:object w:dxaOrig="283" w:dyaOrig="365" w14:anchorId="5025F740">
          <v:shape id="_x0000_i1035" type="#_x0000_t75" style="width:13.9pt;height:18.55pt" o:ole="">
            <v:imagedata r:id="rId30" o:title=""/>
          </v:shape>
          <o:OLEObject Type="Embed" ProgID="Equation.DSMT4" ShapeID="_x0000_i1035" DrawAspect="Content" ObjectID="_1719223673" r:id="rId35"/>
        </w:object>
      </w:r>
      <w:r>
        <w:rPr>
          <w:rFonts w:eastAsia="宋体"/>
          <w:lang w:eastAsia="zh-CN"/>
        </w:rPr>
        <w:t xml:space="preserve">; if none of the sovereign medicines in a formula is contained in </w:t>
      </w:r>
      <w:r>
        <w:rPr>
          <w:rFonts w:eastAsia="宋体"/>
          <w:i/>
          <w:iCs/>
          <w:lang w:eastAsia="zh-CN"/>
        </w:rPr>
        <w:t>H</w:t>
      </w:r>
      <w:r>
        <w:rPr>
          <w:rFonts w:eastAsia="宋体"/>
          <w:i/>
          <w:iCs/>
          <w:vertAlign w:val="subscript"/>
          <w:lang w:eastAsia="zh-CN"/>
        </w:rPr>
        <w:t>s</w:t>
      </w:r>
      <w:r>
        <w:rPr>
          <w:rFonts w:eastAsia="宋体"/>
          <w:lang w:eastAsia="zh-CN"/>
        </w:rPr>
        <w:t xml:space="preserve">, </w:t>
      </w:r>
      <w:r>
        <w:rPr>
          <w:rFonts w:eastAsia="宋体"/>
          <w:i/>
          <w:iCs/>
          <w:lang w:eastAsia="zh-CN"/>
        </w:rPr>
        <w:t>h</w:t>
      </w:r>
      <w:r>
        <w:rPr>
          <w:rFonts w:eastAsia="宋体"/>
          <w:i/>
          <w:iCs/>
          <w:vertAlign w:val="subscript"/>
          <w:lang w:eastAsia="zh-CN"/>
        </w:rPr>
        <w:t>j</w:t>
      </w:r>
      <w:r>
        <w:rPr>
          <w:rFonts w:eastAsia="宋体"/>
          <w:lang w:eastAsia="zh-CN"/>
        </w:rPr>
        <w:t xml:space="preserve"> is selected randomly as the top- level medicine and added to </w:t>
      </w:r>
      <w:r>
        <w:rPr>
          <w:rFonts w:eastAsia="宋体"/>
          <w:i/>
          <w:iCs/>
          <w:lang w:eastAsia="zh-CN"/>
        </w:rPr>
        <w:t>H</w:t>
      </w:r>
      <w:r>
        <w:rPr>
          <w:rFonts w:eastAsia="宋体"/>
          <w:i/>
          <w:iCs/>
          <w:vertAlign w:val="subscript"/>
          <w:lang w:eastAsia="zh-CN"/>
        </w:rPr>
        <w:t>s</w:t>
      </w:r>
      <w:r>
        <w:rPr>
          <w:rFonts w:eastAsia="宋体"/>
          <w:lang w:eastAsia="zh-CN"/>
        </w:rPr>
        <w:t>. An example is Wandaitang (</w:t>
      </w:r>
      <w:r>
        <w:rPr>
          <w:rFonts w:eastAsia="宋体" w:hint="eastAsia"/>
          <w:lang w:eastAsia="zh-CN"/>
        </w:rPr>
        <w:t>完带汤</w:t>
      </w:r>
      <w:r>
        <w:rPr>
          <w:rFonts w:eastAsia="宋体"/>
          <w:lang w:eastAsia="zh-CN"/>
        </w:rPr>
        <w:t xml:space="preserve">) in Figure 3. For each </w:t>
      </w:r>
      <w:r>
        <w:rPr>
          <w:rFonts w:eastAsia="宋体"/>
          <w:position w:val="-4"/>
          <w:lang w:eastAsia="zh-CN"/>
        </w:rPr>
        <w:object w:dxaOrig="264" w:dyaOrig="264" w14:anchorId="584487BA">
          <v:shape id="_x0000_i1036" type="#_x0000_t75" style="width:13.2pt;height:13.2pt" o:ole="">
            <v:imagedata r:id="rId36" o:title=""/>
          </v:shape>
          <o:OLEObject Type="Embed" ProgID="Equation.DSMT4" ShapeID="_x0000_i1036" DrawAspect="Content" ObjectID="_1719223674" r:id="rId37"/>
        </w:object>
      </w:r>
      <w:r>
        <w:rPr>
          <w:rFonts w:eastAsia="宋体"/>
          <w:lang w:eastAsia="zh-CN"/>
        </w:rPr>
        <w:t>, formulas with single sovereign medicine are sorted from left to right by the number of remaining medicines; formulas with multiple sovereign medicines are sorted by the number of sovereign medicines. For sovereign medicines that are not top-leveled, they are sorted according to the distance and laid out as subsequent children nodes (as rows). Padding is made to ensure that all non- sovereign medicines start at the same row.</w:t>
      </w:r>
    </w:p>
    <w:p w14:paraId="12561FC0" w14:textId="77777777" w:rsidR="006C0A20" w:rsidRDefault="006C0A20">
      <w:pPr>
        <w:rPr>
          <w:rFonts w:eastAsia="宋体"/>
          <w:lang w:eastAsia="zh-CN"/>
        </w:rPr>
      </w:pPr>
    </w:p>
    <w:p w14:paraId="259FA1BF" w14:textId="0D0CC18D" w:rsidR="00065FDF" w:rsidRDefault="007C3805">
      <w:pPr>
        <w:rPr>
          <w:rFonts w:eastAsia="宋体"/>
          <w:lang w:eastAsia="zh-CN"/>
        </w:rPr>
      </w:pPr>
      <w:r>
        <w:rPr>
          <w:rFonts w:eastAsia="宋体"/>
          <w:lang w:eastAsia="zh-CN"/>
        </w:rPr>
        <w:t xml:space="preserve">For example, Figure 4 visualizes set </w:t>
      </w:r>
      <w:r>
        <w:rPr>
          <w:rFonts w:eastAsia="宋体"/>
          <w:position w:val="-12"/>
          <w:lang w:eastAsia="zh-CN"/>
        </w:rPr>
        <w:object w:dxaOrig="283" w:dyaOrig="365" w14:anchorId="0861ACCF">
          <v:shape id="_x0000_i1037" type="#_x0000_t75" style="width:13.9pt;height:18.55pt" o:ole="">
            <v:imagedata r:id="rId38" o:title=""/>
          </v:shape>
          <o:OLEObject Type="Embed" ProgID="Equation.DSMT4" ShapeID="_x0000_i1037" DrawAspect="Content" ObjectID="_1719223675" r:id="rId39"/>
        </w:object>
      </w:r>
      <w:r>
        <w:rPr>
          <w:rFonts w:eastAsia="宋体"/>
          <w:lang w:eastAsia="zh-CN"/>
        </w:rPr>
        <w:t xml:space="preserve"> of Figure 3, with Renshen (</w:t>
      </w:r>
      <w:r>
        <w:rPr>
          <w:rFonts w:eastAsia="宋体" w:hint="eastAsia"/>
          <w:lang w:eastAsia="zh-CN"/>
        </w:rPr>
        <w:t>人参</w:t>
      </w:r>
      <w:r>
        <w:rPr>
          <w:rFonts w:eastAsia="宋体"/>
          <w:lang w:eastAsia="zh-CN"/>
        </w:rPr>
        <w:t>) as the top-level sovereign medicine, and Bazhentang (</w:t>
      </w:r>
      <w:r>
        <w:rPr>
          <w:rFonts w:eastAsia="宋体" w:hint="eastAsia"/>
          <w:lang w:eastAsia="zh-CN"/>
        </w:rPr>
        <w:t>八珍汤</w:t>
      </w:r>
      <w:r>
        <w:rPr>
          <w:rFonts w:eastAsia="宋体"/>
          <w:lang w:eastAsia="zh-CN"/>
        </w:rPr>
        <w:t>) and Shenlingbaizhusan (</w:t>
      </w:r>
      <w:r>
        <w:rPr>
          <w:rFonts w:eastAsia="宋体" w:hint="eastAsia"/>
          <w:lang w:eastAsia="zh-CN"/>
        </w:rPr>
        <w:t>参苓白术散</w:t>
      </w:r>
      <w:r>
        <w:rPr>
          <w:rFonts w:eastAsia="宋体"/>
          <w:lang w:eastAsia="zh-CN"/>
        </w:rPr>
        <w:t>) have more than one sovereign medicines (columns 2 and 3, respectively). Therefore, the sovereign medicine rows are padded to three rows as Shenlingbaizhusan has the maximum of sovereign medicines which is three.</w:t>
      </w:r>
    </w:p>
    <w:p w14:paraId="3D69E58F" w14:textId="77777777" w:rsidR="006C0A20" w:rsidRDefault="006C0A20">
      <w:pPr>
        <w:rPr>
          <w:rFonts w:eastAsia="宋体"/>
          <w:lang w:eastAsia="zh-CN"/>
        </w:rPr>
      </w:pPr>
    </w:p>
    <w:p w14:paraId="7C358051" w14:textId="77777777" w:rsidR="00065FDF" w:rsidRDefault="007C3805">
      <w:pPr>
        <w:rPr>
          <w:rFonts w:eastAsia="宋体"/>
          <w:b/>
          <w:bCs/>
          <w:lang w:eastAsia="zh-CN"/>
        </w:rPr>
      </w:pPr>
      <w:r>
        <w:rPr>
          <w:rFonts w:eastAsia="宋体"/>
          <w:b/>
          <w:bCs/>
          <w:lang w:eastAsia="zh-CN"/>
        </w:rPr>
        <w:t>The Arrangement of Remaining Medicines</w:t>
      </w:r>
    </w:p>
    <w:p w14:paraId="2B88A9D9" w14:textId="77777777" w:rsidR="00065FDF" w:rsidRDefault="007C3805">
      <w:pPr>
        <w:rPr>
          <w:rFonts w:eastAsia="宋体"/>
          <w:lang w:eastAsia="zh-CN"/>
        </w:rPr>
      </w:pPr>
      <w:r>
        <w:rPr>
          <w:rFonts w:eastAsia="宋体"/>
          <w:lang w:eastAsia="zh-CN"/>
        </w:rPr>
        <w:lastRenderedPageBreak/>
        <w:t xml:space="preserve">Next, we arrange the remaining medicines in the medicine formulas data. Define the medicine in the </w:t>
      </w:r>
      <w:r>
        <w:rPr>
          <w:rFonts w:eastAsia="宋体"/>
          <w:i/>
          <w:iCs/>
          <w:lang w:eastAsia="zh-CN"/>
        </w:rPr>
        <w:t>j</w:t>
      </w:r>
      <w:r>
        <w:rPr>
          <w:rFonts w:eastAsia="宋体"/>
          <w:lang w:eastAsia="zh-CN"/>
        </w:rPr>
        <w:t xml:space="preserve">-th column, and </w:t>
      </w:r>
      <w:r>
        <w:rPr>
          <w:rFonts w:eastAsia="宋体"/>
          <w:i/>
          <w:iCs/>
          <w:lang w:eastAsia="zh-CN"/>
        </w:rPr>
        <w:t>k</w:t>
      </w:r>
      <w:r>
        <w:rPr>
          <w:rFonts w:eastAsia="宋体"/>
          <w:lang w:eastAsia="zh-CN"/>
        </w:rPr>
        <w:t xml:space="preserve">-th row in the </w:t>
      </w:r>
      <w:r>
        <w:rPr>
          <w:rFonts w:eastAsia="宋体"/>
          <w:i/>
          <w:iCs/>
          <w:lang w:eastAsia="zh-CN"/>
        </w:rPr>
        <w:t>i</w:t>
      </w:r>
      <w:r>
        <w:rPr>
          <w:rFonts w:eastAsia="宋体"/>
          <w:lang w:eastAsia="zh-CN"/>
        </w:rPr>
        <w:t xml:space="preserve">-th multiple medicine formulas set </w:t>
      </w:r>
      <w:r>
        <w:rPr>
          <w:rFonts w:eastAsia="宋体"/>
          <w:position w:val="-12"/>
          <w:lang w:eastAsia="zh-CN"/>
        </w:rPr>
        <w:object w:dxaOrig="283" w:dyaOrig="365" w14:anchorId="21DD0D08">
          <v:shape id="_x0000_i1038" type="#_x0000_t75" style="width:13.9pt;height:18.55pt" o:ole="">
            <v:imagedata r:id="rId30" o:title=""/>
          </v:shape>
          <o:OLEObject Type="Embed" ProgID="Equation.DSMT4" ShapeID="_x0000_i1038" DrawAspect="Content" ObjectID="_1719223676" r:id="rId40"/>
        </w:object>
      </w:r>
      <w:r>
        <w:rPr>
          <w:rFonts w:eastAsia="宋体"/>
          <w:lang w:eastAsia="zh-CN"/>
        </w:rPr>
        <w:t xml:space="preserve"> in the icicle plot as </w:t>
      </w:r>
      <w:r>
        <w:rPr>
          <w:rFonts w:eastAsia="宋体"/>
          <w:i/>
          <w:iCs/>
          <w:lang w:eastAsia="zh-CN"/>
        </w:rPr>
        <w:t>h</w:t>
      </w:r>
      <w:r>
        <w:rPr>
          <w:rFonts w:eastAsia="宋体"/>
          <w:i/>
          <w:iCs/>
          <w:vertAlign w:val="subscript"/>
          <w:lang w:eastAsia="zh-CN"/>
        </w:rPr>
        <w:t>ijk</w:t>
      </w:r>
      <w:r>
        <w:rPr>
          <w:rFonts w:eastAsia="宋体"/>
          <w:lang w:eastAsia="zh-CN"/>
        </w:rPr>
        <w:t>. Each formula column is then the previously introduced set</w:t>
      </w:r>
      <w:r>
        <w:rPr>
          <w:position w:val="-16"/>
          <w:lang w:eastAsia="zh-CN"/>
        </w:rPr>
        <w:object w:dxaOrig="1759" w:dyaOrig="437" w14:anchorId="3A570BE9">
          <v:shape id="_x0000_i1039" type="#_x0000_t75" style="width:88.05pt;height:22.1pt" o:ole="">
            <v:imagedata r:id="rId41" o:title=""/>
          </v:shape>
          <o:OLEObject Type="Embed" ProgID="Equation.DSMT4" ShapeID="_x0000_i1039" DrawAspect="Content" ObjectID="_1719223677" r:id="rId42"/>
        </w:object>
      </w:r>
      <w:r>
        <w:rPr>
          <w:rFonts w:eastAsia="宋体"/>
          <w:lang w:eastAsia="zh-CN"/>
        </w:rPr>
        <w:t xml:space="preserve">. We construct the position sequence of </w:t>
      </w:r>
      <w:r>
        <w:rPr>
          <w:position w:val="-14"/>
          <w:lang w:eastAsia="zh-CN"/>
        </w:rPr>
        <w:object w:dxaOrig="319" w:dyaOrig="383" w14:anchorId="3F1B8CED">
          <v:shape id="_x0000_i1040" type="#_x0000_t75" style="width:16.05pt;height:18.9pt" o:ole="">
            <v:imagedata r:id="rId43" o:title=""/>
          </v:shape>
          <o:OLEObject Type="Embed" ProgID="Equation.DSMT4" ShapeID="_x0000_i1040" DrawAspect="Content" ObjectID="_1719223678" r:id="rId44"/>
        </w:object>
      </w:r>
      <w:r>
        <w:rPr>
          <w:rFonts w:eastAsia="宋体"/>
          <w:lang w:eastAsia="zh-CN"/>
        </w:rPr>
        <w:t xml:space="preserve">as </w:t>
      </w:r>
      <w:r>
        <w:rPr>
          <w:rFonts w:eastAsia="宋体"/>
          <w:position w:val="-16"/>
          <w:lang w:eastAsia="zh-CN"/>
        </w:rPr>
        <w:object w:dxaOrig="1805" w:dyaOrig="437" w14:anchorId="4674F3CB">
          <v:shape id="_x0000_i1041" type="#_x0000_t75" style="width:90.55pt;height:22.1pt" o:ole="">
            <v:imagedata r:id="rId45" o:title=""/>
          </v:shape>
          <o:OLEObject Type="Embed" ProgID="Equation.DSMT4" ShapeID="_x0000_i1041" DrawAspect="Content" ObjectID="_1719223679" r:id="rId46"/>
        </w:object>
      </w:r>
      <w:r>
        <w:rPr>
          <w:rFonts w:eastAsia="宋体"/>
          <w:lang w:eastAsia="zh-CN"/>
        </w:rPr>
        <w:t>from left to right. The leftmost column is</w:t>
      </w:r>
      <w:r>
        <w:rPr>
          <w:rFonts w:eastAsia="宋体" w:hint="eastAsia"/>
          <w:lang w:eastAsia="zh-CN"/>
        </w:rPr>
        <w:t xml:space="preserve"> </w:t>
      </w:r>
      <w:r>
        <w:rPr>
          <w:rFonts w:eastAsia="宋体"/>
          <w:lang w:eastAsia="zh-CN"/>
        </w:rPr>
        <w:t>sorted by the distance-based ordering using Equation 4. Starting from</w:t>
      </w:r>
      <w:r>
        <w:rPr>
          <w:rFonts w:eastAsia="宋体" w:hint="eastAsia"/>
          <w:lang w:eastAsia="zh-CN"/>
        </w:rPr>
        <w:t xml:space="preserve"> </w:t>
      </w:r>
      <w:r>
        <w:rPr>
          <w:rFonts w:eastAsia="宋体"/>
          <w:lang w:eastAsia="zh-CN"/>
        </w:rPr>
        <w:t xml:space="preserve">the second column from the left, medicines are sorted by local similarity. We align the same medicines in adjacent columns even if they are not from the same </w:t>
      </w:r>
      <w:r>
        <w:rPr>
          <w:rFonts w:eastAsia="宋体"/>
          <w:position w:val="-4"/>
          <w:lang w:eastAsia="zh-CN"/>
        </w:rPr>
        <w:object w:dxaOrig="264" w:dyaOrig="264" w14:anchorId="2E73F207">
          <v:shape id="_x0000_i1042" type="#_x0000_t75" style="width:13.2pt;height:13.2pt" o:ole="">
            <v:imagedata r:id="rId47" o:title=""/>
          </v:shape>
          <o:OLEObject Type="Embed" ProgID="Equation.DSMT4" ShapeID="_x0000_i1042" DrawAspect="Content" ObjectID="_1719223680" r:id="rId48"/>
        </w:object>
      </w:r>
      <w:r>
        <w:rPr>
          <w:rFonts w:eastAsia="宋体"/>
          <w:lang w:eastAsia="zh-CN"/>
        </w:rPr>
        <w:t xml:space="preserve">. Other medicines are sorted according to their distances to medicines on its left column within the set </w:t>
      </w:r>
      <w:r>
        <w:rPr>
          <w:rFonts w:eastAsia="宋体"/>
          <w:position w:val="-12"/>
          <w:lang w:eastAsia="zh-CN"/>
        </w:rPr>
        <w:object w:dxaOrig="283" w:dyaOrig="365" w14:anchorId="2655F860">
          <v:shape id="_x0000_i1043" type="#_x0000_t75" style="width:13.9pt;height:18.55pt" o:ole="">
            <v:imagedata r:id="rId30" o:title=""/>
          </v:shape>
          <o:OLEObject Type="Embed" ProgID="Equation.DSMT4" ShapeID="_x0000_i1043" DrawAspect="Content" ObjectID="_1719223681" r:id="rId49"/>
        </w:object>
      </w:r>
      <w:r>
        <w:rPr>
          <w:rFonts w:eastAsia="宋体"/>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4" type="#_x0000_t75" style="width:400.3pt;height:43.85pt" o:ole="">
            <v:imagedata r:id="rId50" o:title=""/>
          </v:shape>
          <o:OLEObject Type="Embed" ProgID="Equation.DSMT4" ShapeID="_x0000_i1044" DrawAspect="Content" ObjectID="_1719223682" r:id="rId51"/>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77777777" w:rsidR="00065FDF" w:rsidRDefault="007C3805">
      <w:pPr>
        <w:rPr>
          <w:rFonts w:eastAsia="宋体"/>
          <w:lang w:eastAsia="zh-CN"/>
        </w:rPr>
      </w:pPr>
      <w:r>
        <w:rPr>
          <w:rFonts w:eastAsia="宋体"/>
          <w:lang w:eastAsia="zh-CN"/>
        </w:rPr>
        <w:t xml:space="preserve">If </w:t>
      </w:r>
      <w:r>
        <w:rPr>
          <w:rFonts w:eastAsia="宋体"/>
          <w:position w:val="-14"/>
          <w:lang w:eastAsia="zh-CN"/>
        </w:rPr>
        <w:object w:dxaOrig="319" w:dyaOrig="383" w14:anchorId="43413380">
          <v:shape id="_x0000_i1045" type="#_x0000_t75" style="width:16.05pt;height:18.9pt" o:ole="">
            <v:imagedata r:id="rId52" o:title=""/>
          </v:shape>
          <o:OLEObject Type="Embed" ProgID="Equation.DSMT4" ShapeID="_x0000_i1045" DrawAspect="Content" ObjectID="_1719223683" r:id="rId53"/>
        </w:object>
      </w:r>
      <w:r>
        <w:rPr>
          <w:rFonts w:eastAsia="宋体"/>
          <w:lang w:eastAsia="zh-CN"/>
        </w:rPr>
        <w:t xml:space="preserve"> contains more elements than </w:t>
      </w:r>
      <w:r>
        <w:rPr>
          <w:rFonts w:eastAsia="宋体"/>
          <w:position w:val="-16"/>
          <w:lang w:eastAsia="zh-CN"/>
        </w:rPr>
        <w:object w:dxaOrig="602" w:dyaOrig="401" w14:anchorId="47272337">
          <v:shape id="_x0000_i1046" type="#_x0000_t75" style="width:29.95pt;height:19.95pt" o:ole="">
            <v:imagedata r:id="rId54" o:title=""/>
          </v:shape>
          <o:OLEObject Type="Embed" ProgID="Equation.DSMT4" ShapeID="_x0000_i1046" DrawAspect="Content" ObjectID="_1719223684" r:id="rId55"/>
        </w:object>
      </w:r>
      <w:r>
        <w:rPr>
          <w:rFonts w:eastAsia="宋体"/>
          <w:lang w:eastAsia="zh-CN"/>
        </w:rPr>
        <w:t>, construct the hierarchy with similarity ordering as in Equation 4.</w:t>
      </w:r>
    </w:p>
    <w:p w14:paraId="74A2CB02" w14:textId="4F7933DA" w:rsidR="00065FDF" w:rsidRDefault="007C3805">
      <w:pPr>
        <w:rPr>
          <w:rFonts w:eastAsia="宋体"/>
          <w:lang w:eastAsia="zh-CN"/>
        </w:rPr>
      </w:pPr>
      <w:r>
        <w:rPr>
          <w:rFonts w:eastAsia="宋体"/>
          <w:lang w:eastAsia="zh-CN"/>
        </w:rPr>
        <w:t>Figure 3 (b) shows the icicle plot of tonic prescriptions formulas with the new tree layout. Compared to the original layout (Figure 3 (a)), the alignment of medicines are improved and the same medicines in adjacent columns are aligned vertically. For example, note that how Baizhu (</w:t>
      </w:r>
      <w:r>
        <w:rPr>
          <w:rFonts w:eastAsia="宋体" w:hint="eastAsia"/>
          <w:lang w:eastAsia="zh-CN"/>
        </w:rPr>
        <w:t>白术</w:t>
      </w:r>
      <w:r>
        <w:rPr>
          <w:rFonts w:eastAsia="宋体"/>
          <w:lang w:eastAsia="zh-CN"/>
        </w:rPr>
        <w:t>), Fuling (</w:t>
      </w:r>
      <w:r>
        <w:rPr>
          <w:rFonts w:eastAsia="宋体" w:hint="eastAsia"/>
          <w:lang w:eastAsia="zh-CN"/>
        </w:rPr>
        <w:t>茯苓</w:t>
      </w:r>
      <w:r>
        <w:rPr>
          <w:rFonts w:eastAsia="宋体"/>
          <w:lang w:eastAsia="zh-CN"/>
        </w:rPr>
        <w:t>) and Renshen (</w:t>
      </w:r>
      <w:r>
        <w:rPr>
          <w:rFonts w:eastAsia="宋体" w:hint="eastAsia"/>
          <w:lang w:eastAsia="zh-CN"/>
        </w:rPr>
        <w:t>人参</w:t>
      </w:r>
      <w:r>
        <w:rPr>
          <w:rFonts w:eastAsia="宋体"/>
          <w:lang w:eastAsia="zh-CN"/>
        </w:rPr>
        <w:t>) are aligned as non-sovereign medicines in Figure 3 (b), whereas in Figure 3 (a), such alignments are nonexistent.</w:t>
      </w:r>
    </w:p>
    <w:p w14:paraId="77C6FEEB" w14:textId="282E7D93" w:rsidR="0007460A" w:rsidRDefault="0007460A">
      <w:pPr>
        <w:rPr>
          <w:rFonts w:eastAsia="宋体"/>
          <w:lang w:eastAsia="zh-CN"/>
        </w:rPr>
      </w:pPr>
    </w:p>
    <w:p w14:paraId="44BA8C2A" w14:textId="0BCEB300" w:rsidR="0007460A" w:rsidRDefault="006C0A20" w:rsidP="0007460A">
      <w:pPr>
        <w:pStyle w:val="3"/>
      </w:pPr>
      <w:r>
        <w:t xml:space="preserve">Visualization of </w:t>
      </w:r>
      <w:r w:rsidR="001B3B3A">
        <w:t>Overlapping</w:t>
      </w:r>
      <w:r>
        <w:t xml:space="preserve"> of Formulas</w:t>
      </w:r>
    </w:p>
    <w:p w14:paraId="1B81EEF9" w14:textId="79AD87FA" w:rsidR="00ED388C" w:rsidRDefault="00D434FD" w:rsidP="00D434FD">
      <w:pPr>
        <w:rPr>
          <w:rFonts w:eastAsia="宋体"/>
          <w:lang w:eastAsia="zh-CN"/>
        </w:rPr>
      </w:pPr>
      <w:r>
        <w:rPr>
          <w:rFonts w:eastAsia="宋体" w:hint="eastAsia"/>
          <w:lang w:eastAsia="zh-CN"/>
        </w:rPr>
        <w:t>T</w:t>
      </w:r>
      <w:r>
        <w:rPr>
          <w:rFonts w:eastAsia="宋体"/>
          <w:lang w:eastAsia="zh-CN"/>
        </w:rPr>
        <w:t xml:space="preserve">he icicle plot visualization allows effective visualization of the </w:t>
      </w:r>
      <w:r w:rsidR="00D36C46">
        <w:rPr>
          <w:rFonts w:eastAsia="宋体"/>
          <w:lang w:eastAsia="zh-CN"/>
        </w:rPr>
        <w:t>comprising medicines</w:t>
      </w:r>
      <w:r>
        <w:rPr>
          <w:rFonts w:eastAsia="宋体"/>
          <w:lang w:eastAsia="zh-CN"/>
        </w:rPr>
        <w:t xml:space="preserve"> of formulas</w:t>
      </w:r>
      <w:r w:rsidR="00D36C46">
        <w:rPr>
          <w:rFonts w:eastAsia="宋体"/>
          <w:lang w:eastAsia="zh-CN"/>
        </w:rPr>
        <w:t xml:space="preserve"> and the comparison of neighboring formulas.</w:t>
      </w:r>
      <w:r w:rsidR="00F65B5D">
        <w:rPr>
          <w:rFonts w:eastAsia="宋体"/>
          <w:lang w:eastAsia="zh-CN"/>
        </w:rPr>
        <w:t xml:space="preserve"> However, comparing formulas that are far apart</w:t>
      </w:r>
      <w:r w:rsidR="006037D4">
        <w:rPr>
          <w:rFonts w:eastAsia="宋体"/>
          <w:lang w:eastAsia="zh-CN"/>
        </w:rPr>
        <w:t xml:space="preserve">, i.e., having different sovereign medicines, </w:t>
      </w:r>
      <w:r w:rsidR="00F65B5D">
        <w:rPr>
          <w:rFonts w:eastAsia="宋体"/>
          <w:lang w:eastAsia="zh-CN"/>
        </w:rPr>
        <w:t>in the layout is also necessary</w:t>
      </w:r>
      <w:r w:rsidR="006037D4">
        <w:rPr>
          <w:rFonts w:eastAsia="宋体"/>
          <w:lang w:eastAsia="zh-CN"/>
        </w:rPr>
        <w:t xml:space="preserve"> to provide a deeper understanding of formulas</w:t>
      </w:r>
      <w:r w:rsidR="00F65B5D">
        <w:rPr>
          <w:rFonts w:eastAsia="宋体"/>
          <w:lang w:eastAsia="zh-CN"/>
        </w:rPr>
        <w:t xml:space="preserve">. Therefore, a </w:t>
      </w:r>
      <w:r w:rsidR="00F367A4">
        <w:rPr>
          <w:rFonts w:eastAsia="宋体"/>
          <w:lang w:eastAsia="zh-CN"/>
        </w:rPr>
        <w:t>co-</w:t>
      </w:r>
      <w:r w:rsidR="00AA1FBD">
        <w:rPr>
          <w:rFonts w:eastAsia="宋体"/>
          <w:lang w:eastAsia="zh-CN"/>
        </w:rPr>
        <w:t xml:space="preserve">occurrence </w:t>
      </w:r>
      <w:r w:rsidR="00F367A4">
        <w:rPr>
          <w:rFonts w:eastAsia="宋体"/>
          <w:lang w:eastAsia="zh-CN"/>
        </w:rPr>
        <w:t xml:space="preserve">matrix view of formulas is </w:t>
      </w:r>
      <w:r w:rsidR="006037D4">
        <w:rPr>
          <w:rFonts w:eastAsia="宋体"/>
          <w:lang w:eastAsia="zh-CN"/>
        </w:rPr>
        <w:t xml:space="preserve">included to complement the </w:t>
      </w:r>
      <w:r w:rsidR="00ED388C">
        <w:rPr>
          <w:rFonts w:eastAsia="宋体"/>
          <w:lang w:eastAsia="zh-CN"/>
        </w:rPr>
        <w:t>icicle plot. The benefit of using a matrix view in this case is that the complete pair-wise overlapping information of all formulas can be effectively represented.</w:t>
      </w:r>
    </w:p>
    <w:p w14:paraId="2F5C3965" w14:textId="5FB1ADF3" w:rsidR="00D434FD" w:rsidRDefault="00ED388C" w:rsidP="00D434FD">
      <w:pPr>
        <w:rPr>
          <w:rFonts w:eastAsia="宋体"/>
          <w:lang w:eastAsia="zh-CN"/>
        </w:rPr>
      </w:pPr>
      <w:r>
        <w:rPr>
          <w:rFonts w:eastAsia="宋体"/>
          <w:lang w:eastAsia="zh-CN"/>
        </w:rPr>
        <w:t xml:space="preserve">As shown in </w:t>
      </w:r>
      <w:r w:rsidRPr="00ED388C">
        <w:rPr>
          <w:rFonts w:eastAsia="宋体"/>
          <w:color w:val="FF0000"/>
          <w:lang w:eastAsia="zh-CN"/>
        </w:rPr>
        <w:t>Figure matrix</w:t>
      </w:r>
      <w:r w:rsidRPr="00ED388C">
        <w:rPr>
          <w:rFonts w:eastAsia="宋体"/>
          <w:lang w:eastAsia="zh-CN"/>
        </w:rPr>
        <w:t>, the</w:t>
      </w:r>
      <w:r>
        <w:rPr>
          <w:rFonts w:eastAsia="宋体"/>
          <w:lang w:eastAsia="zh-CN"/>
        </w:rPr>
        <w:t xml:space="preserve"> co-</w:t>
      </w:r>
      <w:r w:rsidR="00AA1FBD">
        <w:rPr>
          <w:rFonts w:eastAsia="宋体"/>
          <w:lang w:eastAsia="zh-CN"/>
        </w:rPr>
        <w:t>occurrence</w:t>
      </w:r>
      <w:r>
        <w:rPr>
          <w:rFonts w:eastAsia="宋体"/>
          <w:lang w:eastAsia="zh-CN"/>
        </w:rPr>
        <w:t xml:space="preserve"> matrix has rows and columns as formulas, and an element of the matrix is the number of co-occurred medicines of the corresponding formulas of its row and column. </w:t>
      </w:r>
      <w:r w:rsidR="001B3B3A">
        <w:rPr>
          <w:rFonts w:eastAsia="宋体"/>
          <w:lang w:eastAsia="zh-CN"/>
        </w:rPr>
        <w:t>With</w:t>
      </w:r>
      <w:r w:rsidR="006548C4">
        <w:rPr>
          <w:rFonts w:eastAsia="宋体"/>
          <w:lang w:eastAsia="zh-CN"/>
        </w:rPr>
        <w:t xml:space="preserve"> a sequential</w:t>
      </w:r>
      <w:r w:rsidR="001B3B3A">
        <w:rPr>
          <w:rFonts w:eastAsia="宋体"/>
          <w:lang w:eastAsia="zh-CN"/>
        </w:rPr>
        <w:t xml:space="preserve"> color</w:t>
      </w:r>
      <w:r w:rsidR="006548C4">
        <w:rPr>
          <w:rFonts w:eastAsia="宋体"/>
          <w:lang w:eastAsia="zh-CN"/>
        </w:rPr>
        <w:t xml:space="preserve"> map</w:t>
      </w:r>
      <w:r w:rsidR="001B3B3A">
        <w:rPr>
          <w:rFonts w:eastAsia="宋体"/>
          <w:lang w:eastAsia="zh-CN"/>
        </w:rPr>
        <w:t>, t</w:t>
      </w:r>
      <w:r>
        <w:rPr>
          <w:rFonts w:eastAsia="宋体"/>
          <w:lang w:eastAsia="zh-CN"/>
        </w:rPr>
        <w:t xml:space="preserve">his view allows </w:t>
      </w:r>
      <w:r w:rsidR="001B3B3A">
        <w:rPr>
          <w:rFonts w:eastAsia="宋体"/>
          <w:lang w:eastAsia="zh-CN"/>
        </w:rPr>
        <w:t>the user to quickly examining the overlapping information of each formula against all others by focusing on a row or a column. Also, the color encoding effectively draws the attention of the user to formulas with the highest number of overlapping medicines: in this case, Zuoguiwan (</w:t>
      </w:r>
      <w:r w:rsidR="001B3B3A">
        <w:rPr>
          <w:rFonts w:eastAsia="宋体" w:hint="eastAsia"/>
          <w:lang w:eastAsia="zh-CN"/>
        </w:rPr>
        <w:t>左归丸</w:t>
      </w:r>
      <w:r w:rsidR="001B3B3A">
        <w:rPr>
          <w:rFonts w:eastAsia="宋体" w:hint="eastAsia"/>
          <w:lang w:eastAsia="zh-CN"/>
        </w:rPr>
        <w:t>)</w:t>
      </w:r>
      <w:r w:rsidR="001B3B3A">
        <w:rPr>
          <w:rFonts w:eastAsia="宋体"/>
          <w:lang w:eastAsia="zh-CN"/>
        </w:rPr>
        <w:t xml:space="preserve"> and Youguiwan </w:t>
      </w:r>
      <w:r w:rsidR="001B3B3A">
        <w:rPr>
          <w:rFonts w:eastAsia="宋体" w:hint="eastAsia"/>
          <w:lang w:eastAsia="zh-CN"/>
        </w:rPr>
        <w:t>(</w:t>
      </w:r>
      <w:r w:rsidR="001B3B3A">
        <w:rPr>
          <w:rFonts w:eastAsia="宋体" w:hint="eastAsia"/>
          <w:lang w:eastAsia="zh-CN"/>
        </w:rPr>
        <w:t>右归丸</w:t>
      </w:r>
      <w:r w:rsidR="001B3B3A">
        <w:rPr>
          <w:rFonts w:eastAsia="宋体" w:hint="eastAsia"/>
          <w:lang w:eastAsia="zh-CN"/>
        </w:rPr>
        <w:t>)</w:t>
      </w:r>
      <w:r w:rsidR="001B3B3A">
        <w:rPr>
          <w:rFonts w:eastAsia="宋体"/>
          <w:lang w:eastAsia="zh-CN"/>
        </w:rPr>
        <w:t xml:space="preserve"> as highlighted in red in </w:t>
      </w:r>
      <w:r w:rsidR="001B3B3A" w:rsidRPr="00ED388C">
        <w:rPr>
          <w:rFonts w:eastAsia="宋体"/>
          <w:color w:val="FF0000"/>
          <w:lang w:eastAsia="zh-CN"/>
        </w:rPr>
        <w:t>Figure matrix</w:t>
      </w:r>
      <w:r w:rsidR="001B3B3A">
        <w:rPr>
          <w:rFonts w:eastAsia="宋体"/>
          <w:lang w:eastAsia="zh-CN"/>
        </w:rPr>
        <w:t xml:space="preserve">.  </w:t>
      </w:r>
    </w:p>
    <w:p w14:paraId="5B99DB92" w14:textId="77777777" w:rsidR="00AA1FBD" w:rsidRPr="00ED388C" w:rsidRDefault="00AA1FBD" w:rsidP="00D434FD">
      <w:pPr>
        <w:rPr>
          <w:rFonts w:eastAsia="宋体"/>
          <w:lang w:eastAsia="zh-CN"/>
        </w:rPr>
      </w:pPr>
    </w:p>
    <w:p w14:paraId="1A944227" w14:textId="52E0C60B" w:rsidR="0007460A" w:rsidRDefault="00D434FD">
      <w:pPr>
        <w:rPr>
          <w:rFonts w:eastAsia="宋体"/>
          <w:lang w:eastAsia="zh-CN"/>
        </w:rPr>
      </w:pPr>
      <w:r>
        <w:rPr>
          <w:noProof/>
        </w:rPr>
        <w:lastRenderedPageBreak/>
        <w:drawing>
          <wp:inline distT="0" distB="0" distL="0" distR="0" wp14:anchorId="1C20CBAD" wp14:editId="21F448A2">
            <wp:extent cx="4436636" cy="3541093"/>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41639" cy="3545086"/>
                    </a:xfrm>
                    <a:prstGeom prst="rect">
                      <a:avLst/>
                    </a:prstGeom>
                  </pic:spPr>
                </pic:pic>
              </a:graphicData>
            </a:graphic>
          </wp:inline>
        </w:drawing>
      </w:r>
    </w:p>
    <w:p w14:paraId="5547D8AA" w14:textId="4404EA7C" w:rsidR="00F367A4" w:rsidRDefault="00F367A4" w:rsidP="00F367A4">
      <w:pPr>
        <w:jc w:val="center"/>
        <w:rPr>
          <w:rFonts w:eastAsia="Times New Roman"/>
          <w:lang w:eastAsia="zh-CN"/>
        </w:rPr>
      </w:pPr>
      <w:r>
        <w:t>Fig.</w:t>
      </w:r>
      <w:r>
        <w:rPr>
          <w:spacing w:val="-2"/>
        </w:rPr>
        <w:t xml:space="preserve"> </w:t>
      </w:r>
      <w:r w:rsidR="00ED388C">
        <w:rPr>
          <w:rFonts w:eastAsia="宋体"/>
          <w:lang w:eastAsia="zh-CN"/>
        </w:rPr>
        <w:t xml:space="preserve">matrix: the </w:t>
      </w:r>
      <w:r>
        <w:t>co-</w:t>
      </w:r>
      <w:r w:rsidR="00AA1FBD" w:rsidRPr="00AA1FBD">
        <w:rPr>
          <w:rFonts w:eastAsia="宋体"/>
          <w:lang w:eastAsia="zh-CN"/>
        </w:rPr>
        <w:t xml:space="preserve"> </w:t>
      </w:r>
      <w:r w:rsidR="00AA1FBD">
        <w:rPr>
          <w:rFonts w:eastAsia="宋体"/>
          <w:lang w:eastAsia="zh-CN"/>
        </w:rPr>
        <w:t xml:space="preserve">occurrence </w:t>
      </w:r>
      <w:r>
        <w:t>matrix view of formulas.</w:t>
      </w:r>
    </w:p>
    <w:p w14:paraId="141A7003" w14:textId="77777777" w:rsidR="00F367A4" w:rsidRPr="00F367A4" w:rsidRDefault="00F367A4">
      <w:pPr>
        <w:rPr>
          <w:rFonts w:eastAsia="宋体"/>
          <w:lang w:eastAsia="zh-CN"/>
        </w:rPr>
      </w:pPr>
    </w:p>
    <w:p w14:paraId="652377E4" w14:textId="77777777" w:rsidR="006C0A20" w:rsidRDefault="006C0A20">
      <w:pPr>
        <w:rPr>
          <w:rFonts w:eastAsia="宋体"/>
          <w:lang w:eastAsia="zh-CN"/>
        </w:rPr>
      </w:pPr>
    </w:p>
    <w:p w14:paraId="2452FC0C" w14:textId="77777777" w:rsidR="00065FDF" w:rsidRDefault="007C3805">
      <w:pPr>
        <w:pStyle w:val="3"/>
        <w:rPr>
          <w:lang w:eastAsia="zh-CN"/>
        </w:rPr>
      </w:pPr>
      <w:r>
        <w:rPr>
          <w:lang w:eastAsia="zh-CN"/>
        </w:rPr>
        <w:t>Perceptual-Guided Data-Driven Color Encoding</w:t>
      </w:r>
    </w:p>
    <w:p w14:paraId="1E9C16A1" w14:textId="77777777" w:rsidR="00065FDF" w:rsidRDefault="007C3805">
      <w:pPr>
        <w:rPr>
          <w:rFonts w:eastAsia="宋体"/>
          <w:lang w:eastAsia="zh-CN"/>
        </w:rPr>
      </w:pPr>
      <w:r>
        <w:rPr>
          <w:rFonts w:eastAsia="宋体"/>
          <w:lang w:eastAsia="zh-CN"/>
        </w:rPr>
        <w:t>Colors are assigned based on the multidimensional data for medicines in both the medicine view and the formula view guided by perception that assists the quick understanding of attributes of medicines and distances between medicines. The workflow of our color encoding method is illustrated in Figure 5. The method is based on the</w:t>
      </w:r>
      <w:r>
        <w:rPr>
          <w:rFonts w:eastAsia="宋体" w:hint="eastAsia"/>
          <w:lang w:eastAsia="zh-CN"/>
        </w:rPr>
        <w:t xml:space="preserve"> </w:t>
      </w:r>
      <w:r>
        <w:rPr>
          <w:rFonts w:eastAsia="宋体"/>
          <w:lang w:eastAsia="zh-CN"/>
        </w:rPr>
        <w:t>2D dimensionality reduced space derived from the multidimensional medicine attribute data and requires the knowledge of users to identify representative medicines within it. For a group of medicine formulas, medical experts can identify a number of representative medicines based on their TCM attributes with our TCM-concept inspired colors (R7). These colors are transformed into a perceptual uniform color space and interpolated with radial basis functions in there to get the medicine colors and/or the continuous 2D color map that spans the entire dimensionality reduced attribute space.</w:t>
      </w:r>
    </w:p>
    <w:p w14:paraId="651CCFCA" w14:textId="77777777" w:rsidR="00065FDF" w:rsidRDefault="007C3805">
      <w:pPr>
        <w:jc w:val="center"/>
        <w:rPr>
          <w:rFonts w:eastAsia="宋体"/>
          <w:lang w:eastAsia="zh-CN"/>
        </w:rPr>
      </w:pPr>
      <w:r>
        <w:rPr>
          <w:noProof/>
        </w:rPr>
        <w:lastRenderedPageBreak/>
        <w:drawing>
          <wp:inline distT="0" distB="0" distL="0" distR="0" wp14:anchorId="775BC949" wp14:editId="1745DD5F">
            <wp:extent cx="4167505" cy="185039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7"/>
                    <a:stretch>
                      <a:fillRect/>
                    </a:stretch>
                  </pic:blipFill>
                  <pic:spPr>
                    <a:xfrm>
                      <a:off x="0" y="0"/>
                      <a:ext cx="4181519" cy="1856517"/>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77777777" w:rsidR="00065FDF" w:rsidRDefault="007C3805">
      <w:pPr>
        <w:rPr>
          <w:rFonts w:eastAsia="宋体"/>
          <w:lang w:eastAsia="zh-CN"/>
        </w:rPr>
      </w:pPr>
      <w:r>
        <w:rPr>
          <w:rFonts w:eastAsia="宋体"/>
          <w:lang w:eastAsia="zh-CN"/>
        </w:rPr>
        <w:t>Colors of representative medicine are carefully chosen to show TCM concepts. These TCM concepts include Wuxing (</w:t>
      </w:r>
      <w:r>
        <w:rPr>
          <w:rFonts w:eastAsia="宋体" w:hint="eastAsia"/>
          <w:lang w:eastAsia="zh-CN"/>
        </w:rPr>
        <w:t>五行</w:t>
      </w:r>
      <w:r>
        <w:rPr>
          <w:rFonts w:eastAsia="宋体"/>
          <w:lang w:eastAsia="zh-CN"/>
        </w:rPr>
        <w:t>), Wuse (</w:t>
      </w:r>
      <w:r>
        <w:rPr>
          <w:rFonts w:eastAsia="宋体" w:hint="eastAsia"/>
          <w:lang w:eastAsia="zh-CN"/>
        </w:rPr>
        <w:t>五色</w:t>
      </w:r>
      <w:r>
        <w:rPr>
          <w:rFonts w:eastAsia="宋体"/>
          <w:lang w:eastAsia="zh-CN"/>
        </w:rPr>
        <w:t>), and Wuzang (</w:t>
      </w:r>
      <w:r>
        <w:rPr>
          <w:rFonts w:eastAsia="宋体" w:hint="eastAsia"/>
          <w:lang w:eastAsia="zh-CN"/>
        </w:rPr>
        <w:t>五脏</w:t>
      </w:r>
      <w:r>
        <w:rPr>
          <w:rFonts w:eastAsia="宋体"/>
          <w:lang w:eastAsia="zh-CN"/>
        </w:rPr>
        <w:t xml:space="preserve">) as summarized in Figure 6. The associated colors are handpicked to show the connection to “Wuse” with perceptual and aesthetic considerations—the luminance of colors should not vary too much, and saturated colors should be avoided. Initially, isoluminant colors that are beneficial for metric comprehension are experimented. However, the TCM expert considers the resulting colors are not distinct enough in the medicine view. As a trade-off, the representative colors are chosen to have a relatively small range of luminance (14 </w:t>
      </w:r>
      <w:r>
        <w:rPr>
          <w:rFonts w:eastAsia="宋体" w:hint="eastAsia"/>
          <w:lang w:eastAsia="zh-CN"/>
        </w:rPr>
        <w:t>≤</w:t>
      </w:r>
      <w:r>
        <w:rPr>
          <w:rFonts w:eastAsia="宋体"/>
          <w:lang w:eastAsia="zh-CN"/>
        </w:rPr>
        <w:t xml:space="preserve">Y </w:t>
      </w:r>
      <w:r>
        <w:rPr>
          <w:rFonts w:eastAsia="宋体" w:hint="eastAsia"/>
          <w:lang w:eastAsia="zh-CN"/>
        </w:rPr>
        <w:t>≤</w:t>
      </w:r>
      <w:r>
        <w:rPr>
          <w:rFonts w:eastAsia="宋体"/>
          <w:lang w:eastAsia="zh-CN"/>
        </w:rPr>
        <w:t xml:space="preserve"> 62).</w:t>
      </w:r>
    </w:p>
    <w:p w14:paraId="677DB4B9" w14:textId="77777777" w:rsidR="00065FDF" w:rsidRDefault="007C3805">
      <w:pPr>
        <w:jc w:val="center"/>
        <w:rPr>
          <w:rFonts w:eastAsia="宋体"/>
          <w:lang w:eastAsia="zh-CN"/>
        </w:rPr>
      </w:pPr>
      <w:r>
        <w:rPr>
          <w:rFonts w:eastAsia="宋体"/>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8"/>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宋体"/>
          <w:lang w:eastAsia="zh-CN"/>
        </w:rPr>
      </w:pPr>
      <w:r>
        <w:rPr>
          <w:rFonts w:eastAsia="宋体"/>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77777777" w:rsidR="00065FDF" w:rsidRDefault="007C3805">
      <w:pPr>
        <w:rPr>
          <w:lang w:eastAsia="zh-CN"/>
        </w:rPr>
      </w:pPr>
      <w:r>
        <w:rPr>
          <w:lang w:eastAsia="zh-CN"/>
        </w:rPr>
        <w:t>For perceptual uniformity, we use the CIECAM02-UCS color space</w:t>
      </w:r>
      <w:r>
        <w:rPr>
          <w:rFonts w:ascii="Cambria" w:hAnsi="Cambria"/>
          <w:lang w:eastAsia="zh-CN"/>
        </w:rPr>
        <w:t>[</w:t>
      </w:r>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Pr>
          <w:rFonts w:ascii="Cambria" w:hAnsi="Cambria" w:cs="Times New Roman"/>
        </w:rPr>
        <w:t>28</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7" type="#_x0000_t75" style="width:50.95pt;height:16.05pt" o:ole="">
            <v:imagedata r:id="rId59" o:title=""/>
          </v:shape>
          <o:OLEObject Type="Embed" ProgID="Equation.DSMT4" ShapeID="_x0000_i1047" DrawAspect="Content" ObjectID="_1719223685" r:id="rId60"/>
        </w:object>
      </w:r>
      <w:r>
        <w:rPr>
          <w:lang w:eastAsia="zh-CN"/>
        </w:rPr>
        <w:t xml:space="preserve"> that is calculated by first transforming XYZ color stimuli to the </w:t>
      </w:r>
      <w:r>
        <w:rPr>
          <w:position w:val="-10"/>
        </w:rPr>
        <w:object w:dxaOrig="802" w:dyaOrig="319" w14:anchorId="14D60252">
          <v:shape id="_x0000_i1048" type="#_x0000_t75" style="width:39.9pt;height:16.05pt" o:ole="">
            <v:imagedata r:id="rId61" o:title=""/>
          </v:shape>
          <o:OLEObject Type="Embed" ProgID="Equation.DSMT4" ShapeID="_x0000_i1048" DrawAspect="Content" ObjectID="_1719223686" r:id="rId62"/>
        </w:object>
      </w:r>
      <w:r>
        <w:rPr>
          <w:lang w:eastAsia="zh-CN"/>
        </w:rPr>
        <w:t xml:space="preserve">channels of the CIECAM02 color appearance model followed by a transformation from CIECAM02 to CIECAM02-UCS. As shown in Figure 5, we transform the colors of representative medicine from sRGB to CIECAM02-UCS through CIEXYZ. Then, the RBF interpolation is performed for </w:t>
      </w:r>
      <w:r>
        <w:rPr>
          <w:i/>
          <w:iCs/>
        </w:rPr>
        <w:t>J</w:t>
      </w:r>
      <w:r>
        <w:rPr>
          <w:rFonts w:eastAsia="宋体" w:hint="eastAsia"/>
          <w:lang w:eastAsia="zh-CN"/>
        </w:rPr>
        <w:t>,</w:t>
      </w:r>
      <w:r>
        <w:rPr>
          <w:position w:val="-6"/>
        </w:rPr>
        <w:object w:dxaOrig="337" w:dyaOrig="283" w14:anchorId="429F501B">
          <v:shape id="_x0000_i1049" type="#_x0000_t75" style="width:17.1pt;height:13.9pt" o:ole="">
            <v:imagedata r:id="rId63" o:title=""/>
          </v:shape>
          <o:OLEObject Type="Embed" ProgID="Equation.DSMT4" ShapeID="_x0000_i1049" DrawAspect="Content" ObjectID="_1719223687" r:id="rId64"/>
        </w:object>
      </w:r>
      <w:r>
        <w:rPr>
          <w:rFonts w:eastAsia="宋体" w:hint="eastAsia"/>
          <w:lang w:eastAsia="zh-CN"/>
        </w:rPr>
        <w:t>a</w:t>
      </w:r>
      <w:r>
        <w:rPr>
          <w:rFonts w:eastAsia="宋体"/>
          <w:lang w:eastAsia="zh-CN"/>
        </w:rPr>
        <w:t xml:space="preserve">nd </w:t>
      </w:r>
      <w:r>
        <w:rPr>
          <w:position w:val="-6"/>
        </w:rPr>
        <w:object w:dxaOrig="310" w:dyaOrig="283" w14:anchorId="7791175D">
          <v:shape id="_x0000_i1050" type="#_x0000_t75" style="width:15.35pt;height:13.9pt" o:ole="">
            <v:imagedata r:id="rId65" o:title=""/>
          </v:shape>
          <o:OLEObject Type="Embed" ProgID="Equation.DSMT4" ShapeID="_x0000_i1050" DrawAspect="Content" ObjectID="_1719223688" r:id="rId66"/>
        </w:object>
      </w:r>
      <w:r>
        <w:rPr>
          <w:lang w:eastAsia="zh-CN"/>
        </w:rPr>
        <w:t xml:space="preserve"> channels, respectively. Next, the interpolated colors are converted back to sRGB for display.</w:t>
      </w:r>
    </w:p>
    <w:p w14:paraId="1BC5F8CD" w14:textId="77777777" w:rsidR="00065FDF" w:rsidRDefault="007C3805">
      <w:pPr>
        <w:pStyle w:val="4"/>
        <w:rPr>
          <w:lang w:eastAsia="zh-CN"/>
        </w:rPr>
      </w:pPr>
      <w:r>
        <w:rPr>
          <w:lang w:eastAsia="zh-CN"/>
        </w:rPr>
        <w:t>RBF Color Interpolation</w:t>
      </w:r>
    </w:p>
    <w:p w14:paraId="14E6847A" w14:textId="77777777" w:rsidR="00065FDF" w:rsidRDefault="007C3805">
      <w:pPr>
        <w:rPr>
          <w:lang w:eastAsia="zh-CN"/>
        </w:rPr>
      </w:pPr>
      <w:r>
        <w:rPr>
          <w:lang w:eastAsia="zh-CN"/>
        </w:rPr>
        <w:t>RBF interpolation enables the interpolation of unstructured data, e.g., a few scattered points or point clouds—making them a natural choice for our method. The RBF interpolation function s(</w:t>
      </w:r>
      <w:r>
        <w:rPr>
          <w:b/>
          <w:bCs/>
          <w:lang w:eastAsia="zh-CN"/>
        </w:rPr>
        <w:t>x</w:t>
      </w:r>
      <w:r>
        <w:rPr>
          <w:lang w:eastAsia="zh-CN"/>
        </w:rPr>
        <w:t xml:space="preserve">) at location </w:t>
      </w:r>
      <w:r>
        <w:rPr>
          <w:b/>
          <w:bCs/>
          <w:lang w:eastAsia="zh-CN"/>
        </w:rPr>
        <w:t>x</w:t>
      </w:r>
      <w:r>
        <w:rPr>
          <w:lang w:eastAsia="zh-CN"/>
        </w:rPr>
        <w:t xml:space="preserve"> can be</w:t>
      </w:r>
      <w:r>
        <w:rPr>
          <w:rFonts w:eastAsia="宋体" w:hint="eastAsia"/>
          <w:lang w:eastAsia="zh-CN"/>
        </w:rPr>
        <w:t xml:space="preserve"> </w:t>
      </w:r>
      <w:r>
        <w:rPr>
          <w:lang w:eastAsia="zh-CN"/>
        </w:rPr>
        <w:t>written as:</w:t>
      </w:r>
    </w:p>
    <w:p w14:paraId="6A74F20B" w14:textId="67668F1B" w:rsidR="00065FDF" w:rsidRDefault="007C3805">
      <w:pPr>
        <w:pStyle w:val="MTDisplayEquation"/>
        <w:rPr>
          <w:lang w:eastAsia="zh-CN"/>
        </w:rPr>
      </w:pPr>
      <w:r>
        <w:rPr>
          <w:lang w:eastAsia="zh-CN"/>
        </w:rPr>
        <w:lastRenderedPageBreak/>
        <w:tab/>
      </w:r>
      <w:r>
        <w:rPr>
          <w:position w:val="-28"/>
          <w:lang w:eastAsia="zh-CN"/>
        </w:rPr>
        <w:object w:dxaOrig="3518" w:dyaOrig="684" w14:anchorId="105B9C0F">
          <v:shape id="_x0000_i1051" type="#_x0000_t75" style="width:175.7pt;height:33.85pt" o:ole="">
            <v:imagedata r:id="rId67" o:title=""/>
          </v:shape>
          <o:OLEObject Type="Embed" ProgID="Equation.DSMT4" ShapeID="_x0000_i1051" DrawAspect="Content" ObjectID="_1719223689" r:id="rId68"/>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095E10D6" w14:textId="77777777" w:rsidR="00065FDF"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r>
        <w:rPr>
          <w:b/>
          <w:bCs/>
          <w:lang w:eastAsia="zh-CN"/>
        </w:rPr>
        <w:t>x</w:t>
      </w:r>
      <w:r>
        <w:rPr>
          <w:i/>
          <w:iCs/>
          <w:vertAlign w:val="subscript"/>
          <w:lang w:eastAsia="zh-CN"/>
        </w:rPr>
        <w:t>k</w:t>
      </w:r>
      <w:r>
        <w:rPr>
          <w:lang w:eastAsia="zh-CN"/>
        </w:rPr>
        <w:t xml:space="preserve"> are the locations of known data points, </w:t>
      </w:r>
      <w:r>
        <w:rPr>
          <w:position w:val="-10"/>
          <w:lang w:eastAsia="zh-CN"/>
        </w:rPr>
        <w:object w:dxaOrig="219" w:dyaOrig="264" w14:anchorId="425B50AC">
          <v:shape id="_x0000_i1052" type="#_x0000_t75" style="width:11.05pt;height:13.2pt" o:ole="">
            <v:imagedata r:id="rId69" o:title=""/>
          </v:shape>
          <o:OLEObject Type="Embed" ProgID="Equation.DSMT4" ShapeID="_x0000_i1052" DrawAspect="Content" ObjectID="_1719223690" r:id="rId70"/>
        </w:object>
      </w:r>
      <w:r>
        <w:rPr>
          <w:lang w:eastAsia="zh-CN"/>
        </w:rPr>
        <w:t xml:space="preserve"> is the radial basis function of a distance r between </w:t>
      </w:r>
      <w:r>
        <w:rPr>
          <w:b/>
          <w:bCs/>
          <w:lang w:eastAsia="zh-CN"/>
        </w:rPr>
        <w:t>x</w:t>
      </w:r>
      <w:r>
        <w:rPr>
          <w:lang w:eastAsia="zh-CN"/>
        </w:rPr>
        <w:t xml:space="preserve"> and </w:t>
      </w:r>
      <w:r>
        <w:rPr>
          <w:b/>
          <w:bCs/>
          <w:lang w:eastAsia="zh-CN"/>
        </w:rPr>
        <w:t>x</w:t>
      </w:r>
      <w:r>
        <w:rPr>
          <w:i/>
          <w:iCs/>
          <w:vertAlign w:val="subscript"/>
          <w:lang w:eastAsia="zh-CN"/>
        </w:rPr>
        <w:t>k</w:t>
      </w:r>
      <w:r>
        <w:rPr>
          <w:lang w:eastAsia="zh-CN"/>
        </w:rPr>
        <w:t xml:space="preserve"> (here, the Euclidean distance), and </w:t>
      </w:r>
      <w:r>
        <w:rPr>
          <w:i/>
          <w:iCs/>
          <w:lang w:eastAsia="zh-CN"/>
        </w:rPr>
        <w:t>w</w:t>
      </w:r>
      <w:r>
        <w:rPr>
          <w:i/>
          <w:iCs/>
          <w:vertAlign w:val="subscript"/>
          <w:lang w:eastAsia="zh-CN"/>
        </w:rPr>
        <w:t>k</w:t>
      </w:r>
      <w:r>
        <w:rPr>
          <w:lang w:eastAsia="zh-CN"/>
        </w:rPr>
        <w:t xml:space="preserve"> are unknown weights. If </w:t>
      </w:r>
      <w:r>
        <w:rPr>
          <w:b/>
          <w:bCs/>
          <w:lang w:eastAsia="zh-CN"/>
        </w:rPr>
        <w:t xml:space="preserve">x </w:t>
      </w:r>
      <w:r>
        <w:rPr>
          <w:lang w:eastAsia="zh-CN"/>
        </w:rPr>
        <w:t xml:space="preserve">= </w:t>
      </w:r>
      <w:r>
        <w:rPr>
          <w:b/>
          <w:bCs/>
          <w:lang w:eastAsia="zh-CN"/>
        </w:rPr>
        <w:t>x</w:t>
      </w:r>
      <w:r>
        <w:rPr>
          <w:i/>
          <w:iCs/>
          <w:vertAlign w:val="subscript"/>
          <w:lang w:eastAsia="zh-CN"/>
        </w:rPr>
        <w:t>k</w:t>
      </w:r>
      <w:r>
        <w:rPr>
          <w:lang w:eastAsia="zh-CN"/>
        </w:rPr>
        <w:t xml:space="preserve"> ,</w:t>
      </w:r>
      <w:r>
        <w:rPr>
          <w:position w:val="-10"/>
        </w:rPr>
        <w:object w:dxaOrig="1440" w:dyaOrig="319" w14:anchorId="228B3DB3">
          <v:shape id="_x0000_i1053" type="#_x0000_t75" style="width:1in;height:16.05pt" o:ole="">
            <v:imagedata r:id="rId71" o:title=""/>
          </v:shape>
          <o:OLEObject Type="Embed" ProgID="Equation.DSMT4" ShapeID="_x0000_i1053" DrawAspect="Content" ObjectID="_1719223691" r:id="rId72"/>
        </w:object>
      </w:r>
      <w:r>
        <w:rPr>
          <w:lang w:eastAsia="zh-CN"/>
        </w:rPr>
        <w:t>, interpolated</w:t>
      </w:r>
      <w:r>
        <w:rPr>
          <w:rFonts w:eastAsia="宋体"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54E6D244" w14:textId="77777777" w:rsidR="005B40AA" w:rsidRDefault="005B40AA">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4" type="#_x0000_t75" style="width:42.05pt;height:16.05pt" o:ole="">
            <v:imagedata r:id="rId73" o:title=""/>
          </v:shape>
          <o:OLEObject Type="Embed" ProgID="Equation.DSMT4" ShapeID="_x0000_i1054" DrawAspect="Content" ObjectID="_1719223692" r:id="rId74"/>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77777777" w:rsidR="00065FDF" w:rsidRDefault="007C3805">
      <w:pPr>
        <w:rPr>
          <w:lang w:eastAsia="zh-CN"/>
        </w:rPr>
      </w:pPr>
      <w:r>
        <w:rPr>
          <w:lang w:eastAsia="zh-CN"/>
        </w:rPr>
        <w:t>The choice is made due to two reasons: first, the measure of Euclidean distance which matches the distance of medicines (Section 4.1), 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54234B2" w14:textId="77777777" w:rsidR="00065FDF" w:rsidRDefault="007C3805">
      <w:pPr>
        <w:rPr>
          <w:lang w:eastAsia="zh-CN"/>
        </w:rPr>
      </w:pPr>
      <w:r>
        <w:rPr>
          <w:lang w:eastAsia="zh-CN"/>
        </w:rPr>
        <w:t>Continuous 2D color maps of two groups of medicine formulas generated by RBF interpolation over the entire 2D domain are shown in Figure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77777777" w:rsidR="00065FDF" w:rsidRDefault="007C3805">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colors of points of medicines shown in medicine formulas need to be calculated if the overall trend in the 2D domain is not the focus.</w:t>
      </w:r>
    </w:p>
    <w:p w14:paraId="503DD0E2" w14:textId="77777777" w:rsidR="00065FDF" w:rsidRDefault="007C3805">
      <w:pPr>
        <w:ind w:leftChars="300" w:left="720"/>
        <w:rPr>
          <w:rFonts w:eastAsia="宋体"/>
          <w:lang w:eastAsia="zh-CN"/>
        </w:rPr>
      </w:pPr>
      <w:r>
        <w:rPr>
          <w:noProof/>
        </w:rPr>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宋体"/>
          <w:lang w:eastAsia="zh-CN"/>
        </w:rPr>
      </w:pPr>
      <w:r>
        <w:rPr>
          <w:rFonts w:eastAsia="宋体" w:hint="eastAsia"/>
          <w:lang w:eastAsia="zh-CN"/>
        </w:rPr>
        <w:t xml:space="preserve"> </w:t>
      </w:r>
      <w:r>
        <w:rPr>
          <w:rFonts w:eastAsia="宋体"/>
          <w:lang w:eastAsia="zh-CN"/>
        </w:rPr>
        <w:t xml:space="preserve">                                                                        (b)</w:t>
      </w:r>
    </w:p>
    <w:p w14:paraId="405158DB" w14:textId="77777777" w:rsidR="00065FDF" w:rsidRDefault="007C3805">
      <w:pPr>
        <w:ind w:leftChars="300" w:left="720"/>
        <w:rPr>
          <w:rFonts w:eastAsia="宋体"/>
          <w:lang w:eastAsia="zh-CN"/>
        </w:rPr>
      </w:pPr>
      <w:r>
        <w:rPr>
          <w:noProof/>
        </w:rPr>
        <w:lastRenderedPageBreak/>
        <w:drawing>
          <wp:inline distT="0" distB="0" distL="0" distR="0" wp14:anchorId="0F8613A0" wp14:editId="25AB8923">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1916680" cy="1069259"/>
                    </a:xfrm>
                    <a:prstGeom prst="rect">
                      <a:avLst/>
                    </a:prstGeom>
                    <a:noFill/>
                    <a:ln>
                      <a:noFill/>
                    </a:ln>
                  </pic:spPr>
                </pic:pic>
              </a:graphicData>
            </a:graphic>
          </wp:inline>
        </w:drawing>
      </w:r>
      <w:r>
        <w:rPr>
          <w:rFonts w:eastAsia="宋体"/>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77777777" w:rsidR="00065FDF" w:rsidRDefault="007C3805">
      <w:pPr>
        <w:ind w:leftChars="300" w:left="720" w:firstLineChars="550" w:firstLine="1320"/>
        <w:rPr>
          <w:rFonts w:eastAsia="宋体"/>
          <w:lang w:eastAsia="zh-CN"/>
        </w:rPr>
      </w:pPr>
      <w:r>
        <w:rPr>
          <w:rFonts w:eastAsia="宋体"/>
          <w:lang w:eastAsia="zh-CN"/>
        </w:rPr>
        <w:t>(c)</w:t>
      </w:r>
      <w:r>
        <w:rPr>
          <w:rFonts w:eastAsia="宋体" w:hint="eastAsia"/>
          <w:lang w:eastAsia="zh-CN"/>
        </w:rPr>
        <w:t xml:space="preserve"> </w:t>
      </w:r>
      <w:r>
        <w:rPr>
          <w:rFonts w:eastAsia="宋体"/>
          <w:lang w:eastAsia="zh-CN"/>
        </w:rPr>
        <w:t xml:space="preserve">                                                                          (d)</w:t>
      </w:r>
    </w:p>
    <w:p w14:paraId="797DBF9E" w14:textId="6581A6DC" w:rsidR="00065FDF" w:rsidRDefault="007C3805">
      <w:pPr>
        <w:rPr>
          <w:rFonts w:eastAsia="宋体"/>
          <w:lang w:eastAsia="zh-CN"/>
        </w:rPr>
      </w:pPr>
      <w:r>
        <w:rPr>
          <w:rFonts w:eastAsia="宋体"/>
          <w:lang w:eastAsia="zh-CN"/>
        </w:rPr>
        <w:t>Fig. 7: Color encoding with our method for tonic prescriptions (the left column) and heat-clearing prescriptions (the right column). Continuous 2D colormaps are shown in (a) and (b), respectively. Medicine colors are calculated based on their positions in the 2D domain (c and d).</w:t>
      </w:r>
    </w:p>
    <w:p w14:paraId="0F420115" w14:textId="77777777" w:rsidR="00956C8E" w:rsidRDefault="00956C8E" w:rsidP="00956C8E">
      <w:pPr>
        <w:pStyle w:val="3"/>
        <w:rPr>
          <w:lang w:eastAsia="zh-CN"/>
        </w:rPr>
      </w:pPr>
      <w:r>
        <w:rPr>
          <w:lang w:eastAsia="zh-CN"/>
        </w:rPr>
        <w:t>User Interactions and Implementation</w:t>
      </w:r>
    </w:p>
    <w:p w14:paraId="72304251" w14:textId="77777777" w:rsidR="00956C8E" w:rsidRDefault="00956C8E" w:rsidP="00956C8E">
      <w:pPr>
        <w:rPr>
          <w:lang w:eastAsia="zh-CN"/>
        </w:rPr>
      </w:pPr>
      <w:r>
        <w:rPr>
          <w:lang w:eastAsia="zh-CN"/>
        </w:rPr>
        <w:t>Our visual analysis method supports interactive exploration within the formula view and the medicine view, and also brushing-and-linking between these two views (R4). In the formula view, names of all formulas are shown whenever the mouse is hovered on a medicine as shown in Figure 8(a).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(Figures 1 and 9). These user interactions are easy to use and intuitive to users how are not familiar with interactive visualization. Therefore, requirement R6 is satisfied.</w:t>
      </w:r>
    </w:p>
    <w:p w14:paraId="406D0667" w14:textId="77777777" w:rsidR="00956C8E" w:rsidRDefault="00956C8E" w:rsidP="00956C8E">
      <w:pPr>
        <w:rPr>
          <w:lang w:eastAsia="zh-CN"/>
        </w:rPr>
      </w:pPr>
      <w:r>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enhancing the understanding of users on the composition of medicine in formulas (R5).</w:t>
      </w:r>
    </w:p>
    <w:p w14:paraId="319B6354" w14:textId="77777777" w:rsidR="00956C8E" w:rsidRDefault="00956C8E" w:rsidP="00956C8E">
      <w:pPr>
        <w:ind w:left="120" w:hangingChars="50" w:hanging="120"/>
        <w:rPr>
          <w:rFonts w:eastAsia="宋体"/>
          <w:lang w:eastAsia="zh-CN"/>
        </w:rPr>
      </w:pPr>
      <w:r>
        <w:rPr>
          <w:noProof/>
        </w:rPr>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宋体"/>
          <w:lang w:eastAsia="zh-CN"/>
        </w:rPr>
      </w:pPr>
      <w:r>
        <w:rPr>
          <w:rFonts w:eastAsia="宋体" w:hint="eastAsia"/>
          <w:lang w:eastAsia="zh-CN"/>
        </w:rPr>
        <w:lastRenderedPageBreak/>
        <w:t xml:space="preserve"> </w:t>
      </w:r>
      <w:r>
        <w:rPr>
          <w:rFonts w:eastAsia="宋体"/>
          <w:lang w:eastAsia="zh-CN"/>
        </w:rPr>
        <w:t xml:space="preserve">                                                                            (b)</w:t>
      </w:r>
    </w:p>
    <w:p w14:paraId="3F04E2C7" w14:textId="77777777" w:rsidR="00956C8E" w:rsidRDefault="00956C8E" w:rsidP="00956C8E">
      <w:pPr>
        <w:ind w:left="120" w:hangingChars="50" w:hanging="120"/>
        <w:rPr>
          <w:rFonts w:eastAsia="宋体"/>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宋体"/>
          <w:lang w:eastAsia="zh-CN"/>
        </w:rPr>
      </w:pPr>
      <w:r>
        <w:rPr>
          <w:rFonts w:eastAsia="宋体" w:hint="eastAsia"/>
          <w:lang w:eastAsia="zh-CN"/>
        </w:rPr>
        <w:t xml:space="preserve"> </w:t>
      </w:r>
      <w:r>
        <w:rPr>
          <w:rFonts w:eastAsia="宋体"/>
          <w:lang w:eastAsia="zh-CN"/>
        </w:rPr>
        <w:t xml:space="preserve">                                                        (c)                                                                           (d)  </w:t>
      </w:r>
    </w:p>
    <w:p w14:paraId="035C716F" w14:textId="77777777"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0C784FFF" w14:textId="77777777" w:rsidR="00956C8E" w:rsidRDefault="00956C8E" w:rsidP="00956C8E">
      <w:r>
        <w:t>Our method is implemented as a web-based interactive visual analysis tool as shown in Figure 1. Data processing procedures were realized in python aided by the ‘umap’ package for dimensionality reduction, the ‘scipy’ package for RBF interpolation, and the ‘colour’ package for color space transformations, Visualization and user interactions were realized in JavaScript aided by the D3 package, and the communication between python and JavaScript components is achieved using the ‘eel’ package.</w:t>
      </w:r>
    </w:p>
    <w:p w14:paraId="39EB344B" w14:textId="77777777" w:rsidR="00956C8E" w:rsidRPr="00956C8E" w:rsidRDefault="00956C8E">
      <w:pPr>
        <w:rPr>
          <w:rFonts w:eastAsia="宋体"/>
          <w:lang w:eastAsia="zh-CN"/>
        </w:rPr>
      </w:pPr>
    </w:p>
    <w:p w14:paraId="682D0EA7" w14:textId="77777777" w:rsidR="00065FDF" w:rsidRDefault="007C3805">
      <w:pPr>
        <w:pStyle w:val="2"/>
      </w:pPr>
      <w:bookmarkStart w:id="20" w:name="Results"/>
      <w:bookmarkStart w:id="21" w:name="_Results_1"/>
      <w:bookmarkEnd w:id="20"/>
      <w:bookmarkEnd w:id="21"/>
      <w:r>
        <w:t>Results</w:t>
      </w:r>
    </w:p>
    <w:p w14:paraId="01E331E4" w14:textId="77777777" w:rsidR="00065FDF" w:rsidRDefault="007C3805">
      <w:pPr>
        <w:pStyle w:val="3"/>
      </w:pPr>
      <w:r>
        <w:t>Use Cases</w:t>
      </w:r>
    </w:p>
    <w:p w14:paraId="03FDB8A5" w14:textId="77777777" w:rsidR="00065FDF" w:rsidRDefault="007C3805">
      <w:r>
        <w:t>Our TCM expert analyzed two groups of typical medicine formulas: namely, tonic prescriptions and heat-clearing prescriptions with our interactive visual analysis tool.</w:t>
      </w:r>
    </w:p>
    <w:p w14:paraId="37A149FE" w14:textId="7B1BD209" w:rsidR="00065FDF" w:rsidRDefault="007C3805">
      <w:r>
        <w:t>The TCM expert started the analysis by looking at the overall distributions of medicines and used her knowledge to assign representative medicines for each medicine category listed in Figure 6. The resulting continuous 2D colormaps show that the center of the attribute space of tonic prescriptions is red (Figure 7(a)), while heat-clearing prescriptions have the center of its space as green and black (Figure 7(b)). These indicate the different properties of tonic and heat-clearing prescriptions, and are inline with the related TCM concepts.</w:t>
      </w:r>
    </w:p>
    <w:p w14:paraId="7555ABC9" w14:textId="77777777" w:rsidR="00225059" w:rsidRDefault="00225059"/>
    <w:p w14:paraId="56599597" w14:textId="77777777" w:rsidR="00225059" w:rsidRDefault="00225059" w:rsidP="00225059">
      <w:pPr>
        <w:rPr>
          <w:rFonts w:eastAsia="宋体"/>
          <w:lang w:eastAsia="zh-CN"/>
        </w:rPr>
      </w:pPr>
      <w:r>
        <w:rPr>
          <w:rFonts w:eastAsia="宋体" w:hint="eastAsia"/>
          <w:noProof/>
          <w:lang w:eastAsia="zh-CN"/>
        </w:rPr>
        <w:lastRenderedPageBreak/>
        <w:drawing>
          <wp:inline distT="0" distB="0" distL="114300" distR="114300" wp14:anchorId="562765B4" wp14:editId="40759D2E">
            <wp:extent cx="5470525" cy="1816100"/>
            <wp:effectExtent l="0" t="0" r="3175" b="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83"/>
                    <a:stretch>
                      <a:fillRect/>
                    </a:stretch>
                  </pic:blipFill>
                  <pic:spPr>
                    <a:xfrm>
                      <a:off x="0" y="0"/>
                      <a:ext cx="5470525" cy="1816100"/>
                    </a:xfrm>
                    <a:prstGeom prst="rect">
                      <a:avLst/>
                    </a:prstGeom>
                  </pic:spPr>
                </pic:pic>
              </a:graphicData>
            </a:graphic>
          </wp:inline>
        </w:drawing>
      </w:r>
    </w:p>
    <w:p w14:paraId="45CCA01D" w14:textId="77777777" w:rsidR="00225059" w:rsidRDefault="00225059" w:rsidP="00225059">
      <w:r>
        <w:t xml:space="preserve">Fig. 1: </w:t>
      </w:r>
      <w:bookmarkStart w:id="22" w:name="_bookmark0"/>
      <w:bookmarkEnd w:id="22"/>
      <w:r>
        <w:t>The web-based tool of our visual analysis method for traditional Chinese herbal medicine formulas. Different aspects of</w:t>
      </w:r>
      <w:r>
        <w:rPr>
          <w:spacing w:val="1"/>
        </w:rPr>
        <w:t xml:space="preserve"> </w:t>
      </w:r>
      <w:r>
        <w:t>herbal</w:t>
      </w:r>
      <w:r>
        <w:rPr>
          <w:spacing w:val="-8"/>
        </w:rPr>
        <w:t xml:space="preserve"> </w:t>
      </w:r>
      <w:r>
        <w:t>medicine</w:t>
      </w:r>
      <w:r>
        <w:rPr>
          <w:spacing w:val="-9"/>
        </w:rPr>
        <w:t xml:space="preserve"> </w:t>
      </w:r>
      <w:r>
        <w:t>formulas</w:t>
      </w:r>
      <w:r>
        <w:rPr>
          <w:spacing w:val="-7"/>
        </w:rPr>
        <w:t xml:space="preserve"> </w:t>
      </w:r>
      <w:r>
        <w:t>are</w:t>
      </w:r>
      <w:r>
        <w:rPr>
          <w:spacing w:val="-8"/>
        </w:rPr>
        <w:t xml:space="preserve"> </w:t>
      </w:r>
      <w:r>
        <w:t>visualized</w:t>
      </w:r>
      <w:r>
        <w:rPr>
          <w:spacing w:val="-8"/>
        </w:rPr>
        <w:t xml:space="preserve"> </w:t>
      </w:r>
      <w:r>
        <w:t>with</w:t>
      </w:r>
      <w:r>
        <w:rPr>
          <w:spacing w:val="-8"/>
        </w:rPr>
        <w:t xml:space="preserve"> </w:t>
      </w:r>
      <w:r>
        <w:t>two</w:t>
      </w:r>
      <w:r>
        <w:rPr>
          <w:spacing w:val="-8"/>
        </w:rPr>
        <w:t xml:space="preserve"> </w:t>
      </w:r>
      <w:r>
        <w:t>linked</w:t>
      </w:r>
      <w:r>
        <w:rPr>
          <w:spacing w:val="-7"/>
        </w:rPr>
        <w:t xml:space="preserve"> </w:t>
      </w:r>
      <w:r>
        <w:t>views: the</w:t>
      </w:r>
      <w:r>
        <w:rPr>
          <w:spacing w:val="-7"/>
        </w:rPr>
        <w:t xml:space="preserve"> </w:t>
      </w:r>
      <w:r>
        <w:t>medicine</w:t>
      </w:r>
      <w:r>
        <w:rPr>
          <w:spacing w:val="-8"/>
        </w:rPr>
        <w:t xml:space="preserve"> </w:t>
      </w:r>
      <w:r>
        <w:t>view</w:t>
      </w:r>
      <w:r>
        <w:rPr>
          <w:spacing w:val="-8"/>
        </w:rPr>
        <w:t xml:space="preserve"> </w:t>
      </w:r>
      <w:r>
        <w:t>based</w:t>
      </w:r>
      <w:r>
        <w:rPr>
          <w:spacing w:val="-7"/>
        </w:rPr>
        <w:t xml:space="preserve"> </w:t>
      </w:r>
      <w:r>
        <w:t>on</w:t>
      </w:r>
      <w:r>
        <w:rPr>
          <w:spacing w:val="-8"/>
        </w:rPr>
        <w:t xml:space="preserve"> </w:t>
      </w:r>
      <w:r>
        <w:t>dimensionality</w:t>
      </w:r>
      <w:r>
        <w:rPr>
          <w:spacing w:val="-7"/>
        </w:rPr>
        <w:t xml:space="preserve"> </w:t>
      </w:r>
      <w:r>
        <w:t>reduction</w:t>
      </w:r>
      <w:r>
        <w:rPr>
          <w:spacing w:val="-8"/>
        </w:rPr>
        <w:t xml:space="preserve"> </w:t>
      </w:r>
      <w:r>
        <w:t>(left)</w:t>
      </w:r>
      <w:r>
        <w:rPr>
          <w:spacing w:val="-8"/>
        </w:rPr>
        <w:t xml:space="preserve"> </w:t>
      </w:r>
      <w:r>
        <w:t>and</w:t>
      </w:r>
      <w:r>
        <w:rPr>
          <w:spacing w:val="-8"/>
        </w:rPr>
        <w:t xml:space="preserve"> </w:t>
      </w:r>
      <w:r>
        <w:t>the</w:t>
      </w:r>
      <w:r>
        <w:rPr>
          <w:spacing w:val="-43"/>
        </w:rPr>
        <w:t xml:space="preserve"> </w:t>
      </w:r>
      <w:r>
        <w:t>formula</w:t>
      </w:r>
      <w:r>
        <w:rPr>
          <w:spacing w:val="-3"/>
        </w:rPr>
        <w:t xml:space="preserve"> </w:t>
      </w:r>
      <w:r>
        <w:t>view</w:t>
      </w:r>
      <w:r>
        <w:rPr>
          <w:spacing w:val="-2"/>
        </w:rPr>
        <w:t xml:space="preserve"> </w:t>
      </w:r>
      <w:r>
        <w:t>based</w:t>
      </w:r>
      <w:r>
        <w:rPr>
          <w:spacing w:val="-3"/>
        </w:rPr>
        <w:t xml:space="preserve"> </w:t>
      </w:r>
      <w:r>
        <w:t>on</w:t>
      </w:r>
      <w:r>
        <w:rPr>
          <w:spacing w:val="-2"/>
        </w:rPr>
        <w:t xml:space="preserve"> </w:t>
      </w:r>
      <w:r>
        <w:t>an</w:t>
      </w:r>
      <w:r>
        <w:rPr>
          <w:spacing w:val="-3"/>
        </w:rPr>
        <w:t xml:space="preserve"> </w:t>
      </w:r>
      <w:r>
        <w:t>icicle</w:t>
      </w:r>
      <w:r>
        <w:rPr>
          <w:spacing w:val="-2"/>
        </w:rPr>
        <w:t xml:space="preserve"> </w:t>
      </w:r>
      <w:r>
        <w:t>plot</w:t>
      </w:r>
      <w:r>
        <w:rPr>
          <w:spacing w:val="-3"/>
        </w:rPr>
        <w:t xml:space="preserve"> </w:t>
      </w:r>
      <w:r>
        <w:t>with</w:t>
      </w:r>
      <w:r>
        <w:rPr>
          <w:spacing w:val="-2"/>
        </w:rPr>
        <w:t xml:space="preserve"> </w:t>
      </w:r>
      <w:r>
        <w:t>similarity-based</w:t>
      </w:r>
      <w:r>
        <w:rPr>
          <w:spacing w:val="-3"/>
        </w:rPr>
        <w:t xml:space="preserve"> </w:t>
      </w:r>
      <w:r>
        <w:t>tree</w:t>
      </w:r>
      <w:r>
        <w:rPr>
          <w:spacing w:val="-2"/>
        </w:rPr>
        <w:t xml:space="preserve"> </w:t>
      </w:r>
      <w:r>
        <w:t>layout</w:t>
      </w:r>
      <w:r>
        <w:rPr>
          <w:spacing w:val="-3"/>
        </w:rPr>
        <w:t xml:space="preserve"> </w:t>
      </w:r>
      <w:r>
        <w:t>(right).</w:t>
      </w:r>
      <w:r>
        <w:rPr>
          <w:spacing w:val="8"/>
        </w:rPr>
        <w:t xml:space="preserve"> </w:t>
      </w:r>
      <w:r>
        <w:t>Here,</w:t>
      </w:r>
      <w:r>
        <w:rPr>
          <w:spacing w:val="-2"/>
        </w:rPr>
        <w:t xml:space="preserve"> </w:t>
      </w:r>
      <w:r>
        <w:t>we</w:t>
      </w:r>
      <w:r>
        <w:rPr>
          <w:spacing w:val="-3"/>
        </w:rPr>
        <w:t xml:space="preserve"> </w:t>
      </w:r>
      <w:r>
        <w:t>show</w:t>
      </w:r>
      <w:r>
        <w:rPr>
          <w:spacing w:val="-2"/>
        </w:rPr>
        <w:t xml:space="preserve"> </w:t>
      </w:r>
      <w:r>
        <w:t>a</w:t>
      </w:r>
      <w:r>
        <w:rPr>
          <w:spacing w:val="-3"/>
        </w:rPr>
        <w:t xml:space="preserve"> </w:t>
      </w:r>
      <w:r>
        <w:t>use</w:t>
      </w:r>
      <w:r>
        <w:rPr>
          <w:spacing w:val="-2"/>
        </w:rPr>
        <w:t xml:space="preserve"> </w:t>
      </w:r>
      <w:r>
        <w:t>case</w:t>
      </w:r>
      <w:r>
        <w:rPr>
          <w:spacing w:val="-2"/>
        </w:rPr>
        <w:t xml:space="preserve"> </w:t>
      </w:r>
      <w:r>
        <w:t>of</w:t>
      </w:r>
      <w:r>
        <w:rPr>
          <w:spacing w:val="-3"/>
        </w:rPr>
        <w:t xml:space="preserve"> </w:t>
      </w:r>
      <w:r>
        <w:t>tonic</w:t>
      </w:r>
      <w:r>
        <w:rPr>
          <w:spacing w:val="-2"/>
        </w:rPr>
        <w:t xml:space="preserve"> </w:t>
      </w:r>
      <w:r>
        <w:t>prescriptions.</w:t>
      </w:r>
    </w:p>
    <w:p w14:paraId="0D096B54" w14:textId="77777777" w:rsidR="00B75963" w:rsidRDefault="00B75963"/>
    <w:p w14:paraId="41A05AA6" w14:textId="77777777" w:rsidR="00065FDF" w:rsidRDefault="007C3805">
      <w:r>
        <w:t>In the icicle plot of tonic prescriptions (Figure 1(right)), it is easily seen that that two adjacent columns are similar: the Bazhentang (</w:t>
      </w:r>
      <w:r>
        <w:rPr>
          <w:rFonts w:hint="eastAsia"/>
        </w:rPr>
        <w:t>八珍</w:t>
      </w:r>
      <w:r>
        <w:rPr>
          <w:rFonts w:ascii="微软雅黑" w:eastAsia="微软雅黑" w:hAnsi="微软雅黑" w:cs="微软雅黑" w:hint="eastAsia"/>
        </w:rPr>
        <w:t>汤</w:t>
      </w:r>
      <w:r>
        <w:t>) contains the Sijunzitang (</w:t>
      </w:r>
      <w:r>
        <w:rPr>
          <w:rFonts w:hint="eastAsia"/>
        </w:rPr>
        <w:t>四君子</w:t>
      </w:r>
      <w:r>
        <w:rPr>
          <w:rFonts w:ascii="微软雅黑" w:eastAsia="微软雅黑" w:hAnsi="微软雅黑" w:cs="微软雅黑" w:hint="eastAsia"/>
        </w:rPr>
        <w:t>汤</w:t>
      </w:r>
      <w:r>
        <w:t>) as highlighted in the yellow box. The TCM expert then analyzed the difference between these two formulas. She used the lasso tool in the medicine view to select four other medicines in Bazhentang as shown in Figure 1(left). The text below the scatterplot shows that formulas containing these medicines are Bazhentang and Siwutang (</w:t>
      </w:r>
      <w:r>
        <w:rPr>
          <w:rFonts w:hint="eastAsia"/>
        </w:rPr>
        <w:t>四物</w:t>
      </w:r>
      <w:r>
        <w:rPr>
          <w:rFonts w:ascii="微软雅黑" w:eastAsia="微软雅黑" w:hAnsi="微软雅黑" w:cs="微软雅黑" w:hint="eastAsia"/>
        </w:rPr>
        <w:t>汤</w:t>
      </w:r>
      <w:r>
        <w:t>). These two formulas are selected with red dashed lines and the selected medicines are highlighted with blue solid lines in the formula view (Figure 1(right)). A close examination shows that the lasso selected medicines form Siwutang. Moreover, Bazhentang is the combination of Sijunzitang and Siwutang.</w:t>
      </w:r>
    </w:p>
    <w:p w14:paraId="3FC26480" w14:textId="77777777" w:rsidR="00065FDF" w:rsidRDefault="007C3805">
      <w:r>
        <w:rPr>
          <w:rFonts w:hint="eastAsia"/>
        </w:rPr>
        <w:t>The analysis of heat-clearing prescriptions is shown in Figure 9. The TCM expert was interested in Sanhuang (</w:t>
      </w:r>
      <w:r>
        <w:rPr>
          <w:rFonts w:hint="eastAsia"/>
        </w:rPr>
        <w:t>三黄</w:t>
      </w:r>
      <w:r>
        <w:rPr>
          <w:rFonts w:hint="eastAsia"/>
        </w:rPr>
        <w:t>): Huanglian (</w:t>
      </w:r>
      <w:r>
        <w:rPr>
          <w:rFonts w:hint="eastAsia"/>
        </w:rPr>
        <w:t>黄</w:t>
      </w:r>
      <w:r>
        <w:rPr>
          <w:rFonts w:ascii="微软雅黑" w:eastAsia="微软雅黑" w:hAnsi="微软雅黑" w:cs="微软雅黑" w:hint="eastAsia"/>
        </w:rPr>
        <w:t>连</w:t>
      </w:r>
      <w:r>
        <w:t>), Huangqin (</w:t>
      </w:r>
      <w:r>
        <w:rPr>
          <w:rFonts w:hint="eastAsia"/>
        </w:rPr>
        <w:t>黄芩</w:t>
      </w:r>
      <w:r>
        <w:t>) and Huangbo (</w:t>
      </w:r>
      <w:r>
        <w:rPr>
          <w:rFonts w:hint="eastAsia"/>
        </w:rPr>
        <w:t>黄柏</w:t>
      </w:r>
      <w:r>
        <w:t>), which is a commonly</w:t>
      </w:r>
      <w:r>
        <w:rPr>
          <w:rFonts w:eastAsia="宋体" w:hint="eastAsia"/>
          <w:lang w:eastAsia="zh-CN"/>
        </w:rPr>
        <w:t xml:space="preserve"> </w:t>
      </w:r>
      <w:r>
        <w:t>used medicine combination for clearing heat and detoxification in TCM. The three medicines are relatively close in the medicine view (Figure 9(left)), and the expert used a lasso to select them. Both Huanglian-jiedutang (</w:t>
      </w:r>
      <w:r>
        <w:rPr>
          <w:rFonts w:hint="eastAsia"/>
        </w:rPr>
        <w:t>黄</w:t>
      </w:r>
      <w:r>
        <w:rPr>
          <w:rFonts w:ascii="微软雅黑" w:eastAsia="微软雅黑" w:hAnsi="微软雅黑" w:cs="微软雅黑" w:hint="eastAsia"/>
        </w:rPr>
        <w:t>连</w:t>
      </w:r>
      <w:r>
        <w:rPr>
          <w:rFonts w:ascii="MS Mincho" w:eastAsia="MS Mincho" w:hAnsi="MS Mincho" w:cs="MS Mincho" w:hint="eastAsia"/>
        </w:rPr>
        <w:t>解毒</w:t>
      </w:r>
      <w:r>
        <w:rPr>
          <w:rFonts w:ascii="微软雅黑" w:eastAsia="微软雅黑" w:hAnsi="微软雅黑" w:cs="微软雅黑" w:hint="eastAsia"/>
        </w:rPr>
        <w:t>汤</w:t>
      </w:r>
      <w:r>
        <w:t>) and Danggui-liuhuangtang (</w:t>
      </w:r>
      <w:r>
        <w:rPr>
          <w:rFonts w:hint="eastAsia"/>
        </w:rPr>
        <w:t>当</w:t>
      </w:r>
      <w:r>
        <w:rPr>
          <w:rFonts w:ascii="微软雅黑" w:eastAsia="微软雅黑" w:hAnsi="微软雅黑" w:cs="微软雅黑" w:hint="eastAsia"/>
        </w:rPr>
        <w:t>归</w:t>
      </w:r>
      <w:r>
        <w:rPr>
          <w:rFonts w:ascii="MS Mincho" w:eastAsia="MS Mincho" w:hAnsi="MS Mincho" w:cs="MS Mincho" w:hint="eastAsia"/>
        </w:rPr>
        <w:t>六黄</w:t>
      </w:r>
      <w:r>
        <w:rPr>
          <w:rFonts w:ascii="微软雅黑" w:eastAsia="微软雅黑" w:hAnsi="微软雅黑" w:cs="微软雅黑" w:hint="eastAsia"/>
        </w:rPr>
        <w:t>汤</w:t>
      </w:r>
      <w:r>
        <w:t>) contain Sanhuang as suggested by the text below. The expert further examined the formula view (Figure 9(right)) where these two formulas were highlighted. According to the medicine attributes, the function of Huanglian-jiedutang is to clear heat and detoxify. While the composition of Danggui-liuhuangtang contains tonic medicines, meaning that in addition to clearing heat and detoxification, it also has the effect of nourishing Yin (</w:t>
      </w:r>
      <w:r>
        <w:rPr>
          <w:rFonts w:hint="eastAsia"/>
        </w:rPr>
        <w:t>滋阴</w:t>
      </w:r>
      <w:r>
        <w:t>).</w:t>
      </w:r>
    </w:p>
    <w:p w14:paraId="1F96664F" w14:textId="77777777" w:rsidR="00065FDF" w:rsidRDefault="00065FDF"/>
    <w:p w14:paraId="67DF9613" w14:textId="77777777" w:rsidR="00065FDF" w:rsidRDefault="007C3805">
      <w:r>
        <w:rPr>
          <w:noProof/>
        </w:rPr>
        <w:lastRenderedPageBreak/>
        <w:drawing>
          <wp:inline distT="0" distB="0" distL="0" distR="0" wp14:anchorId="7F3A15D8" wp14:editId="726500A4">
            <wp:extent cx="5486400" cy="19735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486400" cy="1973580"/>
                    </a:xfrm>
                    <a:prstGeom prst="rect">
                      <a:avLst/>
                    </a:prstGeom>
                    <a:noFill/>
                    <a:ln>
                      <a:noFill/>
                    </a:ln>
                  </pic:spPr>
                </pic:pic>
              </a:graphicData>
            </a:graphic>
          </wp:inline>
        </w:drawing>
      </w:r>
    </w:p>
    <w:p w14:paraId="078D4BA5" w14:textId="77777777" w:rsidR="00065FDF" w:rsidRDefault="007C3805">
      <w:pPr>
        <w:jc w:val="center"/>
      </w:pPr>
      <w:r>
        <w:t>Fig. 9: The analysis of heat-clearing prescriptions with our method.</w:t>
      </w:r>
    </w:p>
    <w:p w14:paraId="529BAC44" w14:textId="77777777" w:rsidR="00065FDF" w:rsidRDefault="007C3805">
      <w:r>
        <w:t>The expert also made positive comments on the coloring of medicines. For example, Danggui (</w:t>
      </w:r>
      <w:r>
        <w:rPr>
          <w:rFonts w:hint="eastAsia"/>
        </w:rPr>
        <w:t>当</w:t>
      </w:r>
      <w:r>
        <w:rPr>
          <w:rFonts w:ascii="微软雅黑" w:eastAsia="微软雅黑" w:hAnsi="微软雅黑" w:cs="微软雅黑" w:hint="eastAsia"/>
        </w:rPr>
        <w:t>归</w:t>
      </w:r>
      <w:r>
        <w:t>) is a blood tonic medicine and corresponds to red. On the other hand, Shigao (</w:t>
      </w:r>
      <w:r>
        <w:rPr>
          <w:rFonts w:hint="eastAsia"/>
        </w:rPr>
        <w:t>石膏</w:t>
      </w:r>
      <w:r>
        <w:t>) works on lungs, and is colored white.</w:t>
      </w:r>
    </w:p>
    <w:p w14:paraId="392C96CD" w14:textId="4E54CC06" w:rsidR="00065FDF" w:rsidRDefault="007C3805">
      <w:r>
        <w:t>Overall, the expert thinks that our method is able to clearly disassemble complex prescriptions and assist the memorization of their functionalities. The interactive visual analysis process is new to TCM students and experts and is helpful for enhancing their understanding of formulas composition theories by making and testing their own hypothesis. The color encoding of medicines allows TCM students and beginners to understand the effect of medicines more intuitively and facilitates the memorization. Moreover, the expert suggests that our method can be extended to a new medical formula design tool.</w:t>
      </w:r>
    </w:p>
    <w:p w14:paraId="2623EF21" w14:textId="4B997C83" w:rsidR="00F86BCC" w:rsidRDefault="00F86BCC"/>
    <w:p w14:paraId="75E75366" w14:textId="3E6A1FFA" w:rsidR="00F86BCC" w:rsidRDefault="00F86BCC" w:rsidP="00F86BCC">
      <w:pPr>
        <w:pStyle w:val="3"/>
      </w:pPr>
      <w:r>
        <w:t>TCM Expert Feedback</w:t>
      </w:r>
    </w:p>
    <w:p w14:paraId="5A4A77EB" w14:textId="77777777" w:rsidR="00F86BCC" w:rsidRDefault="00F86BCC"/>
    <w:p w14:paraId="7EA2181A" w14:textId="77777777" w:rsidR="00065FDF" w:rsidRDefault="007C3805">
      <w:pPr>
        <w:pStyle w:val="3"/>
      </w:pPr>
      <w:r>
        <w:t>User Statistics</w:t>
      </w:r>
    </w:p>
    <w:p w14:paraId="2B839149" w14:textId="77777777" w:rsidR="00065FDF" w:rsidRDefault="007C3805">
      <w:r>
        <w:t>These are only examples of possible headings. Please feel free to use different headings to best describe your results.</w:t>
      </w:r>
    </w:p>
    <w:p w14:paraId="71697076" w14:textId="77777777" w:rsidR="00065FDF" w:rsidRDefault="00065FDF"/>
    <w:p w14:paraId="750C61FD" w14:textId="77777777" w:rsidR="00065FDF" w:rsidRDefault="007C3805">
      <w:pPr>
        <w:pStyle w:val="3"/>
      </w:pPr>
      <w:r>
        <w:t>Evaluation Outcomes</w:t>
      </w:r>
    </w:p>
    <w:p w14:paraId="77182250" w14:textId="77777777" w:rsidR="00065FDF" w:rsidRDefault="007C3805">
      <w:bookmarkStart w:id="23" w:name="Other"/>
      <w:bookmarkEnd w:id="23"/>
      <w:r>
        <w:t>Please make reference to your Textboxes (Textbox 1), Tables (Table 1), Figures (Figure 1), and Multimedia Appendices (Multimedia Appendix 1) in parenthesis. Please see the examples below for how they should be formatted. Please note the punctuation used in all components, including the caption/title, footnotes etc.</w:t>
      </w:r>
    </w:p>
    <w:p w14:paraId="73E95D8E" w14:textId="77777777" w:rsidR="00065FDF" w:rsidRDefault="00065FDF"/>
    <w:p w14:paraId="5AB71296" w14:textId="77777777" w:rsidR="00065FDF" w:rsidRDefault="007C3805">
      <w:r>
        <w:t xml:space="preserve">Figures and Multimedia Appendices are uploaded online, while Textboxes and Tables are not uploaded and remain in the body of the manuscript, appearing in the order they are mentioned after the first mention of each Table. </w:t>
      </w:r>
    </w:p>
    <w:p w14:paraId="3C50E407" w14:textId="77777777" w:rsidR="00065FDF" w:rsidRDefault="00065FDF"/>
    <w:p w14:paraId="0648AABA" w14:textId="77777777" w:rsidR="00065FDF" w:rsidRDefault="007C3805">
      <w:bookmarkStart w:id="24" w:name="Textbox"/>
      <w:bookmarkEnd w:id="24"/>
      <w:r>
        <w:t>Textbox 1.  The caption/title is placed here in a sentence format (capitalization of every word is unnecessary).</w:t>
      </w:r>
    </w:p>
    <w:tbl>
      <w:tblPr>
        <w:tblStyle w:val="af1"/>
        <w:tblW w:w="0" w:type="auto"/>
        <w:tblLook w:val="04A0" w:firstRow="1" w:lastRow="0" w:firstColumn="1" w:lastColumn="0" w:noHBand="0" w:noVBand="1"/>
      </w:tblPr>
      <w:tblGrid>
        <w:gridCol w:w="8630"/>
      </w:tblGrid>
      <w:tr w:rsidR="00065FDF" w14:paraId="48A21296" w14:textId="77777777">
        <w:tc>
          <w:tcPr>
            <w:tcW w:w="8856" w:type="dxa"/>
          </w:tcPr>
          <w:p w14:paraId="2CCA4E4E" w14:textId="77777777" w:rsidR="00065FDF" w:rsidRDefault="007C3805">
            <w:pPr>
              <w:pStyle w:val="af7"/>
              <w:numPr>
                <w:ilvl w:val="0"/>
                <w:numId w:val="4"/>
              </w:numPr>
              <w:ind w:left="426"/>
            </w:pPr>
            <w:r>
              <w:t>The formatting is actually a 1x1 Table, not an actual “textbox”.</w:t>
            </w:r>
          </w:p>
          <w:p w14:paraId="682ACAAB" w14:textId="77777777" w:rsidR="00065FDF" w:rsidRDefault="007C3805">
            <w:pPr>
              <w:pStyle w:val="af7"/>
              <w:numPr>
                <w:ilvl w:val="0"/>
                <w:numId w:val="4"/>
              </w:numPr>
              <w:ind w:left="426"/>
            </w:pPr>
            <w:r>
              <w:lastRenderedPageBreak/>
              <w:t>Textboxes have no footnotes.</w:t>
            </w:r>
          </w:p>
          <w:p w14:paraId="4CADF523" w14:textId="77777777" w:rsidR="00065FDF" w:rsidRDefault="007C3805">
            <w:pPr>
              <w:pStyle w:val="af7"/>
              <w:numPr>
                <w:ilvl w:val="0"/>
                <w:numId w:val="4"/>
              </w:numPr>
              <w:ind w:left="426"/>
            </w:pPr>
            <w:r>
              <w:t xml:space="preserve"> Bullet points or numbered lists are allowed in textboxes.</w:t>
            </w:r>
          </w:p>
        </w:tc>
      </w:tr>
    </w:tbl>
    <w:p w14:paraId="0CAFDA4A" w14:textId="77777777" w:rsidR="00065FDF" w:rsidRDefault="00065FDF"/>
    <w:p w14:paraId="5155FB89" w14:textId="77777777" w:rsidR="00065FDF" w:rsidRDefault="00065FDF"/>
    <w:p w14:paraId="6A9F8884" w14:textId="77777777" w:rsidR="00065FDF" w:rsidRDefault="007C3805">
      <w:pPr>
        <w:rPr>
          <w:vertAlign w:val="superscript"/>
        </w:rPr>
      </w:pPr>
      <w:bookmarkStart w:id="25" w:name="Table"/>
      <w:bookmarkEnd w:id="25"/>
      <w:commentRangeStart w:id="26"/>
      <w:r>
        <w:t>Table 1.</w:t>
      </w:r>
      <w:commentRangeEnd w:id="26"/>
      <w:r>
        <w:rPr>
          <w:rStyle w:val="af5"/>
        </w:rPr>
        <w:commentReference w:id="26"/>
      </w:r>
      <w:r>
        <w:t xml:space="preserve"> The table caption/title is placed here in a sentence format (capitalization of every word is unnecessary).</w:t>
      </w:r>
      <w:r>
        <w:rPr>
          <w:vertAlign w:val="superscript"/>
        </w:rPr>
        <w:t>a-e</w:t>
      </w:r>
    </w:p>
    <w:tbl>
      <w:tblPr>
        <w:tblStyle w:val="af1"/>
        <w:tblW w:w="0" w:type="auto"/>
        <w:tblLook w:val="04A0" w:firstRow="1" w:lastRow="0" w:firstColumn="1" w:lastColumn="0" w:noHBand="0" w:noVBand="1"/>
      </w:tblPr>
      <w:tblGrid>
        <w:gridCol w:w="2192"/>
        <w:gridCol w:w="2145"/>
        <w:gridCol w:w="2145"/>
        <w:gridCol w:w="2148"/>
      </w:tblGrid>
      <w:tr w:rsidR="00065FDF" w14:paraId="3F31D6CD" w14:textId="77777777">
        <w:tc>
          <w:tcPr>
            <w:tcW w:w="2214" w:type="dxa"/>
          </w:tcPr>
          <w:p w14:paraId="458F972B" w14:textId="77777777" w:rsidR="00065FDF" w:rsidRDefault="00065FDF"/>
        </w:tc>
        <w:tc>
          <w:tcPr>
            <w:tcW w:w="2214" w:type="dxa"/>
          </w:tcPr>
          <w:p w14:paraId="30A718C0" w14:textId="77777777" w:rsidR="00065FDF" w:rsidRDefault="007C3805">
            <w:r>
              <w:t>Main heading 1</w:t>
            </w:r>
          </w:p>
        </w:tc>
        <w:tc>
          <w:tcPr>
            <w:tcW w:w="2214" w:type="dxa"/>
          </w:tcPr>
          <w:p w14:paraId="156D4635" w14:textId="77777777" w:rsidR="00065FDF" w:rsidRDefault="007C3805">
            <w:r>
              <w:t>Main heading 1</w:t>
            </w:r>
          </w:p>
        </w:tc>
        <w:tc>
          <w:tcPr>
            <w:tcW w:w="2214" w:type="dxa"/>
          </w:tcPr>
          <w:p w14:paraId="1C2B2B89" w14:textId="77777777" w:rsidR="00065FDF" w:rsidRDefault="007C3805">
            <w:r>
              <w:t>Main heading 1</w:t>
            </w:r>
          </w:p>
        </w:tc>
      </w:tr>
      <w:tr w:rsidR="00065FDF" w14:paraId="57091DB5" w14:textId="77777777">
        <w:tc>
          <w:tcPr>
            <w:tcW w:w="2214" w:type="dxa"/>
          </w:tcPr>
          <w:p w14:paraId="760A3A81" w14:textId="77777777" w:rsidR="00065FDF" w:rsidRDefault="00065FDF"/>
        </w:tc>
        <w:tc>
          <w:tcPr>
            <w:tcW w:w="2214" w:type="dxa"/>
          </w:tcPr>
          <w:p w14:paraId="0173645F" w14:textId="77777777" w:rsidR="00065FDF" w:rsidRDefault="007C3805">
            <w:r>
              <w:t>Main heading 2</w:t>
            </w:r>
          </w:p>
        </w:tc>
        <w:tc>
          <w:tcPr>
            <w:tcW w:w="2214" w:type="dxa"/>
          </w:tcPr>
          <w:p w14:paraId="42DE4D94" w14:textId="77777777" w:rsidR="00065FDF" w:rsidRDefault="007C3805">
            <w:r>
              <w:t>Main heading 2</w:t>
            </w:r>
          </w:p>
        </w:tc>
        <w:tc>
          <w:tcPr>
            <w:tcW w:w="2214" w:type="dxa"/>
          </w:tcPr>
          <w:p w14:paraId="65530207" w14:textId="77777777" w:rsidR="00065FDF" w:rsidRDefault="007C3805">
            <w:commentRangeStart w:id="27"/>
            <w:r>
              <w:t>Main heading 2</w:t>
            </w:r>
            <w:commentRangeEnd w:id="27"/>
            <w:r>
              <w:rPr>
                <w:rStyle w:val="af5"/>
              </w:rPr>
              <w:commentReference w:id="27"/>
            </w:r>
          </w:p>
        </w:tc>
      </w:tr>
      <w:tr w:rsidR="00065FDF" w14:paraId="26C02C76" w14:textId="77777777">
        <w:tc>
          <w:tcPr>
            <w:tcW w:w="2214" w:type="dxa"/>
          </w:tcPr>
          <w:p w14:paraId="13C593C1" w14:textId="77777777" w:rsidR="00065FDF" w:rsidRDefault="00065FDF">
            <w:commentRangeStart w:id="28"/>
          </w:p>
        </w:tc>
        <w:tc>
          <w:tcPr>
            <w:tcW w:w="2214" w:type="dxa"/>
          </w:tcPr>
          <w:p w14:paraId="1DC21547" w14:textId="77777777" w:rsidR="00065FDF" w:rsidRDefault="00065FDF"/>
        </w:tc>
        <w:tc>
          <w:tcPr>
            <w:tcW w:w="2214" w:type="dxa"/>
          </w:tcPr>
          <w:p w14:paraId="39B7072E" w14:textId="77777777" w:rsidR="00065FDF" w:rsidRDefault="00065FDF"/>
          <w:commentRangeEnd w:id="28"/>
          <w:p w14:paraId="3D9B4701" w14:textId="77777777" w:rsidR="00065FDF" w:rsidRDefault="007C3805">
            <w:r>
              <w:rPr>
                <w:rStyle w:val="af5"/>
              </w:rPr>
              <w:commentReference w:id="28"/>
            </w:r>
          </w:p>
        </w:tc>
        <w:tc>
          <w:tcPr>
            <w:tcW w:w="2214" w:type="dxa"/>
          </w:tcPr>
          <w:p w14:paraId="55E7554C" w14:textId="77777777" w:rsidR="00065FDF" w:rsidRDefault="00065FDF"/>
        </w:tc>
      </w:tr>
      <w:tr w:rsidR="00065FDF" w14:paraId="6B3ACE5B" w14:textId="77777777">
        <w:tc>
          <w:tcPr>
            <w:tcW w:w="2214" w:type="dxa"/>
          </w:tcPr>
          <w:p w14:paraId="35767B44" w14:textId="77777777" w:rsidR="00065FDF" w:rsidRDefault="007C3805">
            <w:pPr>
              <w:rPr>
                <w:b/>
              </w:rPr>
            </w:pPr>
            <w:commentRangeStart w:id="29"/>
            <w:r>
              <w:rPr>
                <w:b/>
              </w:rPr>
              <w:t>Subheading</w:t>
            </w:r>
            <w:commentRangeEnd w:id="29"/>
            <w:r>
              <w:rPr>
                <w:rStyle w:val="af5"/>
              </w:rPr>
              <w:commentReference w:id="29"/>
            </w:r>
          </w:p>
        </w:tc>
        <w:tc>
          <w:tcPr>
            <w:tcW w:w="2214" w:type="dxa"/>
          </w:tcPr>
          <w:p w14:paraId="153F41C4" w14:textId="77777777" w:rsidR="00065FDF" w:rsidRDefault="00065FDF"/>
        </w:tc>
        <w:tc>
          <w:tcPr>
            <w:tcW w:w="2214" w:type="dxa"/>
          </w:tcPr>
          <w:p w14:paraId="36CAC196" w14:textId="77777777" w:rsidR="00065FDF" w:rsidRDefault="00065FDF"/>
        </w:tc>
        <w:tc>
          <w:tcPr>
            <w:tcW w:w="2214" w:type="dxa"/>
          </w:tcPr>
          <w:p w14:paraId="1B7178FA" w14:textId="77777777" w:rsidR="00065FDF" w:rsidRDefault="00065FDF"/>
        </w:tc>
      </w:tr>
      <w:tr w:rsidR="00065FDF" w14:paraId="16F9952B" w14:textId="77777777">
        <w:tc>
          <w:tcPr>
            <w:tcW w:w="2214" w:type="dxa"/>
          </w:tcPr>
          <w:p w14:paraId="4A0B7A76" w14:textId="77777777" w:rsidR="00065FDF" w:rsidRDefault="007C3805">
            <w:commentRangeStart w:id="30"/>
            <w:r>
              <w:t>(leave blank)</w:t>
            </w:r>
            <w:commentRangeEnd w:id="30"/>
            <w:r>
              <w:rPr>
                <w:rStyle w:val="af5"/>
              </w:rPr>
              <w:commentReference w:id="30"/>
            </w:r>
          </w:p>
        </w:tc>
        <w:tc>
          <w:tcPr>
            <w:tcW w:w="2214" w:type="dxa"/>
          </w:tcPr>
          <w:p w14:paraId="1DC3B79A" w14:textId="77777777" w:rsidR="00065FDF" w:rsidRDefault="007C3805">
            <w:commentRangeStart w:id="31"/>
            <w:r>
              <w:t>data</w:t>
            </w:r>
          </w:p>
        </w:tc>
        <w:tc>
          <w:tcPr>
            <w:tcW w:w="2214" w:type="dxa"/>
          </w:tcPr>
          <w:p w14:paraId="78675F0A" w14:textId="77777777" w:rsidR="00065FDF" w:rsidRDefault="007C3805">
            <w:r>
              <w:t>data</w:t>
            </w:r>
          </w:p>
        </w:tc>
        <w:tc>
          <w:tcPr>
            <w:tcW w:w="2214" w:type="dxa"/>
          </w:tcPr>
          <w:p w14:paraId="30B60981" w14:textId="77777777" w:rsidR="00065FDF" w:rsidRDefault="007C3805">
            <w:r>
              <w:t>data</w:t>
            </w:r>
            <w:commentRangeEnd w:id="31"/>
            <w:r>
              <w:rPr>
                <w:rStyle w:val="af5"/>
              </w:rPr>
              <w:commentReference w:id="31"/>
            </w:r>
          </w:p>
        </w:tc>
      </w:tr>
      <w:tr w:rsidR="00065FDF" w14:paraId="4D31911E" w14:textId="77777777">
        <w:tc>
          <w:tcPr>
            <w:tcW w:w="2214" w:type="dxa"/>
          </w:tcPr>
          <w:p w14:paraId="7FDC5BD3" w14:textId="77777777" w:rsidR="00065FDF" w:rsidRDefault="007C3805">
            <w:r>
              <w:t>(leave blank)</w:t>
            </w:r>
          </w:p>
        </w:tc>
        <w:tc>
          <w:tcPr>
            <w:tcW w:w="2214" w:type="dxa"/>
          </w:tcPr>
          <w:p w14:paraId="43BB9940" w14:textId="77777777" w:rsidR="00065FDF" w:rsidRDefault="007C3805">
            <w:r>
              <w:t>data</w:t>
            </w:r>
          </w:p>
        </w:tc>
        <w:tc>
          <w:tcPr>
            <w:tcW w:w="2214" w:type="dxa"/>
          </w:tcPr>
          <w:p w14:paraId="0EF2FFCC" w14:textId="77777777" w:rsidR="00065FDF" w:rsidRDefault="007C3805">
            <w:r>
              <w:t>data</w:t>
            </w:r>
          </w:p>
        </w:tc>
        <w:tc>
          <w:tcPr>
            <w:tcW w:w="2214" w:type="dxa"/>
          </w:tcPr>
          <w:p w14:paraId="1B4BFCE5" w14:textId="77777777" w:rsidR="00065FDF" w:rsidRDefault="007C3805">
            <w:r>
              <w:t>data</w:t>
            </w:r>
          </w:p>
        </w:tc>
      </w:tr>
      <w:tr w:rsidR="00065FDF" w14:paraId="2DD3D4F7" w14:textId="77777777">
        <w:tc>
          <w:tcPr>
            <w:tcW w:w="2214" w:type="dxa"/>
          </w:tcPr>
          <w:p w14:paraId="01990105" w14:textId="77777777" w:rsidR="00065FDF" w:rsidRDefault="007C3805">
            <w:r>
              <w:rPr>
                <w:b/>
              </w:rPr>
              <w:t>Subheading</w:t>
            </w:r>
          </w:p>
        </w:tc>
        <w:tc>
          <w:tcPr>
            <w:tcW w:w="2214" w:type="dxa"/>
          </w:tcPr>
          <w:p w14:paraId="65C8DD7A" w14:textId="77777777" w:rsidR="00065FDF" w:rsidRDefault="00065FDF"/>
        </w:tc>
        <w:tc>
          <w:tcPr>
            <w:tcW w:w="2214" w:type="dxa"/>
          </w:tcPr>
          <w:p w14:paraId="65E58828" w14:textId="77777777" w:rsidR="00065FDF" w:rsidRDefault="00065FDF"/>
        </w:tc>
        <w:tc>
          <w:tcPr>
            <w:tcW w:w="2214" w:type="dxa"/>
          </w:tcPr>
          <w:p w14:paraId="31A54EFC" w14:textId="77777777" w:rsidR="00065FDF" w:rsidRDefault="00065FDF"/>
        </w:tc>
      </w:tr>
      <w:tr w:rsidR="00065FDF" w14:paraId="2F729F62" w14:textId="77777777">
        <w:tc>
          <w:tcPr>
            <w:tcW w:w="2214" w:type="dxa"/>
          </w:tcPr>
          <w:p w14:paraId="329DE325" w14:textId="77777777" w:rsidR="00065FDF" w:rsidRDefault="007C3805">
            <w:r>
              <w:t>(leave blank)</w:t>
            </w:r>
          </w:p>
        </w:tc>
        <w:tc>
          <w:tcPr>
            <w:tcW w:w="2214" w:type="dxa"/>
          </w:tcPr>
          <w:p w14:paraId="6E1FCCFE" w14:textId="77777777" w:rsidR="00065FDF" w:rsidRDefault="007C3805">
            <w:r>
              <w:t>data</w:t>
            </w:r>
          </w:p>
        </w:tc>
        <w:tc>
          <w:tcPr>
            <w:tcW w:w="2214" w:type="dxa"/>
          </w:tcPr>
          <w:p w14:paraId="55082236" w14:textId="77777777" w:rsidR="00065FDF" w:rsidRDefault="007C3805">
            <w:r>
              <w:t>data</w:t>
            </w:r>
          </w:p>
        </w:tc>
        <w:tc>
          <w:tcPr>
            <w:tcW w:w="2214" w:type="dxa"/>
          </w:tcPr>
          <w:p w14:paraId="341547DC" w14:textId="77777777" w:rsidR="00065FDF" w:rsidRDefault="007C3805">
            <w:r>
              <w:t>data</w:t>
            </w:r>
          </w:p>
        </w:tc>
      </w:tr>
      <w:tr w:rsidR="00065FDF" w14:paraId="6B1B6F41" w14:textId="77777777">
        <w:tc>
          <w:tcPr>
            <w:tcW w:w="2214" w:type="dxa"/>
          </w:tcPr>
          <w:p w14:paraId="5B5951FC" w14:textId="77777777" w:rsidR="00065FDF" w:rsidRDefault="007C3805">
            <w:r>
              <w:t>(leave blank)</w:t>
            </w:r>
          </w:p>
        </w:tc>
        <w:tc>
          <w:tcPr>
            <w:tcW w:w="2214" w:type="dxa"/>
          </w:tcPr>
          <w:p w14:paraId="0CAB1328" w14:textId="77777777" w:rsidR="00065FDF" w:rsidRDefault="007C3805">
            <w:r>
              <w:t>data</w:t>
            </w:r>
          </w:p>
        </w:tc>
        <w:tc>
          <w:tcPr>
            <w:tcW w:w="2214" w:type="dxa"/>
          </w:tcPr>
          <w:p w14:paraId="1A0A9A82" w14:textId="77777777" w:rsidR="00065FDF" w:rsidRDefault="007C3805">
            <w:r>
              <w:t>data</w:t>
            </w:r>
          </w:p>
        </w:tc>
        <w:tc>
          <w:tcPr>
            <w:tcW w:w="2214" w:type="dxa"/>
          </w:tcPr>
          <w:p w14:paraId="23D630D0" w14:textId="77777777" w:rsidR="00065FDF" w:rsidRDefault="007C3805">
            <w:r>
              <w:t>data</w:t>
            </w:r>
          </w:p>
        </w:tc>
      </w:tr>
      <w:tr w:rsidR="00065FDF" w14:paraId="72459AD8" w14:textId="77777777">
        <w:tc>
          <w:tcPr>
            <w:tcW w:w="2214" w:type="dxa"/>
          </w:tcPr>
          <w:p w14:paraId="16880CB3" w14:textId="77777777" w:rsidR="00065FDF" w:rsidRDefault="007C3805">
            <w:r>
              <w:rPr>
                <w:b/>
              </w:rPr>
              <w:t>Subheading</w:t>
            </w:r>
          </w:p>
        </w:tc>
        <w:tc>
          <w:tcPr>
            <w:tcW w:w="2214" w:type="dxa"/>
          </w:tcPr>
          <w:p w14:paraId="7C5BDAB5" w14:textId="77777777" w:rsidR="00065FDF" w:rsidRDefault="00065FDF"/>
        </w:tc>
        <w:tc>
          <w:tcPr>
            <w:tcW w:w="2214" w:type="dxa"/>
          </w:tcPr>
          <w:p w14:paraId="6AE24DFC" w14:textId="77777777" w:rsidR="00065FDF" w:rsidRDefault="00065FDF"/>
        </w:tc>
        <w:tc>
          <w:tcPr>
            <w:tcW w:w="2214" w:type="dxa"/>
          </w:tcPr>
          <w:p w14:paraId="06D69CAF" w14:textId="77777777" w:rsidR="00065FDF" w:rsidRDefault="00065FDF"/>
        </w:tc>
      </w:tr>
      <w:tr w:rsidR="00065FDF" w14:paraId="567B8218" w14:textId="77777777">
        <w:tc>
          <w:tcPr>
            <w:tcW w:w="2214" w:type="dxa"/>
          </w:tcPr>
          <w:p w14:paraId="7352564A" w14:textId="77777777" w:rsidR="00065FDF" w:rsidRDefault="007C3805">
            <w:pPr>
              <w:rPr>
                <w:b/>
              </w:rPr>
            </w:pPr>
            <w:r>
              <w:t>(leave blank)</w:t>
            </w:r>
          </w:p>
        </w:tc>
        <w:tc>
          <w:tcPr>
            <w:tcW w:w="2214" w:type="dxa"/>
          </w:tcPr>
          <w:p w14:paraId="38C53E9B" w14:textId="77777777" w:rsidR="00065FDF" w:rsidRDefault="007C3805">
            <w:r>
              <w:t>data</w:t>
            </w:r>
          </w:p>
        </w:tc>
        <w:tc>
          <w:tcPr>
            <w:tcW w:w="2214" w:type="dxa"/>
          </w:tcPr>
          <w:p w14:paraId="01FFA58A" w14:textId="77777777" w:rsidR="00065FDF" w:rsidRDefault="007C3805">
            <w:r>
              <w:t>data</w:t>
            </w:r>
          </w:p>
        </w:tc>
        <w:tc>
          <w:tcPr>
            <w:tcW w:w="2214" w:type="dxa"/>
          </w:tcPr>
          <w:p w14:paraId="477E61D2" w14:textId="77777777" w:rsidR="00065FDF" w:rsidRDefault="007C3805">
            <w:pPr>
              <w:rPr>
                <w:rStyle w:val="af5"/>
              </w:rPr>
            </w:pPr>
            <w:r>
              <w:t>data</w:t>
            </w:r>
          </w:p>
        </w:tc>
      </w:tr>
      <w:tr w:rsidR="00065FDF" w14:paraId="11AD5EFD" w14:textId="77777777">
        <w:tc>
          <w:tcPr>
            <w:tcW w:w="2214" w:type="dxa"/>
          </w:tcPr>
          <w:p w14:paraId="5B3AA42A" w14:textId="77777777" w:rsidR="00065FDF" w:rsidRDefault="007C3805">
            <w:r>
              <w:t>(leave blank)</w:t>
            </w:r>
          </w:p>
        </w:tc>
        <w:tc>
          <w:tcPr>
            <w:tcW w:w="2214" w:type="dxa"/>
          </w:tcPr>
          <w:p w14:paraId="73B8CA1A" w14:textId="77777777" w:rsidR="00065FDF" w:rsidRDefault="007C3805">
            <w:r>
              <w:t>data</w:t>
            </w:r>
          </w:p>
        </w:tc>
        <w:tc>
          <w:tcPr>
            <w:tcW w:w="2214" w:type="dxa"/>
          </w:tcPr>
          <w:p w14:paraId="132E4866" w14:textId="77777777" w:rsidR="00065FDF" w:rsidRDefault="007C3805">
            <w:r>
              <w:t>data</w:t>
            </w:r>
          </w:p>
        </w:tc>
        <w:tc>
          <w:tcPr>
            <w:tcW w:w="2214" w:type="dxa"/>
          </w:tcPr>
          <w:p w14:paraId="719C3BC1" w14:textId="77777777" w:rsidR="00065FDF" w:rsidRDefault="007C3805">
            <w:r>
              <w:t>data</w:t>
            </w:r>
          </w:p>
        </w:tc>
      </w:tr>
    </w:tbl>
    <w:p w14:paraId="4321DDC3" w14:textId="77777777" w:rsidR="00065FDF" w:rsidRDefault="007C3805">
      <w:bookmarkStart w:id="32" w:name="Footnotes"/>
      <w:bookmarkEnd w:id="32"/>
      <w:r>
        <w:rPr>
          <w:vertAlign w:val="superscript"/>
        </w:rPr>
        <w:t>a</w:t>
      </w:r>
      <w:r>
        <w:t>Not all elements are necessary for every table, simply omit the irrelevant sections for your table and keep the formatting of the rest. For further details, please refer to the main Instructions for Authors of JMIR document.</w:t>
      </w:r>
    </w:p>
    <w:p w14:paraId="0545511E" w14:textId="77777777" w:rsidR="00065FDF" w:rsidRDefault="007C3805">
      <w:r>
        <w:rPr>
          <w:vertAlign w:val="superscript"/>
        </w:rPr>
        <w:t>b</w:t>
      </w:r>
      <w:r>
        <w:t>Footnotes are labeled in superscript lower case a-z. Other symbols are not used.</w:t>
      </w:r>
    </w:p>
    <w:p w14:paraId="4F45A61E" w14:textId="77777777" w:rsidR="00065FDF" w:rsidRDefault="007C3805">
      <w:r>
        <w:rPr>
          <w:vertAlign w:val="superscript"/>
        </w:rPr>
        <w:t>c</w:t>
      </w:r>
      <w:r>
        <w:t xml:space="preserve">Astericks (*) can only be used if exact </w:t>
      </w:r>
      <w:r>
        <w:rPr>
          <w:i/>
        </w:rPr>
        <w:t>P</w:t>
      </w:r>
      <w:r>
        <w:t xml:space="preserve"> values cannot be provided for a specific reason, and are listed after the superscript a-z footnotes.</w:t>
      </w:r>
    </w:p>
    <w:p w14:paraId="3E02ABE8" w14:textId="77777777" w:rsidR="00065FDF" w:rsidRDefault="007C3805">
      <w:r>
        <w:rPr>
          <w:vertAlign w:val="superscript"/>
        </w:rPr>
        <w:t>d</w:t>
      </w:r>
      <w:r>
        <w:t>please be conscious of the overall width of the table.  Tables will be automatically fitted/resized to the width of a US Letter Small page in portrait configuration during typesetting. Overcrowded Tables or Tables that are too crowded WILL look squished, and should be avoided if possible.</w:t>
      </w:r>
    </w:p>
    <w:p w14:paraId="0789C96A" w14:textId="77777777" w:rsidR="00065FDF" w:rsidRDefault="007C3805">
      <w:r>
        <w:rPr>
          <w:vertAlign w:val="superscript"/>
        </w:rPr>
        <w:t>e</w:t>
      </w:r>
      <w:r>
        <w:t xml:space="preserve">longer headings can be abridged within the Table, with a full explanation in a footnote. </w:t>
      </w:r>
    </w:p>
    <w:p w14:paraId="4C008AB9" w14:textId="77777777" w:rsidR="00065FDF" w:rsidRDefault="00065FDF"/>
    <w:p w14:paraId="4BD6C348" w14:textId="77777777" w:rsidR="00065FDF" w:rsidRDefault="007C3805">
      <w:bookmarkStart w:id="33" w:name="Figure"/>
      <w:bookmarkEnd w:id="33"/>
      <w:r>
        <w:t>Figure 1. Captions/titles are inserted online.  Try to use Times New Roman for text within the Figure to match the font of the final typeset manuscript when possible. These should be .jpeg or .png files. Please prepare Figures with good resolution – Figures that are predominantly graphics/pictures should have dpi close to 300, while those that are text-dominant can have lower resolution (usually dpi 200). Try to use combinations of color and symbols/line styles to define and refer to different categories.  This will help with readability if Figures are printed/viewed in black and white.</w:t>
      </w:r>
    </w:p>
    <w:p w14:paraId="090E8677" w14:textId="77777777" w:rsidR="00065FDF" w:rsidRDefault="00065FDF"/>
    <w:p w14:paraId="0D492686" w14:textId="77777777" w:rsidR="00065FDF" w:rsidRDefault="00065FDF"/>
    <w:p w14:paraId="4A57AB5C" w14:textId="77777777" w:rsidR="00065FDF" w:rsidRDefault="007C3805">
      <w:pPr>
        <w:pStyle w:val="2"/>
      </w:pPr>
      <w:bookmarkStart w:id="34" w:name="Discussion"/>
      <w:bookmarkStart w:id="35" w:name="_Discussion_1"/>
      <w:bookmarkEnd w:id="34"/>
      <w:bookmarkEnd w:id="35"/>
      <w:r>
        <w:lastRenderedPageBreak/>
        <w:t>Discussion</w:t>
      </w:r>
    </w:p>
    <w:p w14:paraId="2055C99B" w14:textId="77777777" w:rsidR="00065FDF" w:rsidRDefault="007C3805">
      <w:pPr>
        <w:pStyle w:val="3"/>
      </w:pPr>
      <w:r>
        <w:t>Principal Results</w:t>
      </w:r>
    </w:p>
    <w:p w14:paraId="16240957" w14:textId="77777777" w:rsidR="00065FDF" w:rsidRDefault="007C3805">
      <w:pPr>
        <w:pStyle w:val="3"/>
      </w:pPr>
      <w:r>
        <w:t>Limitations</w:t>
      </w:r>
    </w:p>
    <w:p w14:paraId="7F8713C3" w14:textId="77777777" w:rsidR="00065FDF" w:rsidRDefault="007C3805">
      <w:pPr>
        <w:pStyle w:val="3"/>
      </w:pPr>
      <w:r>
        <w:t>Comparison with Prior Work</w:t>
      </w:r>
    </w:p>
    <w:p w14:paraId="7C0E12C7" w14:textId="77777777" w:rsidR="00065FDF" w:rsidRDefault="007C3805">
      <w:pPr>
        <w:pStyle w:val="3"/>
      </w:pPr>
      <w:r>
        <w:t>Conclusions</w:t>
      </w:r>
    </w:p>
    <w:p w14:paraId="42F34EB5" w14:textId="77777777" w:rsidR="00065FDF" w:rsidRDefault="007C3805">
      <w:pPr>
        <w:pStyle w:val="3"/>
        <w:rPr>
          <w:rFonts w:asciiTheme="minorHAnsi" w:eastAsiaTheme="minorEastAsia" w:hAnsiTheme="minorHAnsi" w:cstheme="minorBidi"/>
          <w:b w:val="0"/>
          <w:bCs w:val="0"/>
          <w:color w:val="auto"/>
        </w:rPr>
      </w:pPr>
      <w:r>
        <w:rPr>
          <w:rFonts w:asciiTheme="minorHAnsi" w:eastAsiaTheme="minorEastAsia" w:hAnsiTheme="minorHAnsi" w:cstheme="minorBidi"/>
          <w:b w:val="0"/>
          <w:bCs w:val="0"/>
          <w:color w:val="auto"/>
        </w:rPr>
        <w:t>In this paper, we have introduced a visual analysis method for TCM formulas. Our method supports the visualization of medicine formulas data as a hierarchy with an icicle plot in a formula view and multidimensional attribute data of medicines are visualized in a dimensionality reduction-based medicine view. Requirements and design choices of our method are made through a close collaboration between visualization and TCM experts in an iterative quick prototyping fashion. Effective comparison of medicine formulas is supported with the icicle plot using our new similarity-based tree layout algorithm; colors of visual elements are assigned with a perceptual-guided data-driven color encoding method that focuses perceptual uniformity and TCM concepts of medicine attributes. Interactive analysis of medicine formulas and corresponding medicines is available with brushing-and-linking between the two views. Two uses cases of typical groups of medicine formulas analyzed by the TCM expert demonstrate the effectiveness</w:t>
      </w:r>
      <w:r>
        <w:rPr>
          <w:rFonts w:asciiTheme="minorHAnsi" w:eastAsia="宋体" w:hAnsiTheme="minorHAnsi" w:cstheme="minorBidi" w:hint="eastAsia"/>
          <w:b w:val="0"/>
          <w:bCs w:val="0"/>
          <w:color w:val="auto"/>
          <w:lang w:eastAsia="zh-CN"/>
        </w:rPr>
        <w:t xml:space="preserve"> </w:t>
      </w:r>
      <w:r>
        <w:rPr>
          <w:rFonts w:asciiTheme="minorHAnsi" w:eastAsiaTheme="minorEastAsia" w:hAnsiTheme="minorHAnsi" w:cstheme="minorBidi"/>
          <w:b w:val="0"/>
          <w:bCs w:val="0"/>
          <w:color w:val="auto"/>
        </w:rPr>
        <w:t>of our method for medicine formula composition learning and TCM inheritance. The expert also suggests that our method could be potentially used for designing new formulas. In the future, we would like to further enhance the comparison capability of our method, for example, supports comparing specific formulas in the icicle plot that are not adjacent, and uses set visualization, e.g., bubble sets, to compare their medicines in the medicine view. Moreover, we would like to apply our method to analyze more groups of formulas and TCM prescriptions in a clinical setting to assist TCM students and health providers to enhance their understanding of formula composition theories and improve their practice.</w:t>
      </w:r>
    </w:p>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4D59B394" w14:textId="77777777" w:rsidR="00065FDF" w:rsidRDefault="007C3805">
      <w:r>
        <w:t>Please include all authors’ contributions, funding information, financial disclosure, role of sponsors, and other acknowledgements here. This description should include the involvement, if any, in review and approval of the manuscript for publication and the role of sponsors. Omit if not applicable.</w:t>
      </w:r>
    </w:p>
    <w:p w14:paraId="054B06AB" w14:textId="77777777" w:rsidR="00065FDF" w:rsidRDefault="00065FDF"/>
    <w:p w14:paraId="2A4B6FB1" w14:textId="77777777" w:rsidR="00065FDF" w:rsidRDefault="007C3805">
      <w:pPr>
        <w:pStyle w:val="3"/>
      </w:pPr>
      <w:bookmarkStart w:id="36" w:name="Conflicts"/>
      <w:bookmarkEnd w:id="36"/>
      <w:r>
        <w:t>Conflicts of Interest</w:t>
      </w:r>
    </w:p>
    <w:p w14:paraId="2B089B2A" w14:textId="77777777" w:rsidR="00065FDF" w:rsidRDefault="007C3805">
      <w:r>
        <w:t>Disclose any personal financial interests related to the subject matters discussed in the manuscript here. For example, authors who are owners or employees of Internet companies that market the services described in the manuscript will be disclosed here. If none, indicate with “none declared”.</w:t>
      </w:r>
    </w:p>
    <w:p w14:paraId="04356723" w14:textId="77777777" w:rsidR="00065FDF" w:rsidRDefault="007C3805">
      <w:pPr>
        <w:pStyle w:val="3"/>
      </w:pPr>
      <w:bookmarkStart w:id="37" w:name="Abbreviations"/>
      <w:bookmarkStart w:id="38" w:name="_Abbreviations_1"/>
      <w:bookmarkEnd w:id="37"/>
      <w:bookmarkEnd w:id="38"/>
      <w:commentRangeStart w:id="39"/>
      <w:r>
        <w:lastRenderedPageBreak/>
        <w:t>Abbreviations</w:t>
      </w:r>
      <w:commentRangeEnd w:id="39"/>
      <w:r>
        <w:rPr>
          <w:rStyle w:val="af5"/>
          <w:rFonts w:asciiTheme="minorHAnsi" w:eastAsiaTheme="minorEastAsia" w:hAnsiTheme="minorHAnsi" w:cstheme="minorBidi"/>
          <w:b w:val="0"/>
          <w:bCs w:val="0"/>
          <w:color w:val="auto"/>
        </w:rPr>
        <w:commentReference w:id="39"/>
      </w:r>
    </w:p>
    <w:p w14:paraId="30949A6B" w14:textId="77777777" w:rsidR="00065FDF" w:rsidRDefault="007C3805">
      <w:r>
        <w:t>JMIR: Journal of Medical Internet Research</w:t>
      </w:r>
    </w:p>
    <w:p w14:paraId="4FF4D502" w14:textId="77777777" w:rsidR="00065FDF" w:rsidRDefault="007C3805">
      <w:r>
        <w:t>RCT: randomized controlled trial</w:t>
      </w:r>
    </w:p>
    <w:p w14:paraId="7E9C9B45" w14:textId="77777777" w:rsidR="00065FDF" w:rsidRDefault="00065FDF"/>
    <w:p w14:paraId="58FD9555" w14:textId="77777777" w:rsidR="00065FDF" w:rsidRDefault="007C3805">
      <w:pPr>
        <w:pStyle w:val="2"/>
      </w:pPr>
      <w:bookmarkStart w:id="40" w:name="Appendix"/>
      <w:bookmarkEnd w:id="40"/>
      <w:r>
        <w:t>Multimedia Appendix 1</w:t>
      </w:r>
    </w:p>
    <w:p w14:paraId="1356D40B" w14:textId="77777777" w:rsidR="00065FDF" w:rsidRDefault="007C3805">
      <w:r>
        <w:t xml:space="preserve">Multimedia appendices are supplementary files, such as a PowerPoint presentation of a conference talk about the study, additional screenshots of a website, mpeg/Quicktime video/audio files, Excel/Access/SAS/SPSS files containing original data (very long tables), and questionnaires. See </w:t>
      </w:r>
      <w:hyperlink r:id="rId85" w:history="1">
        <w:r>
          <w:rPr>
            <w:rStyle w:val="af4"/>
          </w:rPr>
          <w:t>https://jmir.zendesk.com/hc/en-us/articles/115003396688</w:t>
        </w:r>
      </w:hyperlink>
      <w:r>
        <w:t xml:space="preserve"> for further information. Do not include copyrighted material unless you obtained written permission from the copyright holder, which should be uploaded together with your Publication Agreement form as supplementary file.</w:t>
      </w:r>
    </w:p>
    <w:p w14:paraId="05116EA2" w14:textId="77777777" w:rsidR="00065FDF" w:rsidRDefault="00065FDF">
      <w:pPr>
        <w:widowControl w:val="0"/>
        <w:autoSpaceDE w:val="0"/>
        <w:autoSpaceDN w:val="0"/>
        <w:adjustRightInd w:val="0"/>
        <w:spacing w:after="220"/>
      </w:pPr>
    </w:p>
    <w:p w14:paraId="08CDFF04" w14:textId="77777777" w:rsidR="00065FDF" w:rsidRDefault="007C3805">
      <w:pPr>
        <w:widowControl w:val="0"/>
        <w:autoSpaceDE w:val="0"/>
        <w:autoSpaceDN w:val="0"/>
        <w:adjustRightInd w:val="0"/>
        <w:spacing w:after="220"/>
        <w:rPr>
          <w:rFonts w:cs="Verdana"/>
          <w:color w:val="0E0E0E"/>
          <w:sz w:val="22"/>
          <w:szCs w:val="22"/>
        </w:rPr>
      </w:pPr>
      <w:bookmarkStart w:id="41" w:name="CONSORT"/>
      <w:bookmarkEnd w:id="41"/>
      <w:r>
        <w:t xml:space="preserve">The Multimedia Appendices must be uploaded online, accompanied by a caption.  CONSORT-EHEALTH checklists are always uploaded as Multimedia Appendices.  </w:t>
      </w:r>
      <w:r>
        <w:rPr>
          <w:rFonts w:cs="Verdana"/>
          <w:color w:val="0E0E0E"/>
          <w:sz w:val="22"/>
          <w:szCs w:val="22"/>
        </w:rPr>
        <w:t>Although this is primarily intended for randomized trials, the section of the checklist describing how an intervention should be reported is also relevant for manuscripts with other evaluation designs.</w:t>
      </w:r>
    </w:p>
    <w:p w14:paraId="61BCFED6" w14:textId="77777777" w:rsidR="00065FDF" w:rsidRDefault="007C3805">
      <w:r>
        <w:rPr>
          <w:rFonts w:cs="Verdana"/>
          <w:color w:val="0E0E0E"/>
          <w:sz w:val="22"/>
          <w:szCs w:val="22"/>
        </w:rPr>
        <w:t xml:space="preserve">Before submission, authors of RCTs must </w:t>
      </w:r>
      <w:r>
        <w:rPr>
          <w:rFonts w:cs="Verdana"/>
          <w:b/>
          <w:bCs/>
          <w:color w:val="0E0E0E"/>
          <w:sz w:val="22"/>
          <w:szCs w:val="22"/>
        </w:rPr>
        <w:t>fill in the electronic CONSORT-EHEALTH questionnaire at </w:t>
      </w:r>
      <w:hyperlink r:id="rId86" w:history="1">
        <w:r>
          <w:rPr>
            <w:rFonts w:cs="Verdana"/>
            <w:b/>
            <w:bCs/>
            <w:color w:val="296643"/>
            <w:sz w:val="22"/>
            <w:szCs w:val="22"/>
            <w:u w:val="single" w:color="296643"/>
          </w:rPr>
          <w:t>http://tinyurl.com/consort-ehealth-v1-6</w:t>
        </w:r>
      </w:hyperlink>
      <w:r>
        <w:rPr>
          <w:rFonts w:cs="Verdana"/>
          <w:color w:val="0E0E0E"/>
          <w:sz w:val="22"/>
          <w:szCs w:val="22"/>
        </w:rPr>
        <w:t> with quotes from their manuscript (if you wish to comment on the importance of the items from the checklist for reporting, please also rate each item on a scale between 1-5). BEFORE you press submit, please generate a pdf of the form with your responses and upload this file as supplementary file entitled CONSORT-EHEALTH V1.6.</w:t>
      </w:r>
    </w:p>
    <w:p w14:paraId="2A895566" w14:textId="77777777" w:rsidR="00065FDF" w:rsidRDefault="007C3805">
      <w:pPr>
        <w:pStyle w:val="2"/>
      </w:pPr>
      <w:bookmarkStart w:id="42" w:name="References"/>
      <w:bookmarkStart w:id="43" w:name="_References_1"/>
      <w:bookmarkEnd w:id="42"/>
      <w:bookmarkEnd w:id="43"/>
      <w:r>
        <w:t>References</w:t>
      </w:r>
    </w:p>
    <w:p w14:paraId="719DF4FB" w14:textId="77777777" w:rsidR="00065FDF" w:rsidRDefault="007C3805">
      <w:pPr>
        <w:pStyle w:val="af7"/>
        <w:rPr>
          <w:rFonts w:cs="Times New Roman"/>
        </w:rPr>
      </w:pPr>
      <w:bookmarkStart w:id="44" w:name="BIB__bib"/>
      <w:r>
        <w:rPr>
          <w:rFonts w:cs="Times New Roman"/>
        </w:rPr>
        <w:t>[</w:t>
      </w:r>
      <w:bookmarkStart w:id="45" w:name="BIB_zhongyijichulilun"/>
      <w:r>
        <w:rPr>
          <w:rFonts w:cs="Times New Roman"/>
        </w:rPr>
        <w:t>1</w:t>
      </w:r>
      <w:bookmarkStart w:id="46" w:name="B4B_zhongyijichulilun"/>
      <w:bookmarkEnd w:id="45"/>
      <w:bookmarkEnd w:id="46"/>
      <w:r>
        <w:rPr>
          <w:rFonts w:cs="Times New Roman"/>
        </w:rPr>
        <w:t>]</w:t>
      </w:r>
      <w:r>
        <w:rPr>
          <w:rFonts w:cs="Times New Roman"/>
        </w:rPr>
        <w:tab/>
        <w:t xml:space="preserve">J. Wang, </w:t>
      </w:r>
      <w:r>
        <w:rPr>
          <w:rFonts w:cs="Times New Roman"/>
          <w:i/>
        </w:rPr>
        <w:t>Basic Theory of Traditional Chinese Medicine</w:t>
      </w:r>
      <w:r>
        <w:rPr>
          <w:rFonts w:cs="Times New Roman"/>
        </w:rPr>
        <w:t>. Beijing: China Press of Traditional Chinese Medicine, 2016.</w:t>
      </w:r>
    </w:p>
    <w:p w14:paraId="53CC3399" w14:textId="77777777" w:rsidR="00065FDF" w:rsidRDefault="007C3805">
      <w:pPr>
        <w:pStyle w:val="af7"/>
        <w:rPr>
          <w:rFonts w:cs="Times New Roman"/>
        </w:rPr>
      </w:pPr>
      <w:r>
        <w:rPr>
          <w:rFonts w:cs="Times New Roman"/>
        </w:rPr>
        <w:t>[</w:t>
      </w:r>
      <w:bookmarkStart w:id="47" w:name="BIB_zhongyaotextbook2004"/>
      <w:r>
        <w:rPr>
          <w:rFonts w:cs="Times New Roman"/>
        </w:rPr>
        <w:t>2</w:t>
      </w:r>
      <w:bookmarkStart w:id="48" w:name="B4B_zhongyaotextbook2004"/>
      <w:bookmarkEnd w:id="47"/>
      <w:bookmarkEnd w:id="48"/>
      <w:r>
        <w:rPr>
          <w:rFonts w:cs="Times New Roman"/>
        </w:rPr>
        <w:t>]</w:t>
      </w:r>
      <w:r>
        <w:rPr>
          <w:rFonts w:cs="Times New Roman"/>
        </w:rPr>
        <w:tab/>
        <w:t xml:space="preserve">X. Gao, </w:t>
      </w:r>
      <w:r>
        <w:rPr>
          <w:rFonts w:cs="Times New Roman"/>
          <w:i/>
        </w:rPr>
        <w:t>Chinese Pharmacy</w:t>
      </w:r>
      <w:r>
        <w:rPr>
          <w:rFonts w:cs="Times New Roman"/>
        </w:rPr>
        <w:t>. Beijing: The Press of Traditional Chinese Medicine, 2004.</w:t>
      </w:r>
    </w:p>
    <w:p w14:paraId="5BE45C82" w14:textId="77777777" w:rsidR="00065FDF" w:rsidRDefault="007C3805">
      <w:pPr>
        <w:pStyle w:val="af7"/>
        <w:rPr>
          <w:rFonts w:cs="Times New Roman"/>
        </w:rPr>
      </w:pPr>
      <w:r>
        <w:rPr>
          <w:rFonts w:cs="Times New Roman"/>
        </w:rPr>
        <w:t>[</w:t>
      </w:r>
      <w:bookmarkStart w:id="49" w:name="BIB_guo2019"/>
      <w:r>
        <w:rPr>
          <w:rFonts w:cs="Times New Roman"/>
        </w:rPr>
        <w:t>3</w:t>
      </w:r>
      <w:bookmarkStart w:id="50" w:name="B4B_guo2019"/>
      <w:bookmarkEnd w:id="49"/>
      <w:bookmarkEnd w:id="50"/>
      <w:r>
        <w:rPr>
          <w:rFonts w:cs="Times New Roman"/>
        </w:rPr>
        <w:t>]</w:t>
      </w:r>
      <w:r>
        <w:rPr>
          <w:rFonts w:cs="Times New Roman"/>
        </w:rPr>
        <w:tab/>
        <w:t xml:space="preserve">W. Guo, “Research and Implementation of Knowledge Mapping of Traditional Chinese Medicine Prescription,” </w:t>
      </w:r>
      <w:r>
        <w:rPr>
          <w:rFonts w:cs="Times New Roman"/>
          <w:i/>
        </w:rPr>
        <w:t>Lanzhou University</w:t>
      </w:r>
      <w:r>
        <w:rPr>
          <w:rFonts w:cs="Times New Roman"/>
        </w:rPr>
        <w:t>, 2019.</w:t>
      </w:r>
    </w:p>
    <w:p w14:paraId="62BDBE97" w14:textId="77777777" w:rsidR="00065FDF" w:rsidRDefault="007C3805">
      <w:pPr>
        <w:pStyle w:val="af7"/>
        <w:rPr>
          <w:rFonts w:cs="Times New Roman"/>
        </w:rPr>
      </w:pPr>
      <w:r>
        <w:rPr>
          <w:rFonts w:cs="Times New Roman"/>
        </w:rPr>
        <w:t>[</w:t>
      </w:r>
      <w:bookmarkStart w:id="51" w:name="BIB_gao2009"/>
      <w:r>
        <w:rPr>
          <w:rFonts w:cs="Times New Roman"/>
        </w:rPr>
        <w:t>4</w:t>
      </w:r>
      <w:bookmarkStart w:id="52" w:name="B4B_gao2009"/>
      <w:bookmarkEnd w:id="51"/>
      <w:bookmarkEnd w:id="52"/>
      <w:r>
        <w:rPr>
          <w:rFonts w:cs="Times New Roman"/>
        </w:rPr>
        <w:t>]</w:t>
      </w:r>
      <w:r>
        <w:rPr>
          <w:rFonts w:cs="Times New Roman"/>
        </w:rPr>
        <w:tab/>
        <w:t>J. Gao, “Construction of Visual Analysis Platform for Cold and Heat Properties of Formulae Based on Quantitative Study,” Ph.D. dissertation, Beijing University of Chinese Medicine, 2009.</w:t>
      </w:r>
    </w:p>
    <w:p w14:paraId="24459F1E" w14:textId="77777777" w:rsidR="00065FDF" w:rsidRDefault="007C3805">
      <w:pPr>
        <w:pStyle w:val="af7"/>
        <w:rPr>
          <w:rFonts w:cs="Times New Roman"/>
        </w:rPr>
      </w:pPr>
      <w:r>
        <w:rPr>
          <w:rFonts w:cs="Times New Roman"/>
        </w:rPr>
        <w:t>[</w:t>
      </w:r>
      <w:bookmarkStart w:id="53" w:name="BIB_zhu2014"/>
      <w:r>
        <w:rPr>
          <w:rFonts w:cs="Times New Roman"/>
        </w:rPr>
        <w:t>5</w:t>
      </w:r>
      <w:bookmarkStart w:id="54" w:name="B4B_zhu2014"/>
      <w:bookmarkEnd w:id="53"/>
      <w:bookmarkEnd w:id="54"/>
      <w:r>
        <w:rPr>
          <w:rFonts w:cs="Times New Roman"/>
        </w:rPr>
        <w:t>]</w:t>
      </w:r>
      <w:r>
        <w:rPr>
          <w:rFonts w:cs="Times New Roman"/>
        </w:rPr>
        <w:tab/>
        <w:t xml:space="preserve">Z. Yan, G. Bo, and C. Meng, “Design and implementation of the analysis system of TCM prescription,” </w:t>
      </w:r>
      <w:r>
        <w:rPr>
          <w:rFonts w:cs="Times New Roman"/>
          <w:i/>
        </w:rPr>
        <w:t>China Journal of Traditional Chinese Medicine and Pharmacy</w:t>
      </w:r>
      <w:r>
        <w:rPr>
          <w:rFonts w:cs="Times New Roman"/>
        </w:rPr>
        <w:t>, vol. 29, no. 5, p. 4, 2014.</w:t>
      </w:r>
    </w:p>
    <w:p w14:paraId="1DF609D5" w14:textId="77777777" w:rsidR="00065FDF" w:rsidRDefault="007C3805">
      <w:pPr>
        <w:pStyle w:val="af7"/>
        <w:rPr>
          <w:rFonts w:cs="Times New Roman"/>
        </w:rPr>
      </w:pPr>
      <w:r>
        <w:rPr>
          <w:rFonts w:cs="Times New Roman"/>
        </w:rPr>
        <w:t>[</w:t>
      </w:r>
      <w:bookmarkStart w:id="55" w:name="BIB_tang12"/>
      <w:r>
        <w:rPr>
          <w:rFonts w:cs="Times New Roman"/>
        </w:rPr>
        <w:t>6</w:t>
      </w:r>
      <w:bookmarkStart w:id="56" w:name="B4B_tang12"/>
      <w:bookmarkEnd w:id="55"/>
      <w:bookmarkEnd w:id="56"/>
      <w:r>
        <w:rPr>
          <w:rFonts w:cs="Times New Roman"/>
        </w:rPr>
        <w:t>]</w:t>
      </w:r>
      <w:r>
        <w:rPr>
          <w:rFonts w:cs="Times New Roman"/>
        </w:rPr>
        <w:tab/>
        <w:t xml:space="preserve">A. C. Y. Tang, “Review of traditional chinese medicine pulse diagnosis quantification,” in </w:t>
      </w:r>
      <w:r>
        <w:rPr>
          <w:rFonts w:cs="Times New Roman"/>
          <w:i/>
        </w:rPr>
        <w:t>Complementary Therapies for the Contemporary Healthcare</w:t>
      </w:r>
      <w:r>
        <w:rPr>
          <w:rFonts w:cs="Times New Roman"/>
        </w:rPr>
        <w:t>, M. Saad and R. de Medeiros, Eds. Rijeka: IntechOpen, 2012, ch. 4. [Online]. Available: https://</w:t>
      </w:r>
      <w:r>
        <w:rPr>
          <w:rFonts w:cs="Times New Roman"/>
        </w:rPr>
        <w:softHyphen/>
        <w:t>doi.org/</w:t>
      </w:r>
      <w:r>
        <w:rPr>
          <w:rFonts w:cs="Times New Roman"/>
        </w:rPr>
        <w:softHyphen/>
        <w:t>10.5772/</w:t>
      </w:r>
      <w:r>
        <w:rPr>
          <w:rFonts w:cs="Times New Roman"/>
        </w:rPr>
        <w:softHyphen/>
        <w:t xml:space="preserve">50442 </w:t>
      </w:r>
    </w:p>
    <w:p w14:paraId="02E3F23F" w14:textId="77777777" w:rsidR="00065FDF" w:rsidRDefault="007C3805">
      <w:pPr>
        <w:pStyle w:val="af7"/>
        <w:rPr>
          <w:rFonts w:cs="Times New Roman"/>
        </w:rPr>
      </w:pPr>
      <w:r>
        <w:rPr>
          <w:rFonts w:cs="Times New Roman"/>
        </w:rPr>
        <w:lastRenderedPageBreak/>
        <w:t>[</w:t>
      </w:r>
      <w:bookmarkStart w:id="57" w:name="BIB_xiejingzhangxuduanxu_2b2021_2b172_2b"/>
      <w:r>
        <w:rPr>
          <w:rFonts w:cs="Times New Roman"/>
        </w:rPr>
        <w:t>7</w:t>
      </w:r>
      <w:bookmarkStart w:id="58" w:name="B4B_xiejingzhangxuduanxu_2b2021_2b172_2b"/>
      <w:bookmarkEnd w:id="57"/>
      <w:bookmarkEnd w:id="58"/>
      <w:r>
        <w:rPr>
          <w:rFonts w:cs="Times New Roman"/>
        </w:rPr>
        <w:t>]</w:t>
      </w:r>
      <w:r>
        <w:rPr>
          <w:rFonts w:cs="Times New Roman"/>
        </w:rPr>
        <w:tab/>
        <w:t xml:space="preserve">J. Xie, C. Jing, Z. Zhang, J. Xu, Y. Duan, and D. Xu, “Digital tongue image analyses for health assessment,” </w:t>
      </w:r>
      <w:r>
        <w:rPr>
          <w:rFonts w:cs="Times New Roman"/>
          <w:i/>
        </w:rPr>
        <w:t>Medical Review</w:t>
      </w:r>
      <w:r>
        <w:rPr>
          <w:rFonts w:cs="Times New Roman"/>
        </w:rPr>
        <w:t>, vol. 1, no. 2, pp. 172–198, 2021. [Online]. Available: https://</w:t>
      </w:r>
      <w:r>
        <w:rPr>
          <w:rFonts w:cs="Times New Roman"/>
        </w:rPr>
        <w:softHyphen/>
        <w:t>doi.org/</w:t>
      </w:r>
      <w:r>
        <w:rPr>
          <w:rFonts w:cs="Times New Roman"/>
        </w:rPr>
        <w:softHyphen/>
        <w:t>10.1515/</w:t>
      </w:r>
      <w:r>
        <w:rPr>
          <w:rFonts w:cs="Times New Roman"/>
        </w:rPr>
        <w:softHyphen/>
        <w:t xml:space="preserve">mr-2021-0018 </w:t>
      </w:r>
    </w:p>
    <w:p w14:paraId="7DD10165" w14:textId="77777777" w:rsidR="00065FDF" w:rsidRDefault="007C3805">
      <w:pPr>
        <w:pStyle w:val="af7"/>
        <w:rPr>
          <w:rFonts w:cs="Times New Roman"/>
        </w:rPr>
      </w:pPr>
      <w:r>
        <w:rPr>
          <w:rFonts w:cs="Times New Roman"/>
        </w:rPr>
        <w:t>[</w:t>
      </w:r>
      <w:bookmarkStart w:id="59" w:name="BIB_ovechkin2001thermovisual"/>
      <w:r>
        <w:rPr>
          <w:rFonts w:cs="Times New Roman"/>
        </w:rPr>
        <w:t>8</w:t>
      </w:r>
      <w:bookmarkStart w:id="60" w:name="B4B_ovechkin2001thermovisual"/>
      <w:bookmarkEnd w:id="59"/>
      <w:bookmarkEnd w:id="60"/>
      <w:r>
        <w:rPr>
          <w:rFonts w:cs="Times New Roman"/>
        </w:rPr>
        <w:t>]</w:t>
      </w:r>
      <w:r>
        <w:rPr>
          <w:rFonts w:cs="Times New Roman"/>
        </w:rPr>
        <w:tab/>
        <w:t xml:space="preserve">A. Ovechkin, S.-M. Lee, and K.-S. Kim, “Thermovisual evaluation of acupuncture points,” </w:t>
      </w:r>
      <w:r>
        <w:rPr>
          <w:rFonts w:cs="Times New Roman"/>
          <w:i/>
        </w:rPr>
        <w:t>Acupuncture &amp; electro-therapeutics research</w:t>
      </w:r>
      <w:r>
        <w:rPr>
          <w:rFonts w:cs="Times New Roman"/>
        </w:rPr>
        <w:t>, vol. 26, no. 1-2, pp. 11–23, 2001.</w:t>
      </w:r>
    </w:p>
    <w:p w14:paraId="562F8DD5" w14:textId="77777777" w:rsidR="00065FDF" w:rsidRDefault="007C3805">
      <w:pPr>
        <w:pStyle w:val="af7"/>
        <w:rPr>
          <w:rFonts w:cs="Times New Roman"/>
        </w:rPr>
      </w:pPr>
      <w:r>
        <w:rPr>
          <w:rFonts w:cs="Times New Roman"/>
        </w:rPr>
        <w:t>[</w:t>
      </w:r>
      <w:bookmarkStart w:id="61" w:name="BIB_wei2021portable"/>
      <w:r>
        <w:rPr>
          <w:rFonts w:cs="Times New Roman"/>
        </w:rPr>
        <w:t>9</w:t>
      </w:r>
      <w:bookmarkStart w:id="62" w:name="B4B_wei2021portable"/>
      <w:bookmarkEnd w:id="61"/>
      <w:bookmarkEnd w:id="62"/>
      <w:r>
        <w:rPr>
          <w:rFonts w:cs="Times New Roman"/>
        </w:rPr>
        <w:t>]</w:t>
      </w:r>
      <w:r>
        <w:rPr>
          <w:rFonts w:cs="Times New Roman"/>
        </w:rPr>
        <w:tab/>
        <w:t xml:space="preserve">M. Wei, Z. Chen, G. Chen, X. Huang, Y. Jin, K. Lao, Z. Li, S. Li, F. Zhong, H. Liang </w:t>
      </w:r>
      <w:r>
        <w:rPr>
          <w:rFonts w:cs="Times New Roman"/>
          <w:i/>
        </w:rPr>
        <w:t>et al.</w:t>
      </w:r>
      <w:r>
        <w:rPr>
          <w:rFonts w:cs="Times New Roman"/>
        </w:rPr>
        <w:t xml:space="preserve">, “A portable three-channel data collector for chinese medicine pulses,” </w:t>
      </w:r>
      <w:r>
        <w:rPr>
          <w:rFonts w:cs="Times New Roman"/>
          <w:i/>
        </w:rPr>
        <w:t>Sensors and Actuators A: Physical</w:t>
      </w:r>
      <w:r>
        <w:rPr>
          <w:rFonts w:cs="Times New Roman"/>
        </w:rPr>
        <w:t>, vol. 323, p. 112669, 2021.</w:t>
      </w:r>
    </w:p>
    <w:p w14:paraId="796104CF" w14:textId="77777777" w:rsidR="00065FDF" w:rsidRDefault="007C3805">
      <w:pPr>
        <w:pStyle w:val="af7"/>
        <w:rPr>
          <w:rFonts w:cs="Times New Roman"/>
        </w:rPr>
      </w:pPr>
      <w:r>
        <w:rPr>
          <w:rFonts w:cs="Times New Roman"/>
        </w:rPr>
        <w:t>[</w:t>
      </w:r>
      <w:bookmarkStart w:id="63" w:name="BIB_hu_3a2021"/>
      <w:r>
        <w:rPr>
          <w:rFonts w:cs="Times New Roman"/>
        </w:rPr>
        <w:t>10</w:t>
      </w:r>
      <w:bookmarkStart w:id="64" w:name="B4B_hu_3a2021"/>
      <w:bookmarkEnd w:id="63"/>
      <w:bookmarkEnd w:id="64"/>
      <w:r>
        <w:rPr>
          <w:rFonts w:cs="Times New Roman"/>
        </w:rPr>
        <w:t>]</w:t>
      </w:r>
      <w:r>
        <w:rPr>
          <w:rFonts w:cs="Times New Roman"/>
        </w:rPr>
        <w:tab/>
        <w:t xml:space="preserve">X. Hu, S. Peng, H. Hou, N. Yang, Y. Lv, and l. Zhou, “Visual Analysis of Traditional Chinese Medicine Health Records,” </w:t>
      </w:r>
      <w:r>
        <w:rPr>
          <w:rFonts w:cs="Times New Roman"/>
          <w:i/>
        </w:rPr>
        <w:t>Journal of Computer-Aided Design and Computer Graphics</w:t>
      </w:r>
      <w:r>
        <w:rPr>
          <w:rFonts w:cs="Times New Roman"/>
        </w:rPr>
        <w:t>, vol. 33, no. 12, p. 10, 2021.</w:t>
      </w:r>
    </w:p>
    <w:p w14:paraId="1A0270A3" w14:textId="77777777" w:rsidR="00065FDF" w:rsidRDefault="007C3805">
      <w:pPr>
        <w:pStyle w:val="af7"/>
        <w:rPr>
          <w:rFonts w:cs="Times New Roman"/>
        </w:rPr>
      </w:pPr>
      <w:r>
        <w:rPr>
          <w:rFonts w:cs="Times New Roman"/>
        </w:rPr>
        <w:t>[</w:t>
      </w:r>
      <w:bookmarkStart w:id="65" w:name="BIB_schulz_3a2011"/>
      <w:r>
        <w:rPr>
          <w:rFonts w:cs="Times New Roman"/>
        </w:rPr>
        <w:t>11</w:t>
      </w:r>
      <w:bookmarkStart w:id="66" w:name="B4B_schulz_3a2011"/>
      <w:bookmarkEnd w:id="65"/>
      <w:bookmarkEnd w:id="66"/>
      <w:r>
        <w:rPr>
          <w:rFonts w:cs="Times New Roman"/>
        </w:rPr>
        <w:t>]</w:t>
      </w:r>
      <w:r>
        <w:rPr>
          <w:rFonts w:cs="Times New Roman"/>
        </w:rPr>
        <w:tab/>
        <w:t xml:space="preserve">H.-J. Schulz, S. Hadlak, and H. Schumann, “The design space of implicit hierarchy visualization: A survey,” </w:t>
      </w:r>
      <w:r>
        <w:rPr>
          <w:rFonts w:cs="Times New Roman"/>
          <w:i/>
        </w:rPr>
        <w:t>IEEE Transactions on Visualization and Computer Graphics</w:t>
      </w:r>
      <w:r>
        <w:rPr>
          <w:rFonts w:cs="Times New Roman"/>
        </w:rPr>
        <w:t>, vol. 17, no. 4, pp. 393–411, 2011.</w:t>
      </w:r>
    </w:p>
    <w:p w14:paraId="6AA7E55E" w14:textId="77777777" w:rsidR="00065FDF" w:rsidRDefault="007C3805">
      <w:pPr>
        <w:pStyle w:val="af7"/>
        <w:rPr>
          <w:rFonts w:cs="Times New Roman"/>
        </w:rPr>
      </w:pPr>
      <w:r>
        <w:rPr>
          <w:rFonts w:cs="Times New Roman"/>
        </w:rPr>
        <w:t>[</w:t>
      </w:r>
      <w:bookmarkStart w:id="67" w:name="BIB_johnson_3a1991"/>
      <w:r>
        <w:rPr>
          <w:rFonts w:cs="Times New Roman"/>
        </w:rPr>
        <w:t>12</w:t>
      </w:r>
      <w:bookmarkStart w:id="68" w:name="B4B_johnson_3a1991"/>
      <w:bookmarkEnd w:id="67"/>
      <w:bookmarkEnd w:id="68"/>
      <w:r>
        <w:rPr>
          <w:rFonts w:cs="Times New Roman"/>
        </w:rPr>
        <w:t>]</w:t>
      </w:r>
      <w:r>
        <w:rPr>
          <w:rFonts w:cs="Times New Roman"/>
        </w:rPr>
        <w:tab/>
        <w:t xml:space="preserve">B. Johnson and B. Shneiderman, “Tree-maps: a space-filling approach to the visualization of hierarchical information structures,” in </w:t>
      </w:r>
      <w:r>
        <w:rPr>
          <w:rFonts w:cs="Times New Roman"/>
          <w:i/>
        </w:rPr>
        <w:t>Proceeding Visualization ’91</w:t>
      </w:r>
      <w:r>
        <w:rPr>
          <w:rFonts w:cs="Times New Roman"/>
        </w:rPr>
        <w:t>, 1991, pp. 284–291.</w:t>
      </w:r>
    </w:p>
    <w:p w14:paraId="46174447" w14:textId="77777777" w:rsidR="00065FDF" w:rsidRDefault="007C3805">
      <w:pPr>
        <w:pStyle w:val="af7"/>
        <w:rPr>
          <w:rFonts w:cs="Times New Roman"/>
        </w:rPr>
      </w:pPr>
      <w:r>
        <w:rPr>
          <w:rFonts w:cs="Times New Roman"/>
        </w:rPr>
        <w:t>[</w:t>
      </w:r>
      <w:bookmarkStart w:id="69" w:name="BIB_shneiderman1992"/>
      <w:r>
        <w:rPr>
          <w:rFonts w:cs="Times New Roman"/>
        </w:rPr>
        <w:t>13</w:t>
      </w:r>
      <w:bookmarkStart w:id="70" w:name="B4B_shneiderman1992"/>
      <w:bookmarkEnd w:id="69"/>
      <w:bookmarkEnd w:id="70"/>
      <w:r>
        <w:rPr>
          <w:rFonts w:cs="Times New Roman"/>
        </w:rPr>
        <w:t>]</w:t>
      </w:r>
      <w:r>
        <w:rPr>
          <w:rFonts w:cs="Times New Roman"/>
        </w:rPr>
        <w:tab/>
        <w:t xml:space="preserve">B. Shneiderman, “Tree visualization with tree-maps: 2-d space-filling approach,” </w:t>
      </w:r>
      <w:r>
        <w:rPr>
          <w:rFonts w:cs="Times New Roman"/>
          <w:i/>
        </w:rPr>
        <w:t>ACM Trans. Graph.</w:t>
      </w:r>
      <w:r>
        <w:rPr>
          <w:rFonts w:cs="Times New Roman"/>
        </w:rPr>
        <w:t>, vol. 11, no. 1, p. 92–99, 1992. [Online]. Available: https://</w:t>
      </w:r>
      <w:r>
        <w:rPr>
          <w:rFonts w:cs="Times New Roman"/>
        </w:rPr>
        <w:softHyphen/>
        <w:t>doi.org/</w:t>
      </w:r>
      <w:r>
        <w:rPr>
          <w:rFonts w:cs="Times New Roman"/>
        </w:rPr>
        <w:softHyphen/>
        <w:t>10.1145/</w:t>
      </w:r>
      <w:r>
        <w:rPr>
          <w:rFonts w:cs="Times New Roman"/>
        </w:rPr>
        <w:softHyphen/>
        <w:t xml:space="preserve">102377.115768 </w:t>
      </w:r>
    </w:p>
    <w:p w14:paraId="05A33EAC" w14:textId="77777777" w:rsidR="00065FDF" w:rsidRDefault="007C3805">
      <w:pPr>
        <w:pStyle w:val="af7"/>
        <w:rPr>
          <w:rFonts w:cs="Times New Roman"/>
        </w:rPr>
      </w:pPr>
      <w:r>
        <w:rPr>
          <w:rFonts w:cs="Times New Roman"/>
        </w:rPr>
        <w:t>[</w:t>
      </w:r>
      <w:bookmarkStart w:id="71" w:name="BIB_kruskal_3a1983"/>
      <w:r>
        <w:rPr>
          <w:rFonts w:cs="Times New Roman"/>
        </w:rPr>
        <w:t>14</w:t>
      </w:r>
      <w:bookmarkStart w:id="72" w:name="B4B_kruskal_3a1983"/>
      <w:bookmarkEnd w:id="71"/>
      <w:bookmarkEnd w:id="72"/>
      <w:r>
        <w:rPr>
          <w:rFonts w:cs="Times New Roman"/>
        </w:rPr>
        <w:t>]</w:t>
      </w:r>
      <w:r>
        <w:rPr>
          <w:rFonts w:cs="Times New Roman"/>
        </w:rPr>
        <w:tab/>
        <w:t xml:space="preserve">J. B. Kruskal and J. M. Landwehr, “Icicle plots: Better displays for hierarchical clustering,” </w:t>
      </w:r>
      <w:r>
        <w:rPr>
          <w:rFonts w:cs="Times New Roman"/>
          <w:i/>
        </w:rPr>
        <w:t>The American Statistician</w:t>
      </w:r>
      <w:r>
        <w:rPr>
          <w:rFonts w:cs="Times New Roman"/>
        </w:rPr>
        <w:t>, vol. 37, no. 2, pp. 162–168, 1983. [Online]. Available: http://</w:t>
      </w:r>
      <w:r>
        <w:rPr>
          <w:rFonts w:cs="Times New Roman"/>
        </w:rPr>
        <w:softHyphen/>
        <w:t>www.jstor.org/</w:t>
      </w:r>
      <w:r>
        <w:rPr>
          <w:rFonts w:cs="Times New Roman"/>
        </w:rPr>
        <w:softHyphen/>
        <w:t>stable/</w:t>
      </w:r>
      <w:r>
        <w:rPr>
          <w:rFonts w:cs="Times New Roman"/>
        </w:rPr>
        <w:softHyphen/>
        <w:t xml:space="preserve">2685881 </w:t>
      </w:r>
    </w:p>
    <w:p w14:paraId="62A80F05" w14:textId="77777777" w:rsidR="00065FDF" w:rsidRDefault="007C3805">
      <w:pPr>
        <w:pStyle w:val="af7"/>
        <w:rPr>
          <w:rFonts w:cs="Times New Roman"/>
        </w:rPr>
      </w:pPr>
      <w:r>
        <w:rPr>
          <w:rFonts w:cs="Times New Roman"/>
        </w:rPr>
        <w:t>[</w:t>
      </w:r>
      <w:bookmarkStart w:id="73" w:name="BIB_auber2013"/>
      <w:r>
        <w:rPr>
          <w:rFonts w:cs="Times New Roman"/>
        </w:rPr>
        <w:t>15</w:t>
      </w:r>
      <w:bookmarkStart w:id="74" w:name="B4B_auber2013"/>
      <w:bookmarkEnd w:id="73"/>
      <w:bookmarkEnd w:id="74"/>
      <w:r>
        <w:rPr>
          <w:rFonts w:cs="Times New Roman"/>
        </w:rPr>
        <w:t>]</w:t>
      </w:r>
      <w:r>
        <w:rPr>
          <w:rFonts w:cs="Times New Roman"/>
        </w:rPr>
        <w:tab/>
        <w:t xml:space="preserve">D. Auber, C. Huet, A. Lambert, B. Renoust, A. Sallaberry, and A. Saulnier, “Gospermap: Using a gosper curve for laying out hierarchical data,” </w:t>
      </w:r>
      <w:r>
        <w:rPr>
          <w:rFonts w:cs="Times New Roman"/>
          <w:i/>
        </w:rPr>
        <w:t>IEEE Transactions on Visualization and Computer Graphics</w:t>
      </w:r>
      <w:r>
        <w:rPr>
          <w:rFonts w:cs="Times New Roman"/>
        </w:rPr>
        <w:t>, vol. 19, no. 11, pp. 1820–1832, 2013.</w:t>
      </w:r>
    </w:p>
    <w:p w14:paraId="6455180B" w14:textId="77777777" w:rsidR="00065FDF" w:rsidRDefault="007C3805">
      <w:pPr>
        <w:pStyle w:val="af7"/>
        <w:rPr>
          <w:rFonts w:cs="Times New Roman"/>
        </w:rPr>
      </w:pPr>
      <w:r>
        <w:rPr>
          <w:rFonts w:cs="Times New Roman"/>
        </w:rPr>
        <w:t>[</w:t>
      </w:r>
      <w:bookmarkStart w:id="75" w:name="BIB_vanwijk1999"/>
      <w:r>
        <w:rPr>
          <w:rFonts w:cs="Times New Roman"/>
        </w:rPr>
        <w:t>16</w:t>
      </w:r>
      <w:bookmarkStart w:id="76" w:name="B4B_vanwijk1999"/>
      <w:bookmarkEnd w:id="75"/>
      <w:bookmarkEnd w:id="76"/>
      <w:r>
        <w:rPr>
          <w:rFonts w:cs="Times New Roman"/>
        </w:rPr>
        <w:t>]</w:t>
      </w:r>
      <w:r>
        <w:rPr>
          <w:rFonts w:cs="Times New Roman"/>
        </w:rPr>
        <w:tab/>
        <w:t xml:space="preserve">J. Van Wijk and H. Van de Wetering, “Cushion treemaps: visualization of hierarchical information,” in </w:t>
      </w:r>
      <w:r>
        <w:rPr>
          <w:rFonts w:cs="Times New Roman"/>
          <w:i/>
        </w:rPr>
        <w:t>Proceedings 1999 IEEE Symposium on Information Visualization (InfoVis’99)</w:t>
      </w:r>
      <w:r>
        <w:rPr>
          <w:rFonts w:cs="Times New Roman"/>
        </w:rPr>
        <w:t>, 1999, pp. 73–78.</w:t>
      </w:r>
    </w:p>
    <w:p w14:paraId="2F88470C" w14:textId="77777777" w:rsidR="00065FDF" w:rsidRDefault="007C3805">
      <w:pPr>
        <w:pStyle w:val="af7"/>
        <w:rPr>
          <w:rFonts w:cs="Times New Roman"/>
        </w:rPr>
      </w:pPr>
      <w:r>
        <w:rPr>
          <w:rFonts w:cs="Times New Roman"/>
        </w:rPr>
        <w:t>[</w:t>
      </w:r>
      <w:bookmarkStart w:id="77" w:name="BIB_bruls2000"/>
      <w:r>
        <w:rPr>
          <w:rFonts w:cs="Times New Roman"/>
        </w:rPr>
        <w:t>17</w:t>
      </w:r>
      <w:bookmarkStart w:id="78" w:name="B4B_bruls2000"/>
      <w:bookmarkEnd w:id="77"/>
      <w:bookmarkEnd w:id="78"/>
      <w:r>
        <w:rPr>
          <w:rFonts w:cs="Times New Roman"/>
        </w:rPr>
        <w:t>]</w:t>
      </w:r>
      <w:r>
        <w:rPr>
          <w:rFonts w:cs="Times New Roman"/>
        </w:rPr>
        <w:tab/>
        <w:t xml:space="preserve">M. Bruls, K. Huizing, and J. J. van Wijk, “Squarified treemaps,” in </w:t>
      </w:r>
      <w:r>
        <w:rPr>
          <w:rFonts w:cs="Times New Roman"/>
          <w:i/>
        </w:rPr>
        <w:t>Data Visualization 2000</w:t>
      </w:r>
      <w:r>
        <w:rPr>
          <w:rFonts w:cs="Times New Roman"/>
        </w:rPr>
        <w:t>, W. C. de Leeuw and R. van Liere, Eds. Vienna: Springer Vienna, 2000, pp. 33–42.</w:t>
      </w:r>
    </w:p>
    <w:p w14:paraId="1A1A642A" w14:textId="77777777" w:rsidR="00065FDF" w:rsidRDefault="007C3805">
      <w:pPr>
        <w:pStyle w:val="af7"/>
        <w:rPr>
          <w:rFonts w:cs="Times New Roman"/>
        </w:rPr>
      </w:pPr>
      <w:r>
        <w:rPr>
          <w:rFonts w:cs="Times New Roman"/>
        </w:rPr>
        <w:t>[</w:t>
      </w:r>
      <w:bookmarkStart w:id="79" w:name="BIB_goertler2018"/>
      <w:r>
        <w:rPr>
          <w:rFonts w:cs="Times New Roman"/>
        </w:rPr>
        <w:t>18</w:t>
      </w:r>
      <w:bookmarkStart w:id="80" w:name="B4B_goertler2018"/>
      <w:bookmarkEnd w:id="79"/>
      <w:bookmarkEnd w:id="80"/>
      <w:r>
        <w:rPr>
          <w:rFonts w:cs="Times New Roman"/>
        </w:rPr>
        <w:t>]</w:t>
      </w:r>
      <w:r>
        <w:rPr>
          <w:rFonts w:cs="Times New Roman"/>
        </w:rPr>
        <w:tab/>
        <w:t xml:space="preserve">J. Grtler, C. Schulz, D. Weiskopf, and O. Deussen, “Bubble treemaps for uncertainty visualization,” </w:t>
      </w:r>
      <w:r>
        <w:rPr>
          <w:rFonts w:cs="Times New Roman"/>
          <w:i/>
        </w:rPr>
        <w:t>IEEE Transactions on Visualization and Computer Graphics</w:t>
      </w:r>
      <w:r>
        <w:rPr>
          <w:rFonts w:cs="Times New Roman"/>
        </w:rPr>
        <w:t>, vol. 24, no. 1, pp. 719–728, 2018.</w:t>
      </w:r>
    </w:p>
    <w:p w14:paraId="018159B5" w14:textId="77777777" w:rsidR="00065FDF" w:rsidRDefault="007C3805">
      <w:pPr>
        <w:pStyle w:val="af7"/>
        <w:rPr>
          <w:rFonts w:cs="Times New Roman"/>
        </w:rPr>
      </w:pPr>
      <w:r>
        <w:rPr>
          <w:rFonts w:cs="Times New Roman"/>
        </w:rPr>
        <w:t>[</w:t>
      </w:r>
      <w:bookmarkStart w:id="81" w:name="BIB_maaten2008"/>
      <w:r>
        <w:rPr>
          <w:rFonts w:cs="Times New Roman"/>
        </w:rPr>
        <w:t>19</w:t>
      </w:r>
      <w:bookmarkStart w:id="82" w:name="B4B_maaten2008"/>
      <w:bookmarkEnd w:id="81"/>
      <w:bookmarkEnd w:id="82"/>
      <w:r>
        <w:rPr>
          <w:rFonts w:cs="Times New Roman"/>
        </w:rPr>
        <w:t>]</w:t>
      </w:r>
      <w:r>
        <w:rPr>
          <w:rFonts w:cs="Times New Roman"/>
        </w:rPr>
        <w:tab/>
        <w:t xml:space="preserve">L. van der Maaten and G. Hinton, “Visualizing data using t-sne,” </w:t>
      </w:r>
      <w:r>
        <w:rPr>
          <w:rFonts w:cs="Times New Roman"/>
          <w:i/>
        </w:rPr>
        <w:t>Journal of Machine Learning Research</w:t>
      </w:r>
      <w:r>
        <w:rPr>
          <w:rFonts w:cs="Times New Roman"/>
        </w:rPr>
        <w:t>, vol. 9, no. 86, pp. 2579–2605, 2008. [Online]. Available: http://</w:t>
      </w:r>
      <w:r>
        <w:rPr>
          <w:rFonts w:cs="Times New Roman"/>
        </w:rPr>
        <w:softHyphen/>
        <w:t>jmlr.org/</w:t>
      </w:r>
      <w:r>
        <w:rPr>
          <w:rFonts w:cs="Times New Roman"/>
        </w:rPr>
        <w:softHyphen/>
        <w:t>papers/</w:t>
      </w:r>
      <w:r>
        <w:rPr>
          <w:rFonts w:cs="Times New Roman"/>
        </w:rPr>
        <w:softHyphen/>
        <w:t>v9/</w:t>
      </w:r>
      <w:r>
        <w:rPr>
          <w:rFonts w:cs="Times New Roman"/>
        </w:rPr>
        <w:softHyphen/>
        <w:t xml:space="preserve">vandermaaten08a.html </w:t>
      </w:r>
    </w:p>
    <w:p w14:paraId="5A5B1BF1" w14:textId="77777777" w:rsidR="00065FDF" w:rsidRDefault="007C3805">
      <w:pPr>
        <w:pStyle w:val="af7"/>
        <w:rPr>
          <w:rFonts w:cs="Times New Roman"/>
        </w:rPr>
      </w:pPr>
      <w:r>
        <w:rPr>
          <w:rFonts w:cs="Times New Roman"/>
        </w:rPr>
        <w:t>[</w:t>
      </w:r>
      <w:bookmarkStart w:id="83" w:name="BIB_lee07"/>
      <w:r>
        <w:rPr>
          <w:rFonts w:cs="Times New Roman"/>
        </w:rPr>
        <w:t>20</w:t>
      </w:r>
      <w:bookmarkStart w:id="84" w:name="B4B_lee07"/>
      <w:bookmarkEnd w:id="83"/>
      <w:bookmarkEnd w:id="84"/>
      <w:r>
        <w:rPr>
          <w:rFonts w:cs="Times New Roman"/>
        </w:rPr>
        <w:t>]</w:t>
      </w:r>
      <w:r>
        <w:rPr>
          <w:rFonts w:cs="Times New Roman"/>
        </w:rPr>
        <w:tab/>
        <w:t xml:space="preserve">J. A. Lee and M. Verleysen, </w:t>
      </w:r>
      <w:r>
        <w:rPr>
          <w:rFonts w:cs="Times New Roman"/>
          <w:i/>
        </w:rPr>
        <w:t>Nonlinear Dimensionality Reduction</w:t>
      </w:r>
      <w:r>
        <w:rPr>
          <w:rFonts w:cs="Times New Roman"/>
        </w:rPr>
        <w:t>. New York: Springer-Verlag, 2007.</w:t>
      </w:r>
    </w:p>
    <w:p w14:paraId="744BC650" w14:textId="77777777" w:rsidR="00065FDF" w:rsidRDefault="007C3805">
      <w:pPr>
        <w:pStyle w:val="af7"/>
        <w:rPr>
          <w:rFonts w:cs="Times New Roman"/>
        </w:rPr>
      </w:pPr>
      <w:r>
        <w:rPr>
          <w:rFonts w:cs="Times New Roman"/>
        </w:rPr>
        <w:t>[</w:t>
      </w:r>
      <w:bookmarkStart w:id="85" w:name="BIB_cunningham2015"/>
      <w:r>
        <w:rPr>
          <w:rFonts w:cs="Times New Roman"/>
        </w:rPr>
        <w:t>21</w:t>
      </w:r>
      <w:bookmarkStart w:id="86" w:name="B4B_cunningham2015"/>
      <w:bookmarkEnd w:id="85"/>
      <w:bookmarkEnd w:id="86"/>
      <w:r>
        <w:rPr>
          <w:rFonts w:cs="Times New Roman"/>
        </w:rPr>
        <w:t>]</w:t>
      </w:r>
      <w:r>
        <w:rPr>
          <w:rFonts w:cs="Times New Roman"/>
        </w:rPr>
        <w:tab/>
        <w:t xml:space="preserve">J. P. Cunningham and Z. Ghahramani, “Linear dimensionality reduction: Survey, insights, and generalizations,” </w:t>
      </w:r>
      <w:r>
        <w:rPr>
          <w:rFonts w:cs="Times New Roman"/>
          <w:i/>
        </w:rPr>
        <w:t>Journal of Machine Learning Research</w:t>
      </w:r>
      <w:r>
        <w:rPr>
          <w:rFonts w:cs="Times New Roman"/>
        </w:rPr>
        <w:t>, vol. 16, no. 1, p. 2859–2900, 2015.</w:t>
      </w:r>
    </w:p>
    <w:p w14:paraId="1A03E799" w14:textId="77777777" w:rsidR="00065FDF" w:rsidRDefault="007C3805">
      <w:pPr>
        <w:pStyle w:val="af7"/>
        <w:rPr>
          <w:rFonts w:cs="Times New Roman"/>
        </w:rPr>
      </w:pPr>
      <w:r>
        <w:rPr>
          <w:rFonts w:cs="Times New Roman"/>
        </w:rPr>
        <w:lastRenderedPageBreak/>
        <w:t>[</w:t>
      </w:r>
      <w:bookmarkStart w:id="87" w:name="BIB_maaten09"/>
      <w:r>
        <w:rPr>
          <w:rFonts w:cs="Times New Roman"/>
        </w:rPr>
        <w:t>22</w:t>
      </w:r>
      <w:bookmarkStart w:id="88" w:name="B4B_maaten09"/>
      <w:bookmarkEnd w:id="87"/>
      <w:bookmarkEnd w:id="88"/>
      <w:r>
        <w:rPr>
          <w:rFonts w:cs="Times New Roman"/>
        </w:rPr>
        <w:t>]</w:t>
      </w:r>
      <w:r>
        <w:rPr>
          <w:rFonts w:cs="Times New Roman"/>
        </w:rPr>
        <w:tab/>
        <w:t>E. P. L. van der Maaten and H. van den Herik, “Dimensionality reduction: A comparative review,” Tilburg University, Tech. Rep., 2009.</w:t>
      </w:r>
    </w:p>
    <w:p w14:paraId="22D887DD" w14:textId="77777777" w:rsidR="00065FDF" w:rsidRDefault="007C3805">
      <w:pPr>
        <w:pStyle w:val="af7"/>
        <w:rPr>
          <w:rFonts w:cs="Times New Roman"/>
        </w:rPr>
      </w:pPr>
      <w:r>
        <w:rPr>
          <w:rFonts w:cs="Times New Roman"/>
        </w:rPr>
        <w:t>[</w:t>
      </w:r>
      <w:bookmarkStart w:id="89" w:name="BIB_mcinnes2018"/>
      <w:r>
        <w:rPr>
          <w:rFonts w:cs="Times New Roman"/>
        </w:rPr>
        <w:t>23</w:t>
      </w:r>
      <w:bookmarkStart w:id="90" w:name="B4B_mcinnes2018"/>
      <w:bookmarkEnd w:id="89"/>
      <w:bookmarkEnd w:id="90"/>
      <w:r>
        <w:rPr>
          <w:rFonts w:cs="Times New Roman"/>
        </w:rPr>
        <w:t>]</w:t>
      </w:r>
      <w:r>
        <w:rPr>
          <w:rFonts w:cs="Times New Roman"/>
        </w:rPr>
        <w:tab/>
        <w:t>L. McInnes, J. Healy, and J. Melville, “Umap: Uniform manifold approximation and projection for dimension reduction,” 2018.</w:t>
      </w:r>
    </w:p>
    <w:p w14:paraId="67E0F45C" w14:textId="77777777" w:rsidR="00065FDF" w:rsidRDefault="007C3805">
      <w:pPr>
        <w:pStyle w:val="af7"/>
        <w:rPr>
          <w:rFonts w:cs="Times New Roman"/>
        </w:rPr>
      </w:pPr>
      <w:r>
        <w:rPr>
          <w:rFonts w:cs="Times New Roman"/>
        </w:rPr>
        <w:t>[</w:t>
      </w:r>
      <w:bookmarkStart w:id="91" w:name="BIB_zhou2016"/>
      <w:r>
        <w:rPr>
          <w:rFonts w:cs="Times New Roman"/>
        </w:rPr>
        <w:t>24</w:t>
      </w:r>
      <w:bookmarkStart w:id="92" w:name="B4B_zhou2016"/>
      <w:bookmarkEnd w:id="91"/>
      <w:bookmarkEnd w:id="92"/>
      <w:r>
        <w:rPr>
          <w:rFonts w:cs="Times New Roman"/>
        </w:rPr>
        <w:t>]</w:t>
      </w:r>
      <w:r>
        <w:rPr>
          <w:rFonts w:cs="Times New Roman"/>
        </w:rPr>
        <w:tab/>
        <w:t xml:space="preserve">L. Zhou and C. D. Hansen, “A survey of colormaps in visualization,” </w:t>
      </w:r>
      <w:r>
        <w:rPr>
          <w:rFonts w:cs="Times New Roman"/>
          <w:i/>
        </w:rPr>
        <w:t>IEEE Transactions on Visualization and Computer Graphics</w:t>
      </w:r>
      <w:r>
        <w:rPr>
          <w:rFonts w:cs="Times New Roman"/>
        </w:rPr>
        <w:t>, vol. 22, no. 8, pp. 2051–2069, 2016.</w:t>
      </w:r>
    </w:p>
    <w:p w14:paraId="3C0B6DC6" w14:textId="77777777" w:rsidR="00065FDF" w:rsidRDefault="007C3805">
      <w:pPr>
        <w:pStyle w:val="af7"/>
        <w:rPr>
          <w:rFonts w:cs="Times New Roman"/>
        </w:rPr>
      </w:pPr>
      <w:r>
        <w:rPr>
          <w:rFonts w:cs="Times New Roman"/>
        </w:rPr>
        <w:t>[</w:t>
      </w:r>
      <w:bookmarkStart w:id="93" w:name="BIB_robertson1986"/>
      <w:r>
        <w:rPr>
          <w:rFonts w:cs="Times New Roman"/>
        </w:rPr>
        <w:t>25</w:t>
      </w:r>
      <w:bookmarkStart w:id="94" w:name="B4B_robertson1986"/>
      <w:bookmarkEnd w:id="93"/>
      <w:bookmarkEnd w:id="94"/>
      <w:r>
        <w:rPr>
          <w:rFonts w:cs="Times New Roman"/>
        </w:rPr>
        <w:t>]</w:t>
      </w:r>
      <w:r>
        <w:rPr>
          <w:rFonts w:cs="Times New Roman"/>
        </w:rPr>
        <w:tab/>
        <w:t xml:space="preserve">P. K. Robertson and J. F. O’Callaghan, “The generation of color sequences for univariate and bivariate mapping,” </w:t>
      </w:r>
      <w:r>
        <w:rPr>
          <w:rFonts w:cs="Times New Roman"/>
          <w:i/>
        </w:rPr>
        <w:t>IEEE Computer Graphics and Applications</w:t>
      </w:r>
      <w:r>
        <w:rPr>
          <w:rFonts w:cs="Times New Roman"/>
        </w:rPr>
        <w:t>, vol. 6, no. 2, pp. 24–32, 1986.</w:t>
      </w:r>
    </w:p>
    <w:p w14:paraId="1D7F248A" w14:textId="77777777" w:rsidR="00065FDF" w:rsidRDefault="007C3805">
      <w:pPr>
        <w:pStyle w:val="af7"/>
        <w:rPr>
          <w:rFonts w:cs="Times New Roman"/>
        </w:rPr>
      </w:pPr>
      <w:r>
        <w:rPr>
          <w:rFonts w:cs="Times New Roman"/>
        </w:rPr>
        <w:t>[</w:t>
      </w:r>
      <w:bookmarkStart w:id="95" w:name="BIB_levkowitz1992"/>
      <w:r>
        <w:rPr>
          <w:rFonts w:cs="Times New Roman"/>
        </w:rPr>
        <w:t>26</w:t>
      </w:r>
      <w:bookmarkStart w:id="96" w:name="B4B_levkowitz1992"/>
      <w:bookmarkEnd w:id="95"/>
      <w:bookmarkEnd w:id="96"/>
      <w:r>
        <w:rPr>
          <w:rFonts w:cs="Times New Roman"/>
        </w:rPr>
        <w:t>]</w:t>
      </w:r>
      <w:r>
        <w:rPr>
          <w:rFonts w:cs="Times New Roman"/>
        </w:rPr>
        <w:tab/>
        <w:t xml:space="preserve">H. Levkowitz and G. Herman, “Color scales for image data,” </w:t>
      </w:r>
      <w:r>
        <w:rPr>
          <w:rFonts w:cs="Times New Roman"/>
          <w:i/>
        </w:rPr>
        <w:t>IEEE Computer Graphics and Applications</w:t>
      </w:r>
      <w:r>
        <w:rPr>
          <w:rFonts w:cs="Times New Roman"/>
        </w:rPr>
        <w:t>, vol. 12, no. 1, pp. 72–80, Jan 1992.</w:t>
      </w:r>
    </w:p>
    <w:p w14:paraId="31A99348" w14:textId="77777777" w:rsidR="00065FDF" w:rsidRDefault="007C3805">
      <w:pPr>
        <w:pStyle w:val="af7"/>
        <w:rPr>
          <w:rFonts w:cs="Times New Roman"/>
        </w:rPr>
      </w:pPr>
      <w:r>
        <w:rPr>
          <w:rFonts w:cs="Times New Roman"/>
        </w:rPr>
        <w:t>[</w:t>
      </w:r>
      <w:bookmarkStart w:id="97" w:name="BIB_cie2018"/>
      <w:r>
        <w:rPr>
          <w:rFonts w:cs="Times New Roman"/>
        </w:rPr>
        <w:t>27</w:t>
      </w:r>
      <w:bookmarkStart w:id="98" w:name="B4B_cie2018"/>
      <w:bookmarkEnd w:id="97"/>
      <w:bookmarkEnd w:id="98"/>
      <w:r>
        <w:rPr>
          <w:rFonts w:cs="Times New Roman"/>
        </w:rPr>
        <w:t>]</w:t>
      </w:r>
      <w:r>
        <w:rPr>
          <w:rFonts w:cs="Times New Roman"/>
        </w:rPr>
        <w:tab/>
        <w:t>CIE, “Colorimetry, 4th edition,” Commision Internationale de l’Eclairage, Tech. Rep., 2018.</w:t>
      </w:r>
    </w:p>
    <w:p w14:paraId="51840021" w14:textId="77777777" w:rsidR="00065FDF" w:rsidRDefault="007C3805">
      <w:pPr>
        <w:pStyle w:val="af7"/>
        <w:rPr>
          <w:rFonts w:cs="Times New Roman"/>
        </w:rPr>
      </w:pPr>
      <w:r>
        <w:rPr>
          <w:rFonts w:cs="Times New Roman"/>
        </w:rPr>
        <w:t>[</w:t>
      </w:r>
      <w:bookmarkStart w:id="99" w:name="BIB_luo2006"/>
      <w:r>
        <w:rPr>
          <w:rFonts w:cs="Times New Roman"/>
        </w:rPr>
        <w:t>28</w:t>
      </w:r>
      <w:bookmarkStart w:id="100" w:name="B4B_luo2006"/>
      <w:bookmarkEnd w:id="99"/>
      <w:bookmarkEnd w:id="100"/>
      <w:r>
        <w:rPr>
          <w:rFonts w:cs="Times New Roman"/>
        </w:rPr>
        <w:t>]</w:t>
      </w:r>
      <w:r>
        <w:rPr>
          <w:rFonts w:cs="Times New Roman"/>
        </w:rPr>
        <w:tab/>
        <w:t xml:space="preserve">M. R. Luo, G. Cui, and C. Li, “Uniform colour spaces based on ciecam02 colour appearance model,” </w:t>
      </w:r>
      <w:r>
        <w:rPr>
          <w:rFonts w:cs="Times New Roman"/>
          <w:i/>
        </w:rPr>
        <w:t>Color Research &amp; Application</w:t>
      </w:r>
      <w:r>
        <w:rPr>
          <w:rFonts w:cs="Times New Roman"/>
        </w:rPr>
        <w:t>, vol. 31, no. 4, pp. 320–330, 2006. [Online]. Available: https://</w:t>
      </w:r>
      <w:r>
        <w:rPr>
          <w:rFonts w:cs="Times New Roman"/>
        </w:rPr>
        <w:softHyphen/>
        <w:t>onlinelibrary.wiley.com/</w:t>
      </w:r>
      <w:r>
        <w:rPr>
          <w:rFonts w:cs="Times New Roman"/>
        </w:rPr>
        <w:softHyphen/>
        <w:t>doi/</w:t>
      </w:r>
      <w:r>
        <w:rPr>
          <w:rFonts w:cs="Times New Roman"/>
        </w:rPr>
        <w:softHyphen/>
        <w:t>abs/</w:t>
      </w:r>
      <w:r>
        <w:rPr>
          <w:rFonts w:cs="Times New Roman"/>
        </w:rPr>
        <w:softHyphen/>
        <w:t>10.1002/</w:t>
      </w:r>
      <w:r>
        <w:rPr>
          <w:rFonts w:cs="Times New Roman"/>
        </w:rPr>
        <w:softHyphen/>
        <w:t xml:space="preserve">col.20227 </w:t>
      </w:r>
    </w:p>
    <w:p w14:paraId="5005DD0F" w14:textId="77777777" w:rsidR="00065FDF" w:rsidRDefault="007C3805">
      <w:pPr>
        <w:pStyle w:val="af7"/>
        <w:rPr>
          <w:rFonts w:cs="Times New Roman"/>
        </w:rPr>
      </w:pPr>
      <w:r>
        <w:rPr>
          <w:rFonts w:cs="Times New Roman"/>
        </w:rPr>
        <w:t>[</w:t>
      </w:r>
      <w:bookmarkStart w:id="101" w:name="BIB_moroney2002"/>
      <w:r>
        <w:rPr>
          <w:rFonts w:cs="Times New Roman"/>
        </w:rPr>
        <w:t>29</w:t>
      </w:r>
      <w:bookmarkStart w:id="102" w:name="B4B_moroney2002"/>
      <w:bookmarkEnd w:id="101"/>
      <w:bookmarkEnd w:id="102"/>
      <w:r>
        <w:rPr>
          <w:rFonts w:cs="Times New Roman"/>
        </w:rPr>
        <w:t>]</w:t>
      </w:r>
      <w:r>
        <w:rPr>
          <w:rFonts w:cs="Times New Roman"/>
        </w:rPr>
        <w:tab/>
        <w:t>N. Moroney, M. Fairchild, R. Hunt, l. Changjun, M. Luo, and T. Newman, “The ciecam02 color appearance model,” vol. 10, 2002, pp. 23–27.</w:t>
      </w:r>
    </w:p>
    <w:p w14:paraId="0BFE77F2" w14:textId="77777777" w:rsidR="00065FDF" w:rsidRDefault="007C3805">
      <w:pPr>
        <w:pStyle w:val="af7"/>
        <w:rPr>
          <w:rFonts w:cs="Times New Roman"/>
        </w:rPr>
      </w:pPr>
      <w:r>
        <w:rPr>
          <w:rFonts w:cs="Times New Roman"/>
        </w:rPr>
        <w:t>[</w:t>
      </w:r>
      <w:bookmarkStart w:id="103" w:name="BIB_xuming2016538"/>
      <w:r>
        <w:rPr>
          <w:rFonts w:cs="Times New Roman"/>
        </w:rPr>
        <w:t>30</w:t>
      </w:r>
      <w:bookmarkStart w:id="104" w:name="B4B_xuming2016538"/>
      <w:bookmarkEnd w:id="103"/>
      <w:bookmarkEnd w:id="104"/>
      <w:r>
        <w:rPr>
          <w:rFonts w:cs="Times New Roman"/>
        </w:rPr>
        <w:t>]</w:t>
      </w:r>
      <w:r>
        <w:rPr>
          <w:rFonts w:cs="Times New Roman"/>
        </w:rPr>
        <w:tab/>
        <w:t xml:space="preserve">Y. Xuming, Q. Mingyuan, L. Qian, C. Li, Y. Zhongyi, and Y. Lin, “Information integration research on cumulative effect of ‘siqi, wuwei, and guijing’ in traditional chinese medicine,” </w:t>
      </w:r>
      <w:r>
        <w:rPr>
          <w:rFonts w:cs="Times New Roman"/>
          <w:i/>
        </w:rPr>
        <w:t>Journal of Traditional Chinese Medicine</w:t>
      </w:r>
      <w:r>
        <w:rPr>
          <w:rFonts w:cs="Times New Roman"/>
        </w:rPr>
        <w:t>, vol. 36, no. 4, pp. 538–546, 2016. [Online]. Available: https://</w:t>
      </w:r>
      <w:r>
        <w:rPr>
          <w:rFonts w:cs="Times New Roman"/>
        </w:rPr>
        <w:softHyphen/>
        <w:t>www.sciencedirect.com/</w:t>
      </w:r>
      <w:r>
        <w:rPr>
          <w:rFonts w:cs="Times New Roman"/>
        </w:rPr>
        <w:softHyphen/>
        <w:t>science/</w:t>
      </w:r>
      <w:r>
        <w:rPr>
          <w:rFonts w:cs="Times New Roman"/>
        </w:rPr>
        <w:softHyphen/>
        <w:t>article/</w:t>
      </w:r>
      <w:r>
        <w:rPr>
          <w:rFonts w:cs="Times New Roman"/>
        </w:rPr>
        <w:softHyphen/>
        <w:t>pii/</w:t>
      </w:r>
      <w:r>
        <w:rPr>
          <w:rFonts w:cs="Times New Roman"/>
        </w:rPr>
        <w:softHyphen/>
        <w:t xml:space="preserve">S0254627216300723 </w:t>
      </w:r>
    </w:p>
    <w:p w14:paraId="3C4C3D2E" w14:textId="77777777" w:rsidR="00065FDF" w:rsidRDefault="007C3805">
      <w:pPr>
        <w:pStyle w:val="af7"/>
        <w:rPr>
          <w:rFonts w:cs="Times New Roman"/>
        </w:rPr>
      </w:pPr>
      <w:r>
        <w:rPr>
          <w:rFonts w:cs="Times New Roman"/>
        </w:rPr>
        <w:t>[</w:t>
      </w:r>
      <w:bookmarkStart w:id="105" w:name="BIB_fangjixue"/>
      <w:r>
        <w:rPr>
          <w:rFonts w:cs="Times New Roman"/>
        </w:rPr>
        <w:t>31</w:t>
      </w:r>
      <w:bookmarkStart w:id="106" w:name="B4B_fangjixue"/>
      <w:bookmarkEnd w:id="105"/>
      <w:bookmarkEnd w:id="106"/>
      <w:r>
        <w:rPr>
          <w:rFonts w:cs="Times New Roman"/>
        </w:rPr>
        <w:t>]</w:t>
      </w:r>
      <w:r>
        <w:rPr>
          <w:rFonts w:cs="Times New Roman"/>
        </w:rPr>
        <w:tab/>
        <w:t xml:space="preserve">J. Li, </w:t>
      </w:r>
      <w:r>
        <w:rPr>
          <w:rFonts w:cs="Times New Roman"/>
          <w:i/>
        </w:rPr>
        <w:t>Chinese Herbal Formulas</w:t>
      </w:r>
      <w:r>
        <w:rPr>
          <w:rFonts w:cs="Times New Roman"/>
        </w:rPr>
        <w:t>. Beijing: The Press of Traditional Chinese Medicine, 2016.</w:t>
      </w:r>
    </w:p>
    <w:p w14:paraId="53D3E560" w14:textId="77777777" w:rsidR="00065FDF" w:rsidRDefault="007C3805">
      <w:pPr>
        <w:pStyle w:val="af7"/>
        <w:rPr>
          <w:rFonts w:cs="Times New Roman"/>
        </w:rPr>
      </w:pPr>
      <w:r>
        <w:rPr>
          <w:rFonts w:cs="Times New Roman"/>
        </w:rPr>
        <w:t>[</w:t>
      </w:r>
      <w:bookmarkStart w:id="107" w:name="BIB_wu2019"/>
      <w:r>
        <w:rPr>
          <w:rFonts w:cs="Times New Roman"/>
        </w:rPr>
        <w:t>32</w:t>
      </w:r>
      <w:bookmarkStart w:id="108" w:name="B4B_wu2019"/>
      <w:bookmarkEnd w:id="107"/>
      <w:bookmarkEnd w:id="108"/>
      <w:r>
        <w:rPr>
          <w:rFonts w:cs="Times New Roman"/>
        </w:rPr>
        <w:t>]</w:t>
      </w:r>
      <w:r>
        <w:rPr>
          <w:rFonts w:cs="Times New Roman"/>
        </w:rPr>
        <w:tab/>
        <w:t xml:space="preserve">Y. Wu, F. Zhang, K. Yang, S. Fang, D. Bu, H. Li, L. Sun, H. Hu, K. Gao, W. Wang </w:t>
      </w:r>
      <w:r>
        <w:rPr>
          <w:rFonts w:cs="Times New Roman"/>
          <w:i/>
        </w:rPr>
        <w:t>et al.</w:t>
      </w:r>
      <w:r>
        <w:rPr>
          <w:rFonts w:cs="Times New Roman"/>
        </w:rPr>
        <w:t xml:space="preserve">, “Symmap: an integrative database of traditional chinese medicine enhanced by symptom mapping,” </w:t>
      </w:r>
      <w:r>
        <w:rPr>
          <w:rFonts w:cs="Times New Roman"/>
          <w:i/>
        </w:rPr>
        <w:t>Nucleic acids research</w:t>
      </w:r>
      <w:r>
        <w:rPr>
          <w:rFonts w:cs="Times New Roman"/>
        </w:rPr>
        <w:t>, vol. 47, no. D1, pp. D1110–D1117, 2019.</w:t>
      </w:r>
    </w:p>
    <w:p w14:paraId="031381A6" w14:textId="77777777" w:rsidR="00065FDF" w:rsidRDefault="00065FDF">
      <w:pPr>
        <w:pStyle w:val="af7"/>
        <w:rPr>
          <w:rFonts w:cs="Times New Roman"/>
        </w:rPr>
      </w:pPr>
    </w:p>
    <w:p w14:paraId="1E6174C1" w14:textId="77777777" w:rsidR="00065FDF" w:rsidRDefault="00065FDF">
      <w:pPr>
        <w:pStyle w:val="af7"/>
        <w:rPr>
          <w:rFonts w:cs="Times New Roman"/>
        </w:rPr>
      </w:pPr>
    </w:p>
    <w:p w14:paraId="1BC8D37B" w14:textId="77777777" w:rsidR="00065FDF" w:rsidRDefault="00065FDF">
      <w:pPr>
        <w:pStyle w:val="af7"/>
        <w:rPr>
          <w:rFonts w:cs="Times New Roman"/>
        </w:rPr>
      </w:pPr>
    </w:p>
    <w:p w14:paraId="0265C51E" w14:textId="77777777" w:rsidR="00065FDF" w:rsidRDefault="00065FDF">
      <w:pPr>
        <w:pStyle w:val="af7"/>
        <w:rPr>
          <w:rFonts w:cs="Times New Roman"/>
        </w:rPr>
      </w:pPr>
    </w:p>
    <w:p w14:paraId="1547C28E" w14:textId="77777777" w:rsidR="00065FDF" w:rsidRDefault="00065FDF">
      <w:pPr>
        <w:pStyle w:val="af7"/>
        <w:rPr>
          <w:rFonts w:cs="Times New Roman"/>
        </w:rPr>
      </w:pPr>
    </w:p>
    <w:p w14:paraId="7CFF6CF8" w14:textId="77777777" w:rsidR="00065FDF" w:rsidRDefault="007C3805">
      <w:pPr>
        <w:pStyle w:val="2"/>
      </w:pPr>
      <w:r>
        <w:t>References</w:t>
      </w:r>
    </w:p>
    <w:p w14:paraId="6E045D74" w14:textId="77777777" w:rsidR="00065FDF" w:rsidRDefault="007C3805">
      <w:pPr>
        <w:pStyle w:val="af7"/>
        <w:numPr>
          <w:ilvl w:val="0"/>
          <w:numId w:val="5"/>
        </w:numPr>
        <w:rPr>
          <w:rFonts w:cs="Times New Roman"/>
        </w:rPr>
      </w:pPr>
      <w:bookmarkStart w:id="109" w:name="Refformat"/>
      <w:bookmarkEnd w:id="109"/>
      <w:r>
        <w:rPr>
          <w:rFonts w:cs="Times New Roman"/>
        </w:rPr>
        <w:t>DO NOT use italics, periods after authors’ initials, and periods after journal abbreviations.</w:t>
      </w:r>
    </w:p>
    <w:p w14:paraId="3882129E" w14:textId="77777777" w:rsidR="00065FDF" w:rsidRDefault="007C3805">
      <w:pPr>
        <w:pStyle w:val="af7"/>
        <w:numPr>
          <w:ilvl w:val="0"/>
          <w:numId w:val="5"/>
        </w:numPr>
        <w:rPr>
          <w:rFonts w:cs="Times New Roman"/>
        </w:rPr>
      </w:pPr>
      <w:r>
        <w:rPr>
          <w:rFonts w:cs="Times New Roman"/>
        </w:rPr>
        <w:t>DO use a semicolon (;) after a journal title before the year, put volume number in parenthesis, and use a colon (:) before the page numbers.</w:t>
      </w:r>
    </w:p>
    <w:p w14:paraId="71110B64" w14:textId="77777777" w:rsidR="00065FDF" w:rsidRDefault="007C3805">
      <w:pPr>
        <w:pStyle w:val="af7"/>
        <w:numPr>
          <w:ilvl w:val="0"/>
          <w:numId w:val="5"/>
        </w:numPr>
        <w:rPr>
          <w:rFonts w:cs="Times New Roman"/>
        </w:rPr>
      </w:pPr>
      <w:r>
        <w:rPr>
          <w:rFonts w:cs="Times New Roman"/>
        </w:rPr>
        <w:t>Titles should be in sentence case (do NOT capitalize the first letter of every word).</w:t>
      </w:r>
    </w:p>
    <w:p w14:paraId="35EEECEC" w14:textId="77777777" w:rsidR="00065FDF" w:rsidRDefault="007C3805">
      <w:pPr>
        <w:pStyle w:val="af7"/>
        <w:numPr>
          <w:ilvl w:val="0"/>
          <w:numId w:val="5"/>
        </w:numPr>
        <w:rPr>
          <w:rFonts w:cs="Times New Roman"/>
        </w:rPr>
      </w:pPr>
      <w:r>
        <w:rPr>
          <w:rFonts w:cs="Times New Roman"/>
        </w:rPr>
        <w:t>Do not use the footnotes tool to generate the reference list.</w:t>
      </w:r>
    </w:p>
    <w:p w14:paraId="2A03DB4C" w14:textId="77777777" w:rsidR="00065FDF" w:rsidRDefault="007C3805">
      <w:pPr>
        <w:pStyle w:val="af7"/>
        <w:numPr>
          <w:ilvl w:val="0"/>
          <w:numId w:val="5"/>
        </w:numPr>
        <w:rPr>
          <w:rFonts w:cs="Times New Roman"/>
        </w:rPr>
      </w:pPr>
      <w:bookmarkStart w:id="110" w:name="Refpublished"/>
      <w:bookmarkEnd w:id="110"/>
      <w:r>
        <w:rPr>
          <w:rFonts w:cs="Times New Roman"/>
          <w:b/>
        </w:rPr>
        <w:lastRenderedPageBreak/>
        <w:t xml:space="preserve">Cite only </w:t>
      </w:r>
      <w:r>
        <w:rPr>
          <w:rFonts w:cs="Times New Roman"/>
          <w:b/>
          <w:i/>
        </w:rPr>
        <w:t>published</w:t>
      </w:r>
      <w:r>
        <w:rPr>
          <w:rFonts w:cs="Times New Roman"/>
          <w:b/>
        </w:rPr>
        <w:t xml:space="preserve"> or </w:t>
      </w:r>
      <w:r>
        <w:rPr>
          <w:rFonts w:cs="Times New Roman"/>
          <w:b/>
          <w:i/>
        </w:rPr>
        <w:t>accepted</w:t>
      </w:r>
      <w:r>
        <w:rPr>
          <w:rFonts w:cs="Times New Roman"/>
          <w:b/>
        </w:rPr>
        <w:t xml:space="preserve"> (“in print”) works</w:t>
      </w:r>
      <w:r>
        <w:rPr>
          <w:rFonts w:cs="Times New Roman"/>
        </w:rPr>
        <w:t xml:space="preserve">. </w:t>
      </w:r>
      <w:r>
        <w:rPr>
          <w:rFonts w:cs="Times New Roman"/>
          <w:i/>
        </w:rPr>
        <w:t xml:space="preserve">Submitted </w:t>
      </w:r>
      <w:r>
        <w:rPr>
          <w:rFonts w:cs="Times New Roman"/>
        </w:rPr>
        <w:t xml:space="preserve">papers (not </w:t>
      </w:r>
      <w:r>
        <w:rPr>
          <w:rFonts w:cs="Times New Roman"/>
          <w:i/>
        </w:rPr>
        <w:t>accepted</w:t>
      </w:r>
      <w:r>
        <w:rPr>
          <w:rFonts w:cs="Times New Roman"/>
        </w:rPr>
        <w:t xml:space="preserve">) documents not widely available (personal emails, letters), or oral communications (unless they are published abstracts) should NOT be cited as references.  Cite these in the main body of text as </w:t>
      </w:r>
      <w:r>
        <w:rPr>
          <w:rFonts w:cs="Times New Roman"/>
          <w:b/>
        </w:rPr>
        <w:t>“personal communication by NAME, DATE”</w:t>
      </w:r>
      <w:r>
        <w:rPr>
          <w:rFonts w:cs="Times New Roman"/>
        </w:rPr>
        <w:t xml:space="preserve"> after obtaining permission from the communicator to quote his communication.</w:t>
      </w:r>
    </w:p>
    <w:p w14:paraId="7100C9F9" w14:textId="77777777" w:rsidR="00065FDF" w:rsidRDefault="007C3805">
      <w:pPr>
        <w:pStyle w:val="af7"/>
        <w:numPr>
          <w:ilvl w:val="0"/>
          <w:numId w:val="5"/>
        </w:numPr>
        <w:rPr>
          <w:rFonts w:cs="Times New Roman"/>
        </w:rPr>
      </w:pPr>
      <w:bookmarkStart w:id="111" w:name="Field"/>
      <w:bookmarkEnd w:id="111"/>
      <w:r>
        <w:rPr>
          <w:rFonts w:cs="Times New Roman"/>
          <w:b/>
        </w:rPr>
        <w:t xml:space="preserve">Remove OLE elements </w:t>
      </w:r>
      <w:r>
        <w:rPr>
          <w:rFonts w:cs="Times New Roman"/>
        </w:rPr>
        <w:t>from reference management softwares such as Endnote and Reference Manager. Select the entire document (Ctrl+A or Command A), remove field codes (</w:t>
      </w:r>
      <w:r>
        <w:rPr>
          <w:rFonts w:cs="Times New Roman"/>
          <w:i/>
        </w:rPr>
        <w:t>Ctrl+Shift+F9</w:t>
      </w:r>
      <w:r>
        <w:rPr>
          <w:rFonts w:cs="Times New Roman"/>
        </w:rPr>
        <w:t xml:space="preserve"> or </w:t>
      </w:r>
      <w:r>
        <w:rPr>
          <w:rFonts w:cs="Times New Roman"/>
          <w:i/>
        </w:rPr>
        <w:t>Command+6</w:t>
      </w:r>
      <w:r>
        <w:rPr>
          <w:rFonts w:cs="Times New Roman"/>
        </w:rPr>
        <w:t>).  This is important for correct parsing of your reference list using RefCheck during copyediting. This is an automatic process, but please check for completeness and accuracy of parsed fields for each reference when prompted during copyediting steps after acceptance of your manuscript.</w:t>
      </w:r>
    </w:p>
    <w:p w14:paraId="46514DB8" w14:textId="77777777" w:rsidR="00065FDF" w:rsidRDefault="007C3805">
      <w:pPr>
        <w:pStyle w:val="af7"/>
        <w:numPr>
          <w:ilvl w:val="0"/>
          <w:numId w:val="5"/>
        </w:numPr>
        <w:rPr>
          <w:rFonts w:cs="Times New Roman"/>
        </w:rPr>
      </w:pPr>
      <w:bookmarkStart w:id="112" w:name="Refjournal"/>
      <w:bookmarkEnd w:id="112"/>
      <w:r>
        <w:rPr>
          <w:rFonts w:cs="Times New Roman"/>
          <w:b/>
        </w:rPr>
        <w:t>Journal Articles</w:t>
      </w:r>
      <w:r>
        <w:rPr>
          <w:rFonts w:cs="Times New Roman"/>
        </w:rPr>
        <w:t xml:space="preserve"> (examples following)</w:t>
      </w:r>
      <w:r>
        <w:rPr>
          <w:rFonts w:cs="Times New Roman"/>
          <w:b/>
        </w:rPr>
        <w:t xml:space="preserve">: </w:t>
      </w:r>
      <w:r>
        <w:rPr>
          <w:rFonts w:cs="Times New Roman"/>
          <w:bCs/>
          <w:color w:val="0E0E0E"/>
        </w:rPr>
        <w:t>append the PubMed Identifier</w:t>
      </w:r>
      <w:r>
        <w:rPr>
          <w:rFonts w:cs="Times New Roman"/>
          <w:b/>
          <w:bCs/>
          <w:color w:val="0E0E0E"/>
        </w:rPr>
        <w:t xml:space="preserve"> </w:t>
      </w:r>
      <w:r>
        <w:rPr>
          <w:rFonts w:cs="Times New Roman"/>
          <w:bCs/>
          <w:color w:val="0E0E0E"/>
        </w:rPr>
        <w:t>(</w:t>
      </w:r>
      <w:r>
        <w:rPr>
          <w:rFonts w:cs="Times New Roman"/>
          <w:b/>
          <w:bCs/>
          <w:color w:val="0E0E0E"/>
        </w:rPr>
        <w:t>PMID</w:t>
      </w:r>
      <w:r>
        <w:rPr>
          <w:rFonts w:cs="Times New Roman"/>
          <w:bCs/>
          <w:color w:val="0E0E0E"/>
        </w:rPr>
        <w:t xml:space="preserve">, </w:t>
      </w:r>
      <w:r>
        <w:rPr>
          <w:rFonts w:cs="Times New Roman"/>
          <w:color w:val="0E0E0E"/>
        </w:rPr>
        <w:t>eg, "PMID:1234567", where 1234567 is the PubMed identifier</w:t>
      </w:r>
      <w:r>
        <w:rPr>
          <w:rFonts w:cs="Times New Roman"/>
          <w:bCs/>
          <w:color w:val="0E0E0E"/>
        </w:rPr>
        <w:t>)</w:t>
      </w:r>
      <w:r>
        <w:rPr>
          <w:rFonts w:cs="Times New Roman"/>
          <w:b/>
          <w:bCs/>
          <w:color w:val="0E0E0E"/>
        </w:rPr>
        <w:t xml:space="preserve"> or DOI </w:t>
      </w:r>
      <w:r>
        <w:rPr>
          <w:rFonts w:cs="Times New Roman"/>
          <w:bCs/>
          <w:color w:val="0E0E0E"/>
        </w:rPr>
        <w:t>(digital object identifier, eg,</w:t>
      </w:r>
      <w:r>
        <w:rPr>
          <w:rFonts w:cs="Times New Roman"/>
          <w:b/>
          <w:bCs/>
          <w:color w:val="0E0E0E"/>
        </w:rPr>
        <w:t xml:space="preserve"> </w:t>
      </w:r>
      <w:r>
        <w:rPr>
          <w:rFonts w:cs="Verdana"/>
          <w:color w:val="0E0E0E"/>
        </w:rPr>
        <w:t xml:space="preserve">doi:10.1136/bmj.331.7529.1391) </w:t>
      </w:r>
      <w:r>
        <w:rPr>
          <w:rFonts w:cs="Times New Roman"/>
          <w:b/>
          <w:bCs/>
          <w:color w:val="0E0E0E"/>
        </w:rPr>
        <w:t>after each reference</w:t>
      </w:r>
      <w:r>
        <w:rPr>
          <w:rFonts w:cs="Times New Roman"/>
          <w:color w:val="0E0E0E"/>
        </w:rPr>
        <w:t>. Alternatively (as per our old instructions) you could append a [</w:t>
      </w:r>
      <w:hyperlink r:id="rId87" w:history="1">
        <w:r>
          <w:rPr>
            <w:rFonts w:cs="Times New Roman"/>
            <w:color w:val="0000FF"/>
            <w:u w:val="single" w:color="296643"/>
          </w:rPr>
          <w:t>Medline</w:t>
        </w:r>
      </w:hyperlink>
      <w:r>
        <w:rPr>
          <w:rFonts w:cs="Times New Roman"/>
          <w:color w:val="0E0E0E"/>
        </w:rPr>
        <w:t xml:space="preserve">] link after each reference, linking to the PubMed abstract of the article you are citing. </w:t>
      </w:r>
      <w:r>
        <w:rPr>
          <w:rFonts w:cs="Verdana"/>
          <w:color w:val="0E0E0E"/>
        </w:rPr>
        <w:t xml:space="preserve">You may check whether a DOI is correct using the DOI resolver at </w:t>
      </w:r>
      <w:hyperlink r:id="rId88" w:history="1">
        <w:r>
          <w:rPr>
            <w:rStyle w:val="af4"/>
            <w:rFonts w:cs="Verdana"/>
            <w:color w:val="0000FF"/>
          </w:rPr>
          <w:t>http://dx.doi.org/</w:t>
        </w:r>
      </w:hyperlink>
      <w:r>
        <w:rPr>
          <w:rFonts w:cs="Verdana"/>
          <w:color w:val="0E0E0E"/>
        </w:rPr>
        <w:t>.</w:t>
      </w:r>
    </w:p>
    <w:p w14:paraId="381F53DA" w14:textId="77777777" w:rsidR="00065FDF" w:rsidRDefault="007C3805">
      <w:pPr>
        <w:pStyle w:val="af7"/>
        <w:numPr>
          <w:ilvl w:val="0"/>
          <w:numId w:val="5"/>
        </w:numPr>
        <w:rPr>
          <w:rFonts w:cs="Times New Roman"/>
        </w:rPr>
      </w:pPr>
      <w:r>
        <w:rPr>
          <w:rFonts w:cs="Verdana"/>
          <w:color w:val="0E0E0E"/>
        </w:rPr>
        <w:t>International Committee of Medical Journal Editors. Uniform requirements for manuscripts submitted to biomedical journals. JAMA 1997;277:927-934. PMID:</w:t>
      </w:r>
      <w:r>
        <w:rPr>
          <w:rFonts w:cs="Arial"/>
          <w:color w:val="0E0E0E"/>
        </w:rPr>
        <w:t>9062335</w:t>
      </w:r>
    </w:p>
    <w:p w14:paraId="24E09B07" w14:textId="77777777" w:rsidR="00065FDF" w:rsidRDefault="007C3805">
      <w:pPr>
        <w:pStyle w:val="af7"/>
        <w:numPr>
          <w:ilvl w:val="0"/>
          <w:numId w:val="5"/>
        </w:numPr>
        <w:rPr>
          <w:rFonts w:cs="Times New Roman"/>
        </w:rPr>
      </w:pPr>
      <w:r>
        <w:rPr>
          <w:rFonts w:cs="Verdana"/>
          <w:color w:val="0E0E0E"/>
        </w:rPr>
        <w:t>International Committee of Medical Journal Editors. Uniform requirements for manuscripts submitted to biomedical journals. JAMA 1997;277:927-934. [</w:t>
      </w:r>
      <w:hyperlink r:id="rId89" w:history="1">
        <w:r>
          <w:rPr>
            <w:rFonts w:cs="Verdana"/>
            <w:color w:val="0000FF"/>
            <w:u w:val="single" w:color="296643"/>
          </w:rPr>
          <w:t>Medline</w:t>
        </w:r>
      </w:hyperlink>
      <w:r>
        <w:rPr>
          <w:rFonts w:cs="Verdana"/>
          <w:color w:val="0E0E0E"/>
        </w:rPr>
        <w:t>]</w:t>
      </w:r>
    </w:p>
    <w:p w14:paraId="57A8244C" w14:textId="77777777" w:rsidR="00065FDF" w:rsidRDefault="007C3805">
      <w:pPr>
        <w:pStyle w:val="af7"/>
        <w:numPr>
          <w:ilvl w:val="0"/>
          <w:numId w:val="5"/>
        </w:numPr>
        <w:rPr>
          <w:rFonts w:cs="Times New Roman"/>
        </w:rPr>
      </w:pPr>
      <w:bookmarkStart w:id="113" w:name="RefWeb"/>
      <w:bookmarkEnd w:id="113"/>
      <w:r>
        <w:rPr>
          <w:rFonts w:cs="Verdana"/>
          <w:b/>
          <w:bCs/>
          <w:color w:val="0E0E0E"/>
        </w:rPr>
        <w:t xml:space="preserve">Websites and Web articles (URLs) </w:t>
      </w:r>
      <w:r>
        <w:rPr>
          <w:rFonts w:cs="Verdana"/>
          <w:bCs/>
          <w:color w:val="0E0E0E"/>
        </w:rPr>
        <w:t>(example following)</w:t>
      </w:r>
      <w:r>
        <w:rPr>
          <w:rFonts w:cs="Verdana"/>
          <w:color w:val="0E0E0E"/>
        </w:rPr>
        <w:t xml:space="preserve"> should be cited as </w:t>
      </w:r>
      <w:r>
        <w:rPr>
          <w:rFonts w:cs="Verdana"/>
          <w:b/>
          <w:color w:val="0E0E0E"/>
        </w:rPr>
        <w:t>"webcited</w:t>
      </w:r>
      <w:r>
        <w:rPr>
          <w:rFonts w:cs="Verdana"/>
          <w:b/>
          <w:color w:val="0E0E0E"/>
          <w:vertAlign w:val="superscript"/>
        </w:rPr>
        <w:t>®</w:t>
      </w:r>
      <w:r>
        <w:rPr>
          <w:rFonts w:cs="Verdana"/>
          <w:b/>
          <w:color w:val="0E0E0E"/>
        </w:rPr>
        <w:t>"</w:t>
      </w:r>
      <w:r>
        <w:rPr>
          <w:rFonts w:cs="Verdana"/>
          <w:color w:val="0E0E0E"/>
        </w:rPr>
        <w:t xml:space="preserve"> references </w:t>
      </w:r>
      <w:r>
        <w:rPr>
          <w:rFonts w:cs="Verdana"/>
          <w:iCs/>
          <w:color w:val="0E0E0E"/>
        </w:rPr>
        <w:t>in the reference section at the end of the manuscript</w:t>
      </w:r>
      <w:r>
        <w:rPr>
          <w:rFonts w:cs="Verdana"/>
          <w:color w:val="0E0E0E"/>
        </w:rPr>
        <w:t xml:space="preserve"> - </w:t>
      </w:r>
      <w:r>
        <w:rPr>
          <w:rFonts w:cs="Verdana"/>
          <w:b/>
          <w:color w:val="0E0E0E"/>
        </w:rPr>
        <w:t xml:space="preserve">do </w:t>
      </w:r>
      <w:r>
        <w:rPr>
          <w:rFonts w:cs="Verdana"/>
          <w:b/>
          <w:bCs/>
          <w:color w:val="0E0E0E"/>
        </w:rPr>
        <w:t>not</w:t>
      </w:r>
      <w:r>
        <w:rPr>
          <w:rFonts w:cs="Verdana"/>
          <w:b/>
          <w:color w:val="0E0E0E"/>
        </w:rPr>
        <w:t xml:space="preserve"> include links to websites in the text</w:t>
      </w:r>
      <w:r>
        <w:rPr>
          <w:rFonts w:cs="Verdana"/>
          <w:color w:val="0E0E0E"/>
        </w:rPr>
        <w:t>. To webcite</w:t>
      </w:r>
      <w:r>
        <w:rPr>
          <w:rFonts w:cs="Verdana"/>
          <w:color w:val="0E0E0E"/>
          <w:vertAlign w:val="superscript"/>
        </w:rPr>
        <w:t>®</w:t>
      </w:r>
      <w:r>
        <w:rPr>
          <w:rFonts w:cs="Verdana"/>
          <w:color w:val="0E0E0E"/>
        </w:rPr>
        <w:t xml:space="preserve"> a web reference means to take a snapshot of the cited document and to </w:t>
      </w:r>
      <w:r>
        <w:rPr>
          <w:rFonts w:cs="Verdana"/>
          <w:b/>
          <w:bCs/>
          <w:color w:val="0E0E0E"/>
        </w:rPr>
        <w:t>cite the archived copy (WebCite link) in addition to the original URL</w:t>
      </w:r>
      <w:r>
        <w:rPr>
          <w:rFonts w:cs="Verdana"/>
          <w:color w:val="0E0E0E"/>
        </w:rPr>
        <w:t xml:space="preserve">. JMIR now </w:t>
      </w:r>
      <w:r>
        <w:rPr>
          <w:rFonts w:cs="Verdana"/>
          <w:i/>
          <w:iCs/>
          <w:color w:val="0E0E0E"/>
        </w:rPr>
        <w:t>requires</w:t>
      </w:r>
      <w:r>
        <w:rPr>
          <w:rFonts w:cs="Verdana"/>
          <w:color w:val="0E0E0E"/>
        </w:rPr>
        <w:t xml:space="preserve"> that authors use the </w:t>
      </w:r>
      <w:hyperlink r:id="rId90" w:history="1">
        <w:r>
          <w:rPr>
            <w:rFonts w:cs="Verdana"/>
            <w:color w:val="0000FF"/>
          </w:rPr>
          <w:t>WebCite</w:t>
        </w:r>
      </w:hyperlink>
      <w:r>
        <w:rPr>
          <w:rFonts w:cs="Verdana"/>
          <w:color w:val="0000FF"/>
        </w:rPr>
        <w:t xml:space="preserve"> </w:t>
      </w:r>
      <w:r>
        <w:rPr>
          <w:rFonts w:cs="Verdana"/>
          <w:color w:val="0000FF"/>
          <w:vertAlign w:val="superscript"/>
        </w:rPr>
        <w:t>®</w:t>
      </w:r>
      <w:r>
        <w:rPr>
          <w:rFonts w:cs="Verdana"/>
          <w:color w:val="0000FF"/>
        </w:rPr>
        <w:t xml:space="preserve"> </w:t>
      </w:r>
      <w:hyperlink r:id="rId91" w:history="1">
        <w:r>
          <w:rPr>
            <w:rFonts w:cs="Verdana"/>
            <w:color w:val="0000FF"/>
          </w:rPr>
          <w:t>technology (www.webcitation.org)</w:t>
        </w:r>
      </w:hyperlink>
      <w:r>
        <w:rPr>
          <w:rFonts w:cs="Verdana"/>
          <w:color w:val="0E0E0E"/>
        </w:rPr>
        <w:t xml:space="preserve"> to archive cited web references first before they cite them. Do </w:t>
      </w:r>
      <w:r>
        <w:rPr>
          <w:rFonts w:cs="Verdana"/>
          <w:b/>
          <w:bCs/>
          <w:color w:val="0E0E0E"/>
        </w:rPr>
        <w:t>not</w:t>
      </w:r>
      <w:r>
        <w:rPr>
          <w:rFonts w:cs="Verdana"/>
          <w:color w:val="0E0E0E"/>
        </w:rPr>
        <w:t xml:space="preserve"> cite uncached "live" webpages and websites in the article or reference section, unless archiving with WebCite has failed. Provide both the original URL and the WebCite link</w:t>
      </w:r>
      <w:r>
        <w:rPr>
          <w:rFonts w:cs="Verdana"/>
          <w:color w:val="0E0E0E"/>
          <w:u w:color="296643"/>
        </w:rPr>
        <w:t>. Note that journal articles in electronic formats are journal articles, not a web reference.</w:t>
      </w:r>
    </w:p>
    <w:p w14:paraId="68855FC2" w14:textId="77777777" w:rsidR="00065FDF" w:rsidRDefault="007C3805">
      <w:pPr>
        <w:pStyle w:val="af7"/>
        <w:numPr>
          <w:ilvl w:val="0"/>
          <w:numId w:val="5"/>
        </w:numPr>
        <w:rPr>
          <w:rFonts w:cs="Times New Roman"/>
        </w:rPr>
      </w:pPr>
      <w:r>
        <w:rPr>
          <w:rFonts w:cs="Verdana"/>
          <w:color w:val="0E0E0E"/>
        </w:rPr>
        <w:t>Fox S, Fallows D. 2003. Internet Health Resources. http://www.pewinternet.org/pdfs/PIP_Health_Report_July_2003.pdf. Archived at: http://www.webcitation.org/5I2STSU61</w:t>
      </w:r>
    </w:p>
    <w:p w14:paraId="5FB781BF" w14:textId="77777777" w:rsidR="00065FDF" w:rsidRDefault="007C3805">
      <w:pPr>
        <w:pStyle w:val="af7"/>
        <w:numPr>
          <w:ilvl w:val="0"/>
          <w:numId w:val="5"/>
        </w:numPr>
        <w:rPr>
          <w:rFonts w:cs="Times New Roman"/>
        </w:rPr>
      </w:pPr>
      <w:bookmarkStart w:id="114" w:name="Refbook"/>
      <w:bookmarkEnd w:id="114"/>
      <w:r>
        <w:rPr>
          <w:rFonts w:cs="Verdana"/>
          <w:b/>
          <w:bCs/>
          <w:color w:val="0E0E0E"/>
        </w:rPr>
        <w:t xml:space="preserve">For books, please add the ISBN, if known </w:t>
      </w:r>
      <w:r>
        <w:rPr>
          <w:rFonts w:cs="Verdana"/>
          <w:color w:val="0E0E0E"/>
        </w:rPr>
        <w:t>(no blanks). (</w:t>
      </w:r>
      <w:hyperlink r:id="rId92" w:history="1">
        <w:r>
          <w:rPr>
            <w:rStyle w:val="af4"/>
            <w:rFonts w:cs="Verdana"/>
          </w:rPr>
          <w:t>http://isbndb.com/</w:t>
        </w:r>
      </w:hyperlink>
      <w:r>
        <w:rPr>
          <w:rFonts w:cs="Verdana"/>
          <w:color w:val="0E0E0E"/>
        </w:rPr>
        <w:t>; examples below)</w:t>
      </w:r>
    </w:p>
    <w:p w14:paraId="1DF96849" w14:textId="77777777" w:rsidR="00065FDF" w:rsidRDefault="007C3805">
      <w:pPr>
        <w:pStyle w:val="af7"/>
        <w:numPr>
          <w:ilvl w:val="0"/>
          <w:numId w:val="5"/>
        </w:numPr>
        <w:rPr>
          <w:rFonts w:cs="Times New Roman"/>
        </w:rPr>
      </w:pPr>
      <w:r>
        <w:rPr>
          <w:rFonts w:cs="Verdana"/>
          <w:color w:val="0E0E0E"/>
        </w:rPr>
        <w:t>Iverson CL, Flanagin A, Fontanarosa PB, et al. American Medical Association Manual of Style: A Guide for Authors and Editors. 9th edition. Baltimore, Md: Williams &amp; Wilkins; 1998. ISBN:0195176332</w:t>
      </w:r>
    </w:p>
    <w:p w14:paraId="04228194" w14:textId="77777777" w:rsidR="00065FDF" w:rsidRDefault="007C3805">
      <w:pPr>
        <w:pStyle w:val="af7"/>
        <w:numPr>
          <w:ilvl w:val="0"/>
          <w:numId w:val="5"/>
        </w:numPr>
        <w:rPr>
          <w:rFonts w:cs="Times New Roman"/>
        </w:rPr>
      </w:pPr>
      <w:r>
        <w:rPr>
          <w:rFonts w:cs="Verdana"/>
          <w:color w:val="0E0E0E"/>
        </w:rPr>
        <w:lastRenderedPageBreak/>
        <w:t>Phillips SJ, Whisnant JP. Hypertension and stroke. In: Laragh JH, Brenner BM, editors. Hypertension: pathophysiology, diagnosis, and management. 2nd ed. New York: Raven Press; 1995. p. 465-78.</w:t>
      </w:r>
    </w:p>
    <w:p w14:paraId="3AD1C210" w14:textId="77777777" w:rsidR="00065FDF" w:rsidRDefault="007C3805">
      <w:pPr>
        <w:pStyle w:val="af7"/>
        <w:numPr>
          <w:ilvl w:val="0"/>
          <w:numId w:val="5"/>
        </w:numPr>
        <w:rPr>
          <w:rFonts w:cs="Times New Roman"/>
        </w:rPr>
      </w:pPr>
      <w:bookmarkStart w:id="115" w:name="Refconference"/>
      <w:bookmarkEnd w:id="115"/>
      <w:r>
        <w:rPr>
          <w:rFonts w:cs="Verdana"/>
          <w:b/>
          <w:color w:val="0E0E0E"/>
        </w:rPr>
        <w:t>Conference Proceedings</w:t>
      </w:r>
      <w:r>
        <w:rPr>
          <w:rFonts w:cs="Verdana"/>
          <w:color w:val="0E0E0E"/>
        </w:rPr>
        <w:t xml:space="preserve"> (example below).</w:t>
      </w:r>
      <w:r>
        <w:rPr>
          <w:rFonts w:cs="Verdana"/>
          <w:i/>
          <w:iCs/>
          <w:color w:val="0E0E0E"/>
        </w:rPr>
        <w:t xml:space="preserve"> </w:t>
      </w:r>
      <w:r>
        <w:rPr>
          <w:rFonts w:cs="Verdana"/>
          <w:iCs/>
          <w:color w:val="0E0E0E"/>
        </w:rPr>
        <w:t>If conference proceedings are available through Medline, please use the Medline citation.</w:t>
      </w:r>
    </w:p>
    <w:p w14:paraId="1C0EBB9A" w14:textId="77777777" w:rsidR="00065FDF" w:rsidRDefault="007C3805">
      <w:pPr>
        <w:pStyle w:val="af7"/>
        <w:numPr>
          <w:ilvl w:val="0"/>
          <w:numId w:val="5"/>
        </w:numPr>
        <w:rPr>
          <w:rFonts w:cs="Times New Roman"/>
        </w:rPr>
      </w:pPr>
      <w:r>
        <w:rPr>
          <w:rFonts w:cs="Verdana"/>
          <w:color w:val="0E0E0E"/>
        </w:rPr>
        <w:t xml:space="preserve">Kimura J, Shibasaki H, editors. Recent advances in clinical neurophysiology. Proceedings of the 10th International Congress of EMG and Clinical </w:t>
      </w:r>
    </w:p>
    <w:p w14:paraId="7C3FC9F9" w14:textId="77777777" w:rsidR="00065FDF" w:rsidRDefault="00065FDF">
      <w:pPr>
        <w:pStyle w:val="af7"/>
        <w:rPr>
          <w:rFonts w:cs="Times New Roman"/>
        </w:rPr>
      </w:pPr>
    </w:p>
    <w:bookmarkEnd w:id="44"/>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Carmen" w:date="2013-02-15T14:13:00Z" w:initials="C">
    <w:p w14:paraId="6EEE7E40" w14:textId="77777777" w:rsidR="00973F35" w:rsidRDefault="00973F35">
      <w:pPr>
        <w:pStyle w:val="a5"/>
      </w:pPr>
      <w:r>
        <w:t>Other paper types:</w:t>
      </w:r>
    </w:p>
    <w:p w14:paraId="412A03B3" w14:textId="77777777" w:rsidR="00973F35" w:rsidRDefault="00973F35">
      <w:pPr>
        <w:pStyle w:val="a5"/>
      </w:pPr>
      <w:r>
        <w:t>Review</w:t>
      </w:r>
    </w:p>
    <w:p w14:paraId="370344E5" w14:textId="77777777" w:rsidR="00973F35" w:rsidRDefault="00973F35">
      <w:pPr>
        <w:pStyle w:val="a5"/>
      </w:pPr>
      <w:r>
        <w:t>Editorial</w:t>
      </w:r>
    </w:p>
    <w:p w14:paraId="23C913AE" w14:textId="77777777" w:rsidR="00973F35" w:rsidRDefault="00973F35">
      <w:pPr>
        <w:pStyle w:val="a5"/>
      </w:pPr>
      <w:r>
        <w:t>Viewpoint</w:t>
      </w:r>
    </w:p>
    <w:p w14:paraId="6CA70390" w14:textId="77777777" w:rsidR="00973F35" w:rsidRDefault="00973F35">
      <w:pPr>
        <w:pStyle w:val="a5"/>
      </w:pPr>
      <w:r>
        <w:t>Short Paper</w:t>
      </w:r>
    </w:p>
    <w:p w14:paraId="720E2E0D" w14:textId="77777777" w:rsidR="00973F35" w:rsidRDefault="00973F35">
      <w:pPr>
        <w:pStyle w:val="a5"/>
      </w:pPr>
      <w:r>
        <w:t>Tutorial</w:t>
      </w:r>
    </w:p>
    <w:p w14:paraId="198C52E3" w14:textId="77777777" w:rsidR="00973F35" w:rsidRDefault="00973F35">
      <w:pPr>
        <w:pStyle w:val="a5"/>
      </w:pPr>
      <w:r>
        <w:t>Product Review</w:t>
      </w:r>
    </w:p>
    <w:p w14:paraId="23537B0A" w14:textId="77777777" w:rsidR="00973F35" w:rsidRDefault="00973F35">
      <w:pPr>
        <w:pStyle w:val="a5"/>
      </w:pPr>
      <w:r>
        <w:t>Letter to the Editor</w:t>
      </w:r>
    </w:p>
  </w:comment>
  <w:comment w:id="3" w:author="Carmen" w:date="2013-02-15T15:14:00Z" w:initials="C">
    <w:p w14:paraId="10F83C9F" w14:textId="77777777" w:rsidR="00973F35" w:rsidRDefault="00973F35">
      <w:pPr>
        <w:pStyle w:val="a5"/>
      </w:pPr>
      <w:r>
        <w:t>Randomized controlled trials (RCTs) are highly welcome.  Please download and complete the CONSORT-EHEALTH checklist (</w:t>
      </w:r>
      <w:hyperlink r:id="rId1" w:history="1">
        <w:r>
          <w:rPr>
            <w:color w:val="0000FF"/>
          </w:rPr>
          <w:t>http://www.jmir.org/ojs/public/journals/1/CONSORT-EHEALTH-v1-6.pdf</w:t>
        </w:r>
      </w:hyperlink>
      <w:r>
        <w:rPr>
          <w:color w:val="0000FF"/>
        </w:rPr>
        <w:t> </w:t>
      </w:r>
      <w:r>
        <w:t>) and upload as a Multimedia Appendix (see Multimedia Appendix 1).</w:t>
      </w:r>
    </w:p>
  </w:comment>
  <w:comment w:id="9" w:author="Carmen" w:date="2013-02-15T15:23:00Z" w:initials="C">
    <w:p w14:paraId="22BF5AAF" w14:textId="77777777" w:rsidR="00973F35" w:rsidRDefault="00973F35">
      <w:pPr>
        <w:pStyle w:val="a5"/>
      </w:pPr>
      <w:r>
        <w:t xml:space="preserve">The list of keywords are also entered in the online metadata forms. </w:t>
      </w:r>
    </w:p>
  </w:comment>
  <w:comment w:id="12" w:author="Gunther Eysenbach" w:date="2017-03-03T11:07:00Z" w:initials="GE">
    <w:p w14:paraId="183F022B" w14:textId="77777777" w:rsidR="00973F35" w:rsidRDefault="00973F35">
      <w:pPr>
        <w:pStyle w:val="a5"/>
      </w:pPr>
      <w:r>
        <w:t>Apply Word Style Heading 2 for IMRD, use Heading 3 for subheadings, Heading 4 for subsubheadings etc. Actual font, font size etc does not matter. Do not bold headings. Simply use the Word default heading styles</w:t>
      </w:r>
    </w:p>
  </w:comment>
  <w:comment w:id="26" w:author="Carmen" w:date="2013-02-28T16:56:00Z" w:initials="C">
    <w:p w14:paraId="7A6F6768" w14:textId="77777777" w:rsidR="00973F35" w:rsidRDefault="00973F35">
      <w:pPr>
        <w:pStyle w:val="a5"/>
      </w:pPr>
      <w:r>
        <w:t>A,B,C parts to tables (eg, Table 1A, 1B) are NOT acceptable.  Please renumber them as Tables 1 and 2 instead.  This is true for Textboxes, Tables, Figures, and Multimedia Appendices as well.</w:t>
      </w:r>
    </w:p>
  </w:comment>
  <w:comment w:id="27" w:author="Carmen" w:date="2013-02-15T16:30:00Z" w:initials="C">
    <w:p w14:paraId="249461CB" w14:textId="77777777" w:rsidR="00973F35" w:rsidRDefault="00973F35">
      <w:pPr>
        <w:pStyle w:val="a5"/>
      </w:pPr>
      <w:r>
        <w:t>Examples of units that are included in headings that apply to the whole column:</w:t>
      </w:r>
    </w:p>
    <w:p w14:paraId="7ECA230F" w14:textId="77777777" w:rsidR="00973F35" w:rsidRDefault="00973F35">
      <w:pPr>
        <w:pStyle w:val="a5"/>
        <w:rPr>
          <w:i/>
        </w:rPr>
      </w:pPr>
      <w:r>
        <w:rPr>
          <w:i/>
        </w:rPr>
        <w:t>P</w:t>
      </w:r>
    </w:p>
    <w:p w14:paraId="192A2309" w14:textId="77777777" w:rsidR="00973F35" w:rsidRDefault="00973F35">
      <w:pPr>
        <w:pStyle w:val="a5"/>
      </w:pPr>
      <w:r>
        <w:t>N=___</w:t>
      </w:r>
    </w:p>
    <w:p w14:paraId="4579329B" w14:textId="77777777" w:rsidR="00973F35" w:rsidRDefault="00973F35">
      <w:pPr>
        <w:pStyle w:val="a5"/>
      </w:pPr>
      <w:r>
        <w:t>n(%)</w:t>
      </w:r>
    </w:p>
    <w:p w14:paraId="4B0C373D" w14:textId="77777777" w:rsidR="00973F35" w:rsidRDefault="00973F35">
      <w:pPr>
        <w:pStyle w:val="a5"/>
        <w:rPr>
          <w:i/>
        </w:rPr>
      </w:pPr>
      <w:r>
        <w:rPr>
          <w:i/>
        </w:rPr>
        <w:t>r</w:t>
      </w:r>
      <w:r>
        <w:rPr>
          <w:i/>
          <w:vertAlign w:val="superscript"/>
        </w:rPr>
        <w:t>2</w:t>
      </w:r>
    </w:p>
    <w:p w14:paraId="6EFE5BBD" w14:textId="77777777" w:rsidR="00973F35" w:rsidRDefault="00973F35">
      <w:pPr>
        <w:pStyle w:val="a5"/>
        <w:rPr>
          <w:i/>
        </w:rPr>
      </w:pPr>
      <w:r>
        <w:rPr>
          <w:i/>
        </w:rPr>
        <w:t>r</w:t>
      </w:r>
    </w:p>
    <w:p w14:paraId="1AF1282F" w14:textId="77777777" w:rsidR="00973F35" w:rsidRDefault="00973F35">
      <w:pPr>
        <w:pStyle w:val="a5"/>
        <w:rPr>
          <w:vertAlign w:val="subscript"/>
        </w:rPr>
      </w:pPr>
      <w:r>
        <w:rPr>
          <w:i/>
        </w:rPr>
        <w:t>t</w:t>
      </w:r>
      <w:r>
        <w:rPr>
          <w:vertAlign w:val="subscript"/>
        </w:rPr>
        <w:t>degrees of freedom</w:t>
      </w:r>
    </w:p>
    <w:p w14:paraId="7EEB421E" w14:textId="77777777" w:rsidR="00973F35" w:rsidRDefault="00973F35">
      <w:pPr>
        <w:pStyle w:val="a5"/>
        <w:rPr>
          <w:vertAlign w:val="subscript"/>
        </w:rPr>
      </w:pPr>
      <w:r>
        <w:rPr>
          <w:i/>
        </w:rPr>
        <w:t>F</w:t>
      </w:r>
      <w:r>
        <w:rPr>
          <w:vertAlign w:val="subscript"/>
        </w:rPr>
        <w:t>degrees of freedom</w:t>
      </w:r>
    </w:p>
    <w:p w14:paraId="2F115F7C" w14:textId="77777777" w:rsidR="00973F35" w:rsidRDefault="00973F35">
      <w:pPr>
        <w:rPr>
          <w:vertAlign w:val="subscript"/>
        </w:rPr>
      </w:pPr>
      <w:r>
        <w:rPr>
          <w:i/>
          <w:sz w:val="26"/>
          <w:szCs w:val="26"/>
        </w:rPr>
        <w:t>χ</w:t>
      </w:r>
      <w:r>
        <w:rPr>
          <w:vertAlign w:val="superscript"/>
        </w:rPr>
        <w:t>2</w:t>
      </w:r>
      <w:r>
        <w:rPr>
          <w:vertAlign w:val="subscript"/>
        </w:rPr>
        <w:t>degrees of freedom</w:t>
      </w:r>
    </w:p>
    <w:p w14:paraId="045109E8" w14:textId="77777777" w:rsidR="00973F35" w:rsidRDefault="00973F35">
      <w:r>
        <w:t>Cronbach alpha</w:t>
      </w:r>
    </w:p>
  </w:comment>
  <w:comment w:id="28" w:author="Carmen" w:date="2013-02-28T17:15:00Z" w:initials="C">
    <w:p w14:paraId="7F377D3B" w14:textId="77777777" w:rsidR="00973F35" w:rsidRDefault="00973F35">
      <w:pPr>
        <w:pStyle w:val="a5"/>
      </w:pPr>
      <w:r>
        <w:t>An empty row is inserted after the last main heading row.  New Main Headings CANNOT be introduced in the middle of the table, only at the top.</w:t>
      </w:r>
    </w:p>
  </w:comment>
  <w:comment w:id="29" w:author="Carmen" w:date="2013-02-28T17:11:00Z" w:initials="C">
    <w:p w14:paraId="267C0387" w14:textId="77777777" w:rsidR="00973F35" w:rsidRDefault="00973F35">
      <w:pPr>
        <w:pStyle w:val="a5"/>
      </w:pPr>
      <w:r>
        <w:t xml:space="preserve">Subheadings/category heading are bolded but not </w:t>
      </w:r>
      <w:r>
        <w:rPr>
          <w:strike/>
        </w:rPr>
        <w:t>italicized</w:t>
      </w:r>
      <w:r>
        <w:t xml:space="preserve">, nor in </w:t>
      </w:r>
      <w:r>
        <w:rPr>
          <w:strike/>
        </w:rPr>
        <w:t>ALL CAPS</w:t>
      </w:r>
      <w:r>
        <w:t>.</w:t>
      </w:r>
    </w:p>
  </w:comment>
  <w:comment w:id="30" w:author="Carmen" w:date="2013-02-28T17:11:00Z" w:initials="C">
    <w:p w14:paraId="671801E1" w14:textId="77777777" w:rsidR="00973F35" w:rsidRDefault="00973F35">
      <w:pPr>
        <w:pStyle w:val="a5"/>
      </w:pPr>
      <w:r>
        <w:t>It is crucial to leave this blank to preserve the layout and highlight the subheadings/category headings. Do NOT just indent (using spaces or tabs) within the cell.  Please leave a blank cell for subsequent lines that fall under that subheading/category heading.</w:t>
      </w:r>
    </w:p>
  </w:comment>
  <w:comment w:id="31" w:author="Carmen" w:date="2013-02-28T17:09:00Z" w:initials="C">
    <w:p w14:paraId="69DD44B1" w14:textId="77777777" w:rsidR="00973F35" w:rsidRDefault="00973F35">
      <w:pPr>
        <w:pStyle w:val="a5"/>
      </w:pPr>
      <w:r>
        <w:t>Each line of data are on its own new row. Do NOT put all data in a single cell. Do NOT bold cell content for emphasis; use italics if absolutely necessary.</w:t>
      </w:r>
    </w:p>
  </w:comment>
  <w:comment w:id="39" w:author="Carmen" w:date="2013-02-28T18:46:00Z" w:initials="C">
    <w:p w14:paraId="32E34F62" w14:textId="77777777" w:rsidR="00973F35" w:rsidRDefault="00973F35">
      <w:pPr>
        <w:pStyle w:val="a5"/>
      </w:pPr>
      <w:r>
        <w:t>Please list all abbreviations/acronyms used in the manuscript in alphabetical order.  Do not capitalize every word of the definition unless they are proper nouns.  If the abbreviation was only used once, do not include the abbreviated form (use the fully defined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537B0A" w15:done="0"/>
  <w15:commentEx w15:paraId="10F83C9F" w15:done="0"/>
  <w15:commentEx w15:paraId="22BF5AAF" w15:done="0"/>
  <w15:commentEx w15:paraId="183F022B" w15:done="0"/>
  <w15:commentEx w15:paraId="7A6F6768" w15:done="0"/>
  <w15:commentEx w15:paraId="045109E8" w15:done="0"/>
  <w15:commentEx w15:paraId="7F377D3B" w15:done="0"/>
  <w15:commentEx w15:paraId="267C0387" w15:done="0"/>
  <w15:commentEx w15:paraId="671801E1" w15:done="0"/>
  <w15:commentEx w15:paraId="69DD44B1" w15:done="0"/>
  <w15:commentEx w15:paraId="32E34F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537B0A" w16cid:durableId="26780815"/>
  <w16cid:commentId w16cid:paraId="10F83C9F" w16cid:durableId="26780816"/>
  <w16cid:commentId w16cid:paraId="22BF5AAF" w16cid:durableId="26780818"/>
  <w16cid:commentId w16cid:paraId="183F022B" w16cid:durableId="26780819"/>
  <w16cid:commentId w16cid:paraId="7A6F6768" w16cid:durableId="2678081A"/>
  <w16cid:commentId w16cid:paraId="045109E8" w16cid:durableId="2678081B"/>
  <w16cid:commentId w16cid:paraId="7F377D3B" w16cid:durableId="2678081C"/>
  <w16cid:commentId w16cid:paraId="267C0387" w16cid:durableId="2678081D"/>
  <w16cid:commentId w16cid:paraId="671801E1" w16cid:durableId="2678081E"/>
  <w16cid:commentId w16cid:paraId="69DD44B1" w16cid:durableId="2678081F"/>
  <w16cid:commentId w16cid:paraId="32E34F62" w16cid:durableId="26780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0D063" w14:textId="77777777" w:rsidR="00CB174B" w:rsidRDefault="00CB174B">
      <w:r>
        <w:separator/>
      </w:r>
    </w:p>
  </w:endnote>
  <w:endnote w:type="continuationSeparator" w:id="0">
    <w:p w14:paraId="53CEC956" w14:textId="77777777" w:rsidR="00CB174B" w:rsidRDefault="00CB1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E58A3" w14:textId="77777777" w:rsidR="00CB174B" w:rsidRDefault="00CB174B">
      <w:r>
        <w:separator/>
      </w:r>
    </w:p>
  </w:footnote>
  <w:footnote w:type="continuationSeparator" w:id="0">
    <w:p w14:paraId="0C083A9F" w14:textId="77777777" w:rsidR="00CB174B" w:rsidRDefault="00CB174B">
      <w:r>
        <w:continuationSeparator/>
      </w:r>
    </w:p>
  </w:footnote>
  <w:footnote w:id="1">
    <w:p w14:paraId="4E1FA6F8" w14:textId="77777777" w:rsidR="00973F35" w:rsidRDefault="00973F35">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3"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abstractNumId w:val="1"/>
  </w:num>
  <w:num w:numId="2">
    <w:abstractNumId w:val="4"/>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men">
    <w15:presenceInfo w15:providerId="None" w15:userId="Carmen"/>
  </w15:person>
  <w15:person w15:author="Gunther Eysenbach">
    <w15:presenceInfo w15:providerId="None" w15:userId="Gunther Eysenba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720"/>
  <w:doNotShadeFormData/>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c1MTA2MjU3ODgzMDhkMzE0ZTU0MjU4NGU4NDljNDMifQ=="/>
  </w:docVars>
  <w:rsids>
    <w:rsidRoot w:val="00A3786A"/>
    <w:rsid w:val="00007D03"/>
    <w:rsid w:val="0001235E"/>
    <w:rsid w:val="0002694C"/>
    <w:rsid w:val="00030551"/>
    <w:rsid w:val="00037A74"/>
    <w:rsid w:val="00037FF2"/>
    <w:rsid w:val="00056D0E"/>
    <w:rsid w:val="00065FDF"/>
    <w:rsid w:val="00070D00"/>
    <w:rsid w:val="00071DF8"/>
    <w:rsid w:val="0007460A"/>
    <w:rsid w:val="00076A71"/>
    <w:rsid w:val="0008698A"/>
    <w:rsid w:val="00094896"/>
    <w:rsid w:val="00096A15"/>
    <w:rsid w:val="000A70D6"/>
    <w:rsid w:val="000C0133"/>
    <w:rsid w:val="000E1E95"/>
    <w:rsid w:val="00107C2E"/>
    <w:rsid w:val="00135212"/>
    <w:rsid w:val="0014226F"/>
    <w:rsid w:val="001520A1"/>
    <w:rsid w:val="00153FC8"/>
    <w:rsid w:val="00185C44"/>
    <w:rsid w:val="00191924"/>
    <w:rsid w:val="00196B3B"/>
    <w:rsid w:val="001A05B3"/>
    <w:rsid w:val="001A2615"/>
    <w:rsid w:val="001B218B"/>
    <w:rsid w:val="001B3B3A"/>
    <w:rsid w:val="001D10AE"/>
    <w:rsid w:val="00206388"/>
    <w:rsid w:val="00206502"/>
    <w:rsid w:val="00213673"/>
    <w:rsid w:val="00214B40"/>
    <w:rsid w:val="00216402"/>
    <w:rsid w:val="00216F9A"/>
    <w:rsid w:val="0021749C"/>
    <w:rsid w:val="00225059"/>
    <w:rsid w:val="00227C5E"/>
    <w:rsid w:val="002411BD"/>
    <w:rsid w:val="00265F48"/>
    <w:rsid w:val="00273C83"/>
    <w:rsid w:val="002A7FCA"/>
    <w:rsid w:val="002B2F6E"/>
    <w:rsid w:val="002B77D5"/>
    <w:rsid w:val="002E0296"/>
    <w:rsid w:val="002E067F"/>
    <w:rsid w:val="002F62B6"/>
    <w:rsid w:val="00310A9A"/>
    <w:rsid w:val="003125AC"/>
    <w:rsid w:val="00324C05"/>
    <w:rsid w:val="00330F8D"/>
    <w:rsid w:val="003320AC"/>
    <w:rsid w:val="00344770"/>
    <w:rsid w:val="00351500"/>
    <w:rsid w:val="0035660C"/>
    <w:rsid w:val="00356E5D"/>
    <w:rsid w:val="00360DCF"/>
    <w:rsid w:val="00361C0B"/>
    <w:rsid w:val="003676BB"/>
    <w:rsid w:val="00374373"/>
    <w:rsid w:val="00376059"/>
    <w:rsid w:val="00386DED"/>
    <w:rsid w:val="0038721F"/>
    <w:rsid w:val="003928DE"/>
    <w:rsid w:val="003973AC"/>
    <w:rsid w:val="003A733F"/>
    <w:rsid w:val="003B0DF8"/>
    <w:rsid w:val="003B27DD"/>
    <w:rsid w:val="003C153A"/>
    <w:rsid w:val="003C24EB"/>
    <w:rsid w:val="003D5375"/>
    <w:rsid w:val="003F0301"/>
    <w:rsid w:val="003F0B56"/>
    <w:rsid w:val="003F252F"/>
    <w:rsid w:val="00420731"/>
    <w:rsid w:val="00420DCC"/>
    <w:rsid w:val="004242F0"/>
    <w:rsid w:val="00424EA6"/>
    <w:rsid w:val="004415E5"/>
    <w:rsid w:val="00441DAA"/>
    <w:rsid w:val="00464493"/>
    <w:rsid w:val="004801D6"/>
    <w:rsid w:val="0048059C"/>
    <w:rsid w:val="00481007"/>
    <w:rsid w:val="004828C4"/>
    <w:rsid w:val="00485018"/>
    <w:rsid w:val="00493C77"/>
    <w:rsid w:val="004C2335"/>
    <w:rsid w:val="004C37F6"/>
    <w:rsid w:val="004E500A"/>
    <w:rsid w:val="004F2332"/>
    <w:rsid w:val="004F7A07"/>
    <w:rsid w:val="00502F46"/>
    <w:rsid w:val="005102F5"/>
    <w:rsid w:val="00513FDA"/>
    <w:rsid w:val="00515897"/>
    <w:rsid w:val="00520750"/>
    <w:rsid w:val="00524D72"/>
    <w:rsid w:val="00530038"/>
    <w:rsid w:val="00532266"/>
    <w:rsid w:val="00540483"/>
    <w:rsid w:val="00541F75"/>
    <w:rsid w:val="005A02D2"/>
    <w:rsid w:val="005A0F2C"/>
    <w:rsid w:val="005B35BE"/>
    <w:rsid w:val="005B40AA"/>
    <w:rsid w:val="005B4A90"/>
    <w:rsid w:val="005B629A"/>
    <w:rsid w:val="005F1BDE"/>
    <w:rsid w:val="006037D4"/>
    <w:rsid w:val="0060675C"/>
    <w:rsid w:val="006078E6"/>
    <w:rsid w:val="006439F1"/>
    <w:rsid w:val="006548C4"/>
    <w:rsid w:val="00657882"/>
    <w:rsid w:val="00660442"/>
    <w:rsid w:val="006627B9"/>
    <w:rsid w:val="0066684A"/>
    <w:rsid w:val="006712AA"/>
    <w:rsid w:val="006773E3"/>
    <w:rsid w:val="00684DED"/>
    <w:rsid w:val="006975A7"/>
    <w:rsid w:val="006A391F"/>
    <w:rsid w:val="006B143B"/>
    <w:rsid w:val="006B4792"/>
    <w:rsid w:val="006B7E71"/>
    <w:rsid w:val="006C0A20"/>
    <w:rsid w:val="006F6686"/>
    <w:rsid w:val="00701ACF"/>
    <w:rsid w:val="007057F4"/>
    <w:rsid w:val="00706DC1"/>
    <w:rsid w:val="007126AE"/>
    <w:rsid w:val="007154D4"/>
    <w:rsid w:val="0071770B"/>
    <w:rsid w:val="00722248"/>
    <w:rsid w:val="00722C3A"/>
    <w:rsid w:val="00722F92"/>
    <w:rsid w:val="007268DD"/>
    <w:rsid w:val="007316C7"/>
    <w:rsid w:val="00734FFB"/>
    <w:rsid w:val="007528E1"/>
    <w:rsid w:val="007533D2"/>
    <w:rsid w:val="007603DB"/>
    <w:rsid w:val="00761E22"/>
    <w:rsid w:val="00767F0A"/>
    <w:rsid w:val="00770A21"/>
    <w:rsid w:val="007765CE"/>
    <w:rsid w:val="00791F8E"/>
    <w:rsid w:val="007A50FD"/>
    <w:rsid w:val="007A7EB3"/>
    <w:rsid w:val="007B3BE6"/>
    <w:rsid w:val="007C3805"/>
    <w:rsid w:val="007C715D"/>
    <w:rsid w:val="007D5C87"/>
    <w:rsid w:val="007F2BF5"/>
    <w:rsid w:val="00820F6F"/>
    <w:rsid w:val="008437D1"/>
    <w:rsid w:val="008530E7"/>
    <w:rsid w:val="00864852"/>
    <w:rsid w:val="008670BB"/>
    <w:rsid w:val="00870464"/>
    <w:rsid w:val="008755D9"/>
    <w:rsid w:val="00875FF5"/>
    <w:rsid w:val="008A0B47"/>
    <w:rsid w:val="008A0F4C"/>
    <w:rsid w:val="008B201F"/>
    <w:rsid w:val="008B35A4"/>
    <w:rsid w:val="008B48A7"/>
    <w:rsid w:val="008B631E"/>
    <w:rsid w:val="008D5429"/>
    <w:rsid w:val="008F63BB"/>
    <w:rsid w:val="00900035"/>
    <w:rsid w:val="00907F09"/>
    <w:rsid w:val="0091367E"/>
    <w:rsid w:val="00933EA5"/>
    <w:rsid w:val="00936FCE"/>
    <w:rsid w:val="00937947"/>
    <w:rsid w:val="00944E43"/>
    <w:rsid w:val="00953E86"/>
    <w:rsid w:val="00956C8E"/>
    <w:rsid w:val="00973F35"/>
    <w:rsid w:val="00975AF0"/>
    <w:rsid w:val="00985B41"/>
    <w:rsid w:val="00992BB4"/>
    <w:rsid w:val="00994909"/>
    <w:rsid w:val="00995E32"/>
    <w:rsid w:val="009A4AA5"/>
    <w:rsid w:val="009B2639"/>
    <w:rsid w:val="009B63D0"/>
    <w:rsid w:val="009B6879"/>
    <w:rsid w:val="009C53A1"/>
    <w:rsid w:val="009D0D40"/>
    <w:rsid w:val="009D3ECA"/>
    <w:rsid w:val="009D6023"/>
    <w:rsid w:val="009F08E5"/>
    <w:rsid w:val="009F67D4"/>
    <w:rsid w:val="00A0257D"/>
    <w:rsid w:val="00A101AE"/>
    <w:rsid w:val="00A11260"/>
    <w:rsid w:val="00A12440"/>
    <w:rsid w:val="00A12DBA"/>
    <w:rsid w:val="00A228B3"/>
    <w:rsid w:val="00A23F35"/>
    <w:rsid w:val="00A3321E"/>
    <w:rsid w:val="00A34680"/>
    <w:rsid w:val="00A3786A"/>
    <w:rsid w:val="00A4097A"/>
    <w:rsid w:val="00A40AA3"/>
    <w:rsid w:val="00A43F45"/>
    <w:rsid w:val="00A573B0"/>
    <w:rsid w:val="00A6168A"/>
    <w:rsid w:val="00A630DC"/>
    <w:rsid w:val="00A67C96"/>
    <w:rsid w:val="00A71201"/>
    <w:rsid w:val="00A7639A"/>
    <w:rsid w:val="00AA09CF"/>
    <w:rsid w:val="00AA0B58"/>
    <w:rsid w:val="00AA1FBD"/>
    <w:rsid w:val="00AB72C9"/>
    <w:rsid w:val="00AC3552"/>
    <w:rsid w:val="00AC3D29"/>
    <w:rsid w:val="00AD2AC6"/>
    <w:rsid w:val="00AD32AE"/>
    <w:rsid w:val="00AE4CC3"/>
    <w:rsid w:val="00B237DD"/>
    <w:rsid w:val="00B43296"/>
    <w:rsid w:val="00B4482F"/>
    <w:rsid w:val="00B514BC"/>
    <w:rsid w:val="00B51DC3"/>
    <w:rsid w:val="00B547CC"/>
    <w:rsid w:val="00B603F8"/>
    <w:rsid w:val="00B60875"/>
    <w:rsid w:val="00B6406A"/>
    <w:rsid w:val="00B75963"/>
    <w:rsid w:val="00B7651A"/>
    <w:rsid w:val="00BB6DC8"/>
    <w:rsid w:val="00BC0372"/>
    <w:rsid w:val="00BC0DB3"/>
    <w:rsid w:val="00BC13CB"/>
    <w:rsid w:val="00BC4FE6"/>
    <w:rsid w:val="00BD390B"/>
    <w:rsid w:val="00BD481C"/>
    <w:rsid w:val="00BF1209"/>
    <w:rsid w:val="00C1239A"/>
    <w:rsid w:val="00C21270"/>
    <w:rsid w:val="00C306F5"/>
    <w:rsid w:val="00C456E6"/>
    <w:rsid w:val="00C45A80"/>
    <w:rsid w:val="00C56211"/>
    <w:rsid w:val="00C840AA"/>
    <w:rsid w:val="00C90BC0"/>
    <w:rsid w:val="00C91582"/>
    <w:rsid w:val="00CB174B"/>
    <w:rsid w:val="00CC0DA5"/>
    <w:rsid w:val="00CC5FD4"/>
    <w:rsid w:val="00CD4F6C"/>
    <w:rsid w:val="00CD72EB"/>
    <w:rsid w:val="00CE2C7D"/>
    <w:rsid w:val="00CF1DF0"/>
    <w:rsid w:val="00CF6CCD"/>
    <w:rsid w:val="00D02829"/>
    <w:rsid w:val="00D268F4"/>
    <w:rsid w:val="00D26D40"/>
    <w:rsid w:val="00D36C46"/>
    <w:rsid w:val="00D434FD"/>
    <w:rsid w:val="00D60F58"/>
    <w:rsid w:val="00D71C20"/>
    <w:rsid w:val="00D726B6"/>
    <w:rsid w:val="00D841FB"/>
    <w:rsid w:val="00D86683"/>
    <w:rsid w:val="00D95E82"/>
    <w:rsid w:val="00DA2851"/>
    <w:rsid w:val="00DA4117"/>
    <w:rsid w:val="00DB7ECA"/>
    <w:rsid w:val="00DC3980"/>
    <w:rsid w:val="00DF27B9"/>
    <w:rsid w:val="00DF6867"/>
    <w:rsid w:val="00E00CFB"/>
    <w:rsid w:val="00E021F9"/>
    <w:rsid w:val="00E06F7F"/>
    <w:rsid w:val="00E126B5"/>
    <w:rsid w:val="00E128AA"/>
    <w:rsid w:val="00E26F76"/>
    <w:rsid w:val="00E3402F"/>
    <w:rsid w:val="00E351C4"/>
    <w:rsid w:val="00E435C7"/>
    <w:rsid w:val="00E4474F"/>
    <w:rsid w:val="00E45F55"/>
    <w:rsid w:val="00E53B95"/>
    <w:rsid w:val="00E60C0C"/>
    <w:rsid w:val="00E6478D"/>
    <w:rsid w:val="00E70D5C"/>
    <w:rsid w:val="00E76244"/>
    <w:rsid w:val="00E85A59"/>
    <w:rsid w:val="00E91BEC"/>
    <w:rsid w:val="00EA18F4"/>
    <w:rsid w:val="00EA4FB4"/>
    <w:rsid w:val="00EB1A4A"/>
    <w:rsid w:val="00EB6E35"/>
    <w:rsid w:val="00EC49E7"/>
    <w:rsid w:val="00ED0BE8"/>
    <w:rsid w:val="00ED388C"/>
    <w:rsid w:val="00EE068D"/>
    <w:rsid w:val="00EF57C1"/>
    <w:rsid w:val="00EF5BB5"/>
    <w:rsid w:val="00F05D4A"/>
    <w:rsid w:val="00F255AE"/>
    <w:rsid w:val="00F361D8"/>
    <w:rsid w:val="00F367A4"/>
    <w:rsid w:val="00F44404"/>
    <w:rsid w:val="00F537A6"/>
    <w:rsid w:val="00F54F9B"/>
    <w:rsid w:val="00F55EE2"/>
    <w:rsid w:val="00F63A18"/>
    <w:rsid w:val="00F65B5D"/>
    <w:rsid w:val="00F6600B"/>
    <w:rsid w:val="00F81E81"/>
    <w:rsid w:val="00F821FD"/>
    <w:rsid w:val="00F86BCC"/>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1" Type="http://schemas.openxmlformats.org/officeDocument/2006/relationships/hyperlink" Target="http://www.jmir.org/ojs/public/journals/1/CONSORT-EHEALTH-v1-6.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image" Target="media/image7.png"/><Relationship Id="rId42" Type="http://schemas.openxmlformats.org/officeDocument/2006/relationships/oleObject" Target="embeddings/oleObject15.bin"/><Relationship Id="rId47" Type="http://schemas.openxmlformats.org/officeDocument/2006/relationships/image" Target="media/image19.wmf"/><Relationship Id="rId63" Type="http://schemas.openxmlformats.org/officeDocument/2006/relationships/image" Target="media/image28.wmf"/><Relationship Id="rId68" Type="http://schemas.openxmlformats.org/officeDocument/2006/relationships/oleObject" Target="embeddings/oleObject27.bin"/><Relationship Id="rId84" Type="http://schemas.openxmlformats.org/officeDocument/2006/relationships/image" Target="media/image43.jpeg"/><Relationship Id="rId89" Type="http://schemas.openxmlformats.org/officeDocument/2006/relationships/hyperlink" Target="http://www.ncbi.nlm.nih.gov/entrez/query.fcgi?cmd=Retrieve&amp;db=PubMed&amp;list_uids=9062335&amp;dopt=Abstract" TargetMode="External"/><Relationship Id="rId16" Type="http://schemas.openxmlformats.org/officeDocument/2006/relationships/oleObject" Target="embeddings/oleObject2.bin"/><Relationship Id="rId11" Type="http://schemas.openxmlformats.org/officeDocument/2006/relationships/hyperlink" Target="http://www.controlled-trials.com/isrctn/" TargetMode="External"/><Relationship Id="rId32" Type="http://schemas.openxmlformats.org/officeDocument/2006/relationships/oleObject" Target="embeddings/oleObject9.bin"/><Relationship Id="rId37" Type="http://schemas.openxmlformats.org/officeDocument/2006/relationships/oleObject" Target="embeddings/oleObject12.bin"/><Relationship Id="rId53" Type="http://schemas.openxmlformats.org/officeDocument/2006/relationships/oleObject" Target="embeddings/oleObject21.bin"/><Relationship Id="rId58" Type="http://schemas.openxmlformats.org/officeDocument/2006/relationships/image" Target="media/image25.png"/><Relationship Id="rId74" Type="http://schemas.openxmlformats.org/officeDocument/2006/relationships/oleObject" Target="embeddings/oleObject30.bin"/><Relationship Id="rId79"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hyperlink" Target="http://www.webcitation.org/" TargetMode="External"/><Relationship Id="rId95" Type="http://schemas.openxmlformats.org/officeDocument/2006/relationships/theme" Target="theme/theme1.xml"/><Relationship Id="rId22" Type="http://schemas.openxmlformats.org/officeDocument/2006/relationships/image" Target="media/image8.wmf"/><Relationship Id="rId27" Type="http://schemas.openxmlformats.org/officeDocument/2006/relationships/oleObject" Target="embeddings/oleObject6.bin"/><Relationship Id="rId43" Type="http://schemas.openxmlformats.org/officeDocument/2006/relationships/image" Target="media/image17.wmf"/><Relationship Id="rId48" Type="http://schemas.openxmlformats.org/officeDocument/2006/relationships/oleObject" Target="embeddings/oleObject18.bin"/><Relationship Id="rId64" Type="http://schemas.openxmlformats.org/officeDocument/2006/relationships/oleObject" Target="embeddings/oleObject25.bin"/><Relationship Id="rId69" Type="http://schemas.openxmlformats.org/officeDocument/2006/relationships/image" Target="media/image31.wmf"/><Relationship Id="rId8" Type="http://schemas.openxmlformats.org/officeDocument/2006/relationships/comments" Target="comments.xml"/><Relationship Id="rId51" Type="http://schemas.openxmlformats.org/officeDocument/2006/relationships/oleObject" Target="embeddings/oleObject20.bin"/><Relationship Id="rId72" Type="http://schemas.openxmlformats.org/officeDocument/2006/relationships/oleObject" Target="embeddings/oleObject29.bin"/><Relationship Id="rId80" Type="http://schemas.openxmlformats.org/officeDocument/2006/relationships/image" Target="media/image39.png"/><Relationship Id="rId85" Type="http://schemas.openxmlformats.org/officeDocument/2006/relationships/hyperlink" Target="https://jmir.zendesk.com/hc/en-us/articles/115003396688"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oleObject" Target="embeddings/oleObject5.bin"/><Relationship Id="rId33" Type="http://schemas.openxmlformats.org/officeDocument/2006/relationships/image" Target="media/image13.wmf"/><Relationship Id="rId38" Type="http://schemas.openxmlformats.org/officeDocument/2006/relationships/image" Target="media/image15.wmf"/><Relationship Id="rId46" Type="http://schemas.openxmlformats.org/officeDocument/2006/relationships/oleObject" Target="embeddings/oleObject17.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image" Target="media/image6.png"/><Relationship Id="rId41" Type="http://schemas.openxmlformats.org/officeDocument/2006/relationships/image" Target="media/image16.wmf"/><Relationship Id="rId54" Type="http://schemas.openxmlformats.org/officeDocument/2006/relationships/image" Target="media/image22.w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4.png"/><Relationship Id="rId83" Type="http://schemas.openxmlformats.org/officeDocument/2006/relationships/image" Target="media/image42.jpeg"/><Relationship Id="rId88" Type="http://schemas.openxmlformats.org/officeDocument/2006/relationships/hyperlink" Target="http://dx.doi.org/" TargetMode="External"/><Relationship Id="rId91" Type="http://schemas.openxmlformats.org/officeDocument/2006/relationships/hyperlink" Target="http://www.webcitation.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oleObject" Target="embeddings/oleObject4.bin"/><Relationship Id="rId28" Type="http://schemas.openxmlformats.org/officeDocument/2006/relationships/image" Target="media/image11.wmf"/><Relationship Id="rId36" Type="http://schemas.openxmlformats.org/officeDocument/2006/relationships/image" Target="media/image14.wmf"/><Relationship Id="rId49" Type="http://schemas.openxmlformats.org/officeDocument/2006/relationships/oleObject" Target="embeddings/oleObject19.bin"/><Relationship Id="rId57" Type="http://schemas.openxmlformats.org/officeDocument/2006/relationships/image" Target="media/image24.png"/><Relationship Id="rId10" Type="http://schemas.microsoft.com/office/2016/09/relationships/commentsIds" Target="commentsIds.xml"/><Relationship Id="rId31" Type="http://schemas.openxmlformats.org/officeDocument/2006/relationships/oleObject" Target="embeddings/oleObject8.bin"/><Relationship Id="rId44" Type="http://schemas.openxmlformats.org/officeDocument/2006/relationships/oleObject" Target="embeddings/oleObject16.bin"/><Relationship Id="rId52" Type="http://schemas.openxmlformats.org/officeDocument/2006/relationships/image" Target="media/image21.wmf"/><Relationship Id="rId60" Type="http://schemas.openxmlformats.org/officeDocument/2006/relationships/oleObject" Target="embeddings/oleObject23.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image" Target="media/image37.png"/><Relationship Id="rId81" Type="http://schemas.openxmlformats.org/officeDocument/2006/relationships/image" Target="media/image40.jpeg"/><Relationship Id="rId86" Type="http://schemas.openxmlformats.org/officeDocument/2006/relationships/hyperlink" Target="http://tinyurl.com/consort-ehealth-v1-6" TargetMode="External"/><Relationship Id="rId9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3.bin"/><Relationship Id="rId34" Type="http://schemas.openxmlformats.org/officeDocument/2006/relationships/oleObject" Target="embeddings/oleObject10.bin"/><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hyperlink" Target="http://isbndb.com/" TargetMode="External"/><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9.wmf"/><Relationship Id="rId40" Type="http://schemas.openxmlformats.org/officeDocument/2006/relationships/oleObject" Target="embeddings/oleObject14.bin"/><Relationship Id="rId45" Type="http://schemas.openxmlformats.org/officeDocument/2006/relationships/image" Target="media/image18.wmf"/><Relationship Id="rId66" Type="http://schemas.openxmlformats.org/officeDocument/2006/relationships/oleObject" Target="embeddings/oleObject26.bin"/><Relationship Id="rId87" Type="http://schemas.openxmlformats.org/officeDocument/2006/relationships/hyperlink" Target="http://www.ncbi.nlm.nih.gov/entrez/query.fcgi?cmd=Retrieve&amp;db=PubMed&amp;list_uids=9062335&amp;dopt=Abstract" TargetMode="External"/><Relationship Id="rId61" Type="http://schemas.openxmlformats.org/officeDocument/2006/relationships/image" Target="media/image27.wmf"/><Relationship Id="rId82" Type="http://schemas.openxmlformats.org/officeDocument/2006/relationships/image" Target="media/image41.jpeg"/><Relationship Id="rId19" Type="http://schemas.openxmlformats.org/officeDocument/2006/relationships/image" Target="media/image5.png"/><Relationship Id="rId14" Type="http://schemas.openxmlformats.org/officeDocument/2006/relationships/oleObject" Target="embeddings/oleObject1.bin"/><Relationship Id="rId30" Type="http://schemas.openxmlformats.org/officeDocument/2006/relationships/image" Target="media/image12.wmf"/><Relationship Id="rId35" Type="http://schemas.openxmlformats.org/officeDocument/2006/relationships/oleObject" Target="embeddings/oleObject11.bin"/><Relationship Id="rId56" Type="http://schemas.openxmlformats.org/officeDocument/2006/relationships/image" Target="media/image23.png"/><Relationship Id="rId7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FE64E-8EBA-40EE-8BD1-DB91DD8C9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9172</Words>
  <Characters>52281</Characters>
  <Application>Microsoft Office Word</Application>
  <DocSecurity>0</DocSecurity>
  <Lines>435</Lines>
  <Paragraphs>122</Paragraphs>
  <ScaleCrop>false</ScaleCrop>
  <Company/>
  <LinksUpToDate>false</LinksUpToDate>
  <CharactersWithSpaces>61331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dc:creator>
  <cp:lastModifiedBy>zhoul</cp:lastModifiedBy>
  <cp:revision>2</cp:revision>
  <dcterms:created xsi:type="dcterms:W3CDTF">2022-07-13T05:13:00Z</dcterms:created>
  <dcterms:modified xsi:type="dcterms:W3CDTF">2022-07-13T05:13:00Z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vt:lpwstr>
  </property>
  <property fmtid="{D5CDD505-2E9C-101B-9397-08002B2CF9AE}" pid="9" name="BIBDISP">
    <vt:lpwstr>ref</vt:lpwstr>
  </property>
</Properties>
</file>