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741A66A6" w:rsidR="0070177E" w:rsidRDefault="007C3805">
      <w:pPr>
        <w:rPr>
          <w:b/>
        </w:rPr>
      </w:pPr>
      <w:r>
        <w:rPr>
          <w:b/>
        </w:rPr>
        <w:t>Objective:</w:t>
      </w:r>
      <w:r w:rsidR="008E7FF8">
        <w:rPr>
          <w:b/>
        </w:rPr>
        <w:t xml:space="preserve"> </w:t>
      </w:r>
      <w:r w:rsidR="0070177E">
        <w:t>T</w:t>
      </w:r>
      <w:r w:rsidR="0070177E">
        <w:t xml:space="preserve">his work aims to devise a TCM formulas visualization method for showing the composition of herbal medicines and the multidimensional properties of these medicines, and supporting the comparison of medicine formulas. </w:t>
      </w:r>
    </w:p>
    <w:p w14:paraId="5DE80BE2" w14:textId="77777777" w:rsidR="00BA1A3E" w:rsidRDefault="00BA1A3E" w:rsidP="00505810">
      <w:pPr>
        <w:rPr>
          <w:b/>
        </w:rPr>
      </w:pPr>
      <w:bookmarkStart w:id="2" w:name="_GoBack"/>
      <w:bookmarkEnd w:id="2"/>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a</w:t>
      </w:r>
      <w:r w:rsidR="00505810">
        <w:t xml:space="preserve"> </w:t>
      </w:r>
      <w:r w:rsidR="00505810">
        <w:t xml:space="preserve">formula view </w:t>
      </w:r>
      <w:r w:rsidR="00505810">
        <w:t xml:space="preserve">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Medicines are color-encoded with a perceptual-guided color map that encodes multidimensional TCM attributes and the similarity measure at the same time.</w:t>
      </w:r>
      <w:r w:rsidR="008E3D2A">
        <w:t xml:space="preserve"> </w:t>
      </w:r>
      <w:r w:rsidR="008E3D2A">
        <w:t>The color map is calculated by a data-driven interpolation scheme.</w:t>
      </w:r>
      <w:r w:rsidR="008E3D2A">
        <w:t xml:space="preserv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75B12C6" w14:textId="77777777" w:rsidR="00065FDF" w:rsidRDefault="007C3805">
      <w:r>
        <w:rPr>
          <w:b/>
        </w:rPr>
        <w:t>Results:</w:t>
      </w:r>
      <w:r>
        <w:t xml:space="preserve"> Be sure to include relevant statistics here, such as sample sizes, response rates, </w:t>
      </w:r>
      <w:r>
        <w:rPr>
          <w:i/>
        </w:rPr>
        <w:t>P</w:t>
      </w:r>
      <w:r>
        <w:t xml:space="preserve"> values or Confidence Intervals.  Be specific (by stating the value) rather than general (</w:t>
      </w:r>
      <w:proofErr w:type="spellStart"/>
      <w:r>
        <w:t>eg</w:t>
      </w:r>
      <w:proofErr w:type="spellEnd"/>
      <w:r>
        <w:t>, “there were differences between the groups”).</w:t>
      </w:r>
    </w:p>
    <w:p w14:paraId="4BEBF265" w14:textId="29F81640" w:rsidR="00065FDF" w:rsidRDefault="007C3805">
      <w:pPr>
        <w:rPr>
          <w:b/>
        </w:rPr>
      </w:pPr>
      <w:r>
        <w:rPr>
          <w:b/>
        </w:rPr>
        <w:t>Conclusions:</w:t>
      </w:r>
    </w:p>
    <w:p w14:paraId="2D7A70AA" w14:textId="77777777" w:rsidR="008E7FF8" w:rsidRDefault="008E7FF8">
      <w:pPr>
        <w:rPr>
          <w:b/>
        </w:rPr>
      </w:pPr>
    </w:p>
    <w:p w14:paraId="35BEFCEF" w14:textId="77777777" w:rsidR="00065FDF" w:rsidRDefault="007C3805">
      <w:bookmarkStart w:id="3" w:name="Trial"/>
      <w:bookmarkEnd w:id="3"/>
      <w:r>
        <w:rPr>
          <w:b/>
        </w:rPr>
        <w:t>Trial Registration:</w:t>
      </w:r>
      <w:r>
        <w:t xml:space="preserve"> In accordance with ICMJE recommendations, </w:t>
      </w:r>
      <w:r>
        <w:rPr>
          <w:b/>
        </w:rPr>
        <w:t>RCTs must have been registered in a WHO accredited trial registry</w:t>
      </w:r>
      <w:r>
        <w:t xml:space="preserve">. Please mention the ClinicalTrials.gov registration identifier, the </w:t>
      </w:r>
      <w:hyperlink r:id="rId8" w:history="1">
        <w:r>
          <w:t xml:space="preserve">International Standard Randomized </w:t>
        </w:r>
        <w:r>
          <w:lastRenderedPageBreak/>
          <w:t>Controlled Trial Number (ISRCTN)</w:t>
        </w:r>
      </w:hyperlink>
      <w:r>
        <w:t xml:space="preserve">, or a comparable trial identifier at the end of the abstract ("Trial Registration: ClinicalTrials.gov NCT123456"), as well as when you first mention the trial in the manuscript. When mentioning related trials (e.g. in the Introduction or Methods section) the trial registration number should also be added in brackets. </w:t>
      </w:r>
      <w:r>
        <w:rPr>
          <w:b/>
        </w:rPr>
        <w:t xml:space="preserve">ICMJE member journals require, as a condition of consideration for publication, registration in a public </w:t>
      </w:r>
      <w:proofErr w:type="gramStart"/>
      <w:r>
        <w:rPr>
          <w:b/>
        </w:rPr>
        <w:t>trials</w:t>
      </w:r>
      <w:proofErr w:type="gramEnd"/>
      <w:r>
        <w:rPr>
          <w:b/>
        </w:rPr>
        <w:t xml:space="preserve"> registry at or before the onset of patient enrollment. This policy applies to any trial which started enrollment after July 1, 2005. JMIR authors must add an explanation to the methods section of their manuscript if </w:t>
      </w:r>
      <w:proofErr w:type="gramStart"/>
      <w:r>
        <w:rPr>
          <w:b/>
        </w:rPr>
        <w:t>a</w:t>
      </w:r>
      <w:proofErr w:type="gramEnd"/>
      <w:r>
        <w:rPr>
          <w:b/>
        </w:rPr>
        <w:t xml:space="preserve"> RCT meeting these criteria has not been registered</w:t>
      </w:r>
      <w:r>
        <w:t>. The JMIR editor reserves the right to reject any paper without trial registration without any further consideration or peer-review.</w:t>
      </w:r>
    </w:p>
    <w:p w14:paraId="7AFA3A68" w14:textId="77777777" w:rsidR="00065FDF" w:rsidRDefault="00065FDF">
      <w:pPr>
        <w:rPr>
          <w:b/>
        </w:rPr>
      </w:pPr>
    </w:p>
    <w:p w14:paraId="6C9FA2F6" w14:textId="77777777" w:rsidR="00065FDF" w:rsidRDefault="007C3805">
      <w:bookmarkStart w:id="4" w:name="Keywords"/>
      <w:bookmarkEnd w:id="4"/>
      <w:commentRangeStart w:id="5"/>
      <w:r>
        <w:rPr>
          <w:b/>
        </w:rPr>
        <w:t>Keywords</w:t>
      </w:r>
      <w:commentRangeEnd w:id="5"/>
      <w:r>
        <w:rPr>
          <w:rStyle w:val="af5"/>
          <w:b/>
          <w:bCs/>
        </w:rPr>
        <w:commentReference w:id="5"/>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6" w:name="Introduction"/>
      <w:bookmarkStart w:id="7" w:name="_Introduction_1"/>
      <w:bookmarkEnd w:id="6"/>
      <w:bookmarkEnd w:id="7"/>
      <w:commentRangeStart w:id="8"/>
      <w:r>
        <w:t>Introduction</w:t>
      </w:r>
      <w:commentRangeEnd w:id="8"/>
      <w:r>
        <w:rPr>
          <w:rStyle w:val="af5"/>
          <w:rFonts w:asciiTheme="minorHAnsi" w:eastAsiaTheme="minorEastAsia" w:hAnsiTheme="minorHAnsi" w:cstheme="minorBidi"/>
          <w:b w:val="0"/>
          <w:bCs w:val="0"/>
          <w:color w:val="auto"/>
        </w:rPr>
        <w:commentReference w:id="8"/>
      </w:r>
    </w:p>
    <w:p w14:paraId="2FB771E0" w14:textId="77777777"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2B986961" w14:textId="77777777" w:rsidR="00B8331F" w:rsidRDefault="00B8331F" w:rsidP="00B8331F">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241E3D62" w14:textId="50C20E41" w:rsidR="007A005D" w:rsidRDefault="00B8331F" w:rsidP="00B8331F">
      <w:r>
        <w:t>In this paper, we propose a visual</w:t>
      </w:r>
      <w:r w:rsidR="00125972">
        <w:t>ization</w:t>
      </w:r>
      <w:r>
        <w:t xml:space="preserve"> method for TCM medicine formulas to address the issues of the existing training method. As a result of a close collaboration between visualization and TCM experts, our method provides compact and clear visualization of hierarchical data of medicine formulas and multidimensional attribute data of medicines. While our method is data-driven, we emphasize the perception aspect of the visualization. Specifically, a </w:t>
      </w:r>
    </w:p>
    <w:p w14:paraId="1ADEA4B5" w14:textId="18AF9CC7" w:rsidR="00B8331F" w:rsidRDefault="00B8331F" w:rsidP="00B8331F">
      <w:r>
        <w:t xml:space="preserve">layout algorithm is designed to improve the comparability and reduce visual clutter of tree branches in the icicle chart with data-driven similarity measurement; medicines are color mapped with a 2D color map generated with radial basis </w:t>
      </w:r>
      <w:r>
        <w:lastRenderedPageBreak/>
        <w:t xml:space="preserve">function (RBF) interpolation in a perceptual-uniform color space with TCM-concept inspired colors, while their placement in the dimensionality reduction plot is driven by their TCM properties. As shown in Figure 1, our method is realized as a web-based interactive tool, which comprises two linked views: a </w:t>
      </w:r>
      <w:r w:rsidR="008E7FF8">
        <w:t>medicine formula</w:t>
      </w:r>
      <w:r>
        <w:t xml:space="preserve"> view with an icicle chart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42CC737B" w14:textId="77777777" w:rsidR="00B8331F" w:rsidRDefault="00B8331F" w:rsidP="00B8331F"/>
    <w:p w14:paraId="6A618486" w14:textId="77777777" w:rsidR="00B8331F" w:rsidRDefault="00B8331F" w:rsidP="00B8331F">
      <w:r>
        <w:t>These are the contributions of our method:</w:t>
      </w:r>
    </w:p>
    <w:p w14:paraId="3A26018A" w14:textId="77777777" w:rsidR="00B8331F" w:rsidRDefault="00B8331F" w:rsidP="00B8331F">
      <w:r>
        <w:rPr>
          <w:rFonts w:hint="eastAsia"/>
        </w:rPr>
        <w:t>•</w:t>
      </w:r>
      <w:r>
        <w:t>A layout algorithm for medicine formula hierarchies to improve comparison capability of medicines in an icicle plot.</w:t>
      </w:r>
    </w:p>
    <w:p w14:paraId="5F15E472" w14:textId="77777777" w:rsidR="00B8331F" w:rsidRDefault="00B8331F" w:rsidP="00B8331F">
      <w:r>
        <w:rPr>
          <w:rFonts w:hint="eastAsia"/>
        </w:rPr>
        <w:t>•</w:t>
      </w:r>
      <w:r>
        <w:t>Perception-guided data-driven color encoding for medicines.</w:t>
      </w:r>
    </w:p>
    <w:p w14:paraId="65E9D708" w14:textId="1AA20B0C" w:rsidR="00B8331F" w:rsidRDefault="00B8331F" w:rsidP="00B8331F">
      <w:r>
        <w:rPr>
          <w:rFonts w:hint="eastAsia"/>
        </w:rPr>
        <w:t>•</w:t>
      </w:r>
      <w:r>
        <w:t>An interactive tool that facilitates the analysis and understanding of TCM medicine formulas as a result of a close interdisciplinary collaboration.</w:t>
      </w:r>
    </w:p>
    <w:p w14:paraId="558E8966" w14:textId="77777777" w:rsidR="00B8331F" w:rsidRDefault="00B8331F" w:rsidP="00B8331F"/>
    <w:p w14:paraId="231DC1CE" w14:textId="1D3F8F33" w:rsidR="00B8331F" w:rsidRDefault="00B8331F">
      <w:r>
        <w:t>The usefulness of our method is demonstrated by two use cases of typical medicine formulas. A TCM expert analyzed these medicine formulas with our method and considered that the new method could effectively reveal the constitution principle of medicine formulas in an intuitive way, and could assist the learning of the subject in TCM. Furthermore, our method provides a link between medicine attributes and medicine formulas, and, therefore, is a promising tool for designing new formulas.</w:t>
      </w:r>
    </w:p>
    <w:p w14:paraId="7B3B98AE" w14:textId="385D3709" w:rsidR="00B8331F" w:rsidRDefault="00B8331F"/>
    <w:p w14:paraId="6B15166E" w14:textId="77777777" w:rsidR="00B8331F" w:rsidRDefault="00B8331F"/>
    <w:p w14:paraId="368C196B" w14:textId="7777777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9" w:name="Methods"/>
      <w:bookmarkStart w:id="10" w:name="_Methods_1"/>
      <w:bookmarkEnd w:id="9"/>
      <w:bookmarkEnd w:id="10"/>
      <w:r>
        <w:lastRenderedPageBreak/>
        <w:t>Methods</w:t>
      </w:r>
    </w:p>
    <w:p w14:paraId="31AF32BD" w14:textId="4300B44C" w:rsidR="00B8331F" w:rsidRDefault="00B8331F" w:rsidP="00B8331F">
      <w:pPr>
        <w:pStyle w:val="3"/>
      </w:pPr>
      <w:r>
        <w:t>Background</w:t>
      </w:r>
      <w:r w:rsidR="008E7FF8">
        <w:t xml:space="preserve"> and Data</w:t>
      </w:r>
    </w:p>
    <w:p w14:paraId="1F5AABD1" w14:textId="77777777" w:rsidR="00B8331F" w:rsidRDefault="00B8331F" w:rsidP="00B8331F"/>
    <w:p w14:paraId="747E3C3A" w14:textId="77777777" w:rsidR="00B8331F" w:rsidRDefault="00B8331F" w:rsidP="00B8331F">
      <w:r>
        <w:t xml:space="preserve">Classifications of Chinese herbal medicines are multi-faceted and multi- </w:t>
      </w:r>
      <w:proofErr w:type="gramStart"/>
      <w:r>
        <w:t>leveled[</w:t>
      </w:r>
      <w:proofErr w:type="gramEnd"/>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Pr>
          <w:rFonts w:ascii="微软雅黑" w:eastAsia="微软雅黑" w:hAnsi="微软雅黑" w:cs="微软雅黑" w:hint="eastAsia"/>
        </w:rPr>
        <w:t>脏</w:t>
      </w:r>
      <w:r>
        <w:rPr>
          <w:rFonts w:ascii="MS Mincho" w:eastAsia="MS Mincho" w:hAnsi="MS Mincho" w:cs="MS Mincho" w:hint="eastAsia"/>
        </w:rPr>
        <w:t>腑</w:t>
      </w:r>
      <w:r>
        <w:rPr>
          <w:rFonts w:ascii="微软雅黑" w:eastAsia="微软雅黑" w:hAnsi="微软雅黑" w:cs="微软雅黑" w:hint="eastAsia"/>
        </w:rPr>
        <w:t>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according to their functions on the human body. Cold 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77777777" w:rsidR="008E7FF8" w:rsidRPr="00E128AA" w:rsidRDefault="008E7FF8" w:rsidP="008E7FF8">
      <w:pPr>
        <w:rPr>
          <w:color w:val="4F81BD" w:themeColor="accent1"/>
        </w:rPr>
      </w:pPr>
      <w:r w:rsidRPr="00E128AA">
        <w:rPr>
          <w:color w:val="4F81BD" w:themeColor="accent1"/>
        </w:rPr>
        <w:t xml:space="preserve">In this work, the </w:t>
      </w:r>
      <w:proofErr w:type="spellStart"/>
      <w:r w:rsidRPr="00E128AA">
        <w:rPr>
          <w:color w:val="4F81BD" w:themeColor="accent1"/>
        </w:rPr>
        <w:t>Siqi</w:t>
      </w:r>
      <w:proofErr w:type="spellEnd"/>
      <w:r w:rsidRPr="00E128AA">
        <w:rPr>
          <w:color w:val="4F81BD" w:themeColor="accent1"/>
        </w:rPr>
        <w:t xml:space="preserve"> and </w:t>
      </w:r>
      <w:proofErr w:type="spellStart"/>
      <w:r w:rsidRPr="00E128AA">
        <w:rPr>
          <w:color w:val="4F81BD" w:themeColor="accent1"/>
        </w:rPr>
        <w:t>Wuwei</w:t>
      </w:r>
      <w:proofErr w:type="spellEnd"/>
      <w:r w:rsidRPr="00E128AA">
        <w:rPr>
          <w:color w:val="4F81BD" w:themeColor="accent1"/>
        </w:rPr>
        <w:t xml:space="preserve"> properties are represented as XXX- and YYY-dimensional vectors, respectively.</w:t>
      </w:r>
    </w:p>
    <w:p w14:paraId="5A754C84" w14:textId="77777777" w:rsidR="008E7FF8" w:rsidRDefault="008E7FF8" w:rsidP="00B8331F"/>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8CF0D3D"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w:t>
      </w:r>
      <w:r w:rsidR="008B201F">
        <w:lastRenderedPageBreak/>
        <w:t xml:space="preserve">classification of drugs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649BDC87" w:rsidR="006F6686" w:rsidRDefault="006F6686" w:rsidP="006F6686">
      <w:r>
        <w:t>Our method is the result of an iterative development process with quick prototypes. Prototypes were realized based on the requirements and proposed to the TCM expert 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6E1FD18F" w14:textId="77777777" w:rsidR="00065FDF" w:rsidRDefault="007C3805">
      <w:pPr>
        <w:rPr>
          <w:rFonts w:eastAsia="宋体"/>
          <w:lang w:eastAsia="zh-CN"/>
        </w:rPr>
      </w:pPr>
      <w:r>
        <w:rPr>
          <w:rFonts w:eastAsia="宋体" w:hint="eastAsia"/>
          <w:lang w:eastAsia="zh-CN"/>
        </w:rPr>
        <w:t xml:space="preserve">In this paper, the sources of the input data are as follows. The medicine formulas data are extracted from the key medicine formulas in the textbook Medicine Formulas (Tenth </w:t>
      </w:r>
      <w:proofErr w:type="gramStart"/>
      <w:r>
        <w:rPr>
          <w:rFonts w:eastAsia="宋体" w:hint="eastAsia"/>
          <w:lang w:eastAsia="zh-CN"/>
        </w:rPr>
        <w:t>Edition)</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BIB_fangjixue \* MERGEFORMAT </w:instrText>
      </w:r>
      <w:r>
        <w:rPr>
          <w:rFonts w:ascii="Cambria" w:eastAsia="宋体" w:hAnsi="Cambria"/>
          <w:lang w:eastAsia="zh-CN"/>
        </w:rPr>
        <w:fldChar w:fldCharType="separate"/>
      </w:r>
      <w:r>
        <w:rPr>
          <w:rFonts w:ascii="Cambria" w:hAnsi="Cambria" w:cs="Times New Roman"/>
        </w:rPr>
        <w:t>31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as shown in Table 1. The </w:t>
      </w:r>
      <w:proofErr w:type="spellStart"/>
      <w:r>
        <w:rPr>
          <w:rFonts w:eastAsia="宋体" w:hint="eastAsia"/>
          <w:lang w:eastAsia="zh-CN"/>
        </w:rPr>
        <w:t>multidimensionial</w:t>
      </w:r>
      <w:proofErr w:type="spellEnd"/>
      <w:r>
        <w:rPr>
          <w:rFonts w:eastAsia="宋体" w:hint="eastAsia"/>
          <w:lang w:eastAsia="zh-CN"/>
        </w:rPr>
        <w:t xml:space="preserve"> medicine attribute data are retrieved from the </w:t>
      </w:r>
      <w:proofErr w:type="spellStart"/>
      <w:r>
        <w:rPr>
          <w:rFonts w:eastAsia="宋体" w:hint="eastAsia"/>
          <w:lang w:eastAsia="zh-CN"/>
        </w:rPr>
        <w:t>SymMap</w:t>
      </w:r>
      <w:proofErr w:type="spellEnd"/>
      <w:r>
        <w:rPr>
          <w:rFonts w:eastAsia="宋体" w:hint="eastAsia"/>
          <w:lang w:eastAsia="zh-CN"/>
        </w:rPr>
        <w:t xml:space="preserve"> </w:t>
      </w:r>
      <w:proofErr w:type="gramStart"/>
      <w:r>
        <w:rPr>
          <w:rFonts w:eastAsia="宋体" w:hint="eastAsia"/>
          <w:lang w:eastAsia="zh-CN"/>
        </w:rPr>
        <w:t>database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BIB_wu2019 \* MERGEFORMAT </w:instrText>
      </w:r>
      <w:r>
        <w:rPr>
          <w:rFonts w:ascii="Cambria" w:eastAsia="宋体" w:hAnsi="Cambria"/>
          <w:lang w:eastAsia="zh-CN"/>
        </w:rPr>
        <w:fldChar w:fldCharType="separate"/>
      </w:r>
      <w:r>
        <w:rPr>
          <w:rFonts w:ascii="Cambria" w:hAnsi="Cambria" w:cs="Times New Roman"/>
        </w:rPr>
        <w:t>32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w:t>
      </w:r>
    </w:p>
    <w:p w14:paraId="55B7414D" w14:textId="77777777" w:rsidR="00065FDF" w:rsidRDefault="007C3805">
      <w:pPr>
        <w:pStyle w:val="3"/>
      </w:pPr>
      <w:r>
        <w:t>Dimensionality Reduction and Distance Computation</w:t>
      </w:r>
    </w:p>
    <w:p w14:paraId="7251059B" w14:textId="1A063F37"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M=XXX?</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pt" o:ole="">
            <v:imagedata r:id="rId13" o:title=""/>
          </v:shape>
          <o:OLEObject Type="Embed" ProgID="Equation.DSMT4" ShapeID="_x0000_i1025" DrawAspect="Content" ObjectID="_1719241200"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lastRenderedPageBreak/>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pt;height:19pt" o:ole="">
            <v:imagedata r:id="rId15" o:title=""/>
          </v:shape>
          <o:OLEObject Type="Embed" ProgID="Equation.DSMT4" ShapeID="_x0000_i1026" DrawAspect="Content" ObjectID="_1719241201"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77777777"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 reduced space is shown in Figure </w:t>
      </w:r>
      <w:hyperlink w:anchor="_bookmark0" w:history="1">
        <w:r>
          <w:t>1(left).</w:t>
        </w:r>
      </w:hyperlink>
    </w:p>
    <w:p w14:paraId="18448B97" w14:textId="5CD24424" w:rsidR="00065FDF" w:rsidRDefault="007C3805">
      <w:r>
        <w:t>The distance between medicines is the basis of our subsequent similarity-based hierarchy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1" w:name="_bookmark6"/>
      <w:bookmarkEnd w:id="11"/>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5pt;height:20pt" o:ole="">
            <v:imagedata r:id="rId17" o:title=""/>
          </v:shape>
          <o:OLEObject Type="Embed" ProgID="Equation.DSMT4" ShapeID="_x0000_i1027" DrawAspect="Content" ObjectID="_1719241202"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21262CEC"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 based on the distance using </w:t>
      </w:r>
      <w:r>
        <w:rPr>
          <w:b/>
          <w:bCs/>
        </w:rPr>
        <w:t>P</w:t>
      </w:r>
      <w:r>
        <w:t xml:space="preserve"> is more difficult than that of the projected vectors </w:t>
      </w:r>
      <w:r>
        <w:rPr>
          <w:b/>
          <w:bCs/>
        </w:rPr>
        <w:t>p</w:t>
      </w:r>
      <w:r>
        <w:t>, and, makes the resulting hierarchy visualization more difficult for comparison and comes with more visual clutter.</w:t>
      </w:r>
      <w:bookmarkStart w:id="12" w:name="Icicle_Plot_with_Similarity-Based_Tree_L"/>
      <w:bookmarkStart w:id="13" w:name="_bookmark7"/>
      <w:bookmarkEnd w:id="12"/>
      <w:bookmarkEnd w:id="13"/>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6E0D60B9" w:rsidR="00BC0372" w:rsidRDefault="00C1239A" w:rsidP="00C1239A">
      <w:r>
        <w:t>Typically,</w:t>
      </w:r>
      <w:r w:rsidR="00BC0372">
        <w:t xml:space="preserve"> </w:t>
      </w:r>
      <w:r>
        <w:t xml:space="preserve">a dozen of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1B5613FB" w:rsidR="004C2335" w:rsidRPr="00FE6AA5" w:rsidRDefault="00C1239A">
      <w:pPr>
        <w:rPr>
          <w:color w:val="FF0000"/>
        </w:rPr>
      </w:pPr>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an overlay (</w:t>
      </w:r>
      <w:proofErr w:type="spellStart"/>
      <w:r w:rsidR="00EC49E7" w:rsidRPr="00FE6AA5">
        <w:rPr>
          <w:color w:val="FF0000"/>
        </w:rPr>
        <w:t>Bubblesets</w:t>
      </w:r>
      <w:proofErr w:type="spellEnd"/>
      <w:r w:rsidR="00EC49E7" w:rsidRPr="00FE6AA5">
        <w:rPr>
          <w:color w:val="FF0000"/>
        </w:rPr>
        <w:t>),</w:t>
      </w:r>
      <w:r w:rsidR="004C2335" w:rsidRPr="00FE6AA5">
        <w:rPr>
          <w:color w:val="FF0000"/>
        </w:rPr>
        <w:t xml:space="preserve"> a node-link diagram, and a matrix-based method </w:t>
      </w:r>
      <w:r w:rsidR="00875FF5" w:rsidRPr="00FE6AA5">
        <w:rPr>
          <w:color w:val="FF0000"/>
        </w:rPr>
        <w:t xml:space="preserve">that are figures in the survey paper by </w:t>
      </w:r>
      <w:proofErr w:type="spellStart"/>
      <w:r w:rsidR="00875FF5" w:rsidRPr="00FE6AA5">
        <w:rPr>
          <w:color w:val="FF0000"/>
        </w:rPr>
        <w:t>Alsallakh</w:t>
      </w:r>
      <w:proofErr w:type="spellEnd"/>
      <w:r w:rsidR="00875FF5" w:rsidRPr="00FE6AA5">
        <w:rPr>
          <w:color w:val="FF0000"/>
        </w:rPr>
        <w:t>~\</w:t>
      </w:r>
      <w:proofErr w:type="gramStart"/>
      <w:r w:rsidR="00361C0B" w:rsidRPr="00FE6AA5">
        <w:rPr>
          <w:color w:val="FF0000"/>
        </w:rPr>
        <w:t>cite</w:t>
      </w:r>
      <w:r w:rsidR="00875FF5" w:rsidRPr="00FE6AA5">
        <w:rPr>
          <w:color w:val="FF0000"/>
        </w:rPr>
        <w:t>{</w:t>
      </w:r>
      <w:proofErr w:type="gramEnd"/>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0678C116"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w:t>
      </w:r>
      <w:proofErr w:type="gramStart"/>
      <w:r w:rsidR="004242F0">
        <w:rPr>
          <w:rFonts w:eastAsia="宋体"/>
          <w:lang w:eastAsia="zh-CN"/>
        </w:rPr>
        <w:t xml:space="preserve">a </w:t>
      </w:r>
      <w:r w:rsidR="00875FF5">
        <w:rPr>
          <w:rFonts w:eastAsia="宋体"/>
          <w:lang w:eastAsia="zh-CN"/>
        </w:rPr>
        <w:t xml:space="preserve"> large</w:t>
      </w:r>
      <w:proofErr w:type="gramEnd"/>
      <w:r w:rsidR="00875FF5">
        <w:rPr>
          <w:rFonts w:eastAsia="宋体"/>
          <w:lang w:eastAsia="zh-CN"/>
        </w:rPr>
        <w:t xml:space="preserv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w:t>
      </w:r>
      <w:r>
        <w:rPr>
          <w:rFonts w:eastAsia="宋体"/>
          <w:lang w:eastAsia="zh-CN"/>
        </w:rPr>
        <w:lastRenderedPageBreak/>
        <w:t xml:space="preserve">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9FE4C30" w14:textId="351DDC2D" w:rsidR="00DA4117" w:rsidRDefault="00361C0B">
      <w:r>
        <w:rPr>
          <w:rFonts w:eastAsia="宋体"/>
          <w:lang w:eastAsia="zh-CN"/>
        </w:rPr>
        <w:t xml:space="preserve">According to the </w:t>
      </w:r>
      <w:r w:rsidR="00356E5D">
        <w:rPr>
          <w:rFonts w:eastAsia="宋体"/>
          <w:lang w:eastAsia="zh-CN"/>
        </w:rPr>
        <w:t>evaluation</w:t>
      </w:r>
      <w:r w:rsidR="00995E32">
        <w:rPr>
          <w:rFonts w:eastAsia="宋体"/>
          <w:lang w:eastAsia="zh-CN"/>
        </w:rPr>
        <w:t>, we decide</w:t>
      </w:r>
      <w:r>
        <w:rPr>
          <w:rFonts w:eastAsia="宋体"/>
          <w:lang w:eastAsia="zh-CN"/>
        </w:rPr>
        <w:t xml:space="preserve"> </w:t>
      </w:r>
      <w:r w:rsidR="00995E32">
        <w:rPr>
          <w:rFonts w:eastAsia="宋体"/>
          <w:lang w:eastAsia="zh-CN"/>
        </w:rPr>
        <w:t xml:space="preserve">to devise a </w:t>
      </w:r>
      <w:r>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medicine formulas and meets requirements R1 and R2. </w:t>
      </w:r>
      <w:r w:rsidR="00DA4117">
        <w:t>With a sparse matrix representation, the set-element matrix can be compressed to rows of non-zero elements.</w:t>
      </w:r>
      <w:r>
        <w:t xml:space="preserve"> </w:t>
      </w:r>
      <w:r w:rsidR="00DA4117">
        <w:t xml:space="preserve">This </w:t>
      </w:r>
      <w:r>
        <w:t xml:space="preserve">representation </w:t>
      </w:r>
      <w:r w:rsidR="00DA4117">
        <w:t>is similar to an icicle plot</w:t>
      </w:r>
      <w:r>
        <w:t>~\</w:t>
      </w:r>
      <w:proofErr w:type="gramStart"/>
      <w:r>
        <w:t>cite{</w:t>
      </w:r>
      <w:proofErr w:type="gramEnd"/>
      <w:r>
        <w:t xml:space="preserve">} for hierarchy visualization. If the icicle plot is properly laid out, it has potential to support comparison of similar medicine formulas. </w:t>
      </w:r>
    </w:p>
    <w:p w14:paraId="349426AE" w14:textId="77777777" w:rsidR="00DA4117" w:rsidRDefault="00DA4117"/>
    <w:p w14:paraId="42FFBCF4" w14:textId="4F4B269B" w:rsidR="00065FDF" w:rsidRDefault="007C3805">
      <w:r>
        <w:t>Therefore, we use the icicle plot as the basis of our visual design for the medicine formulas view.</w:t>
      </w:r>
      <w:r w:rsidR="00DA4117">
        <w:t xml:space="preserve"> </w:t>
      </w:r>
      <w:r w:rsidR="00361C0B">
        <w:t xml:space="preserve">To support </w:t>
      </w:r>
      <w:r w:rsidR="00F54F9B">
        <w:t xml:space="preserve">overlapping drugs analysis of formulas, </w:t>
      </w:r>
      <w:r w:rsidR="00A101AE">
        <w:t>a</w:t>
      </w:r>
      <w:r w:rsidR="00DA4117">
        <w:t xml:space="preserve"> co-</w:t>
      </w:r>
      <w:proofErr w:type="spellStart"/>
      <w:r w:rsidR="00DA4117">
        <w:t>occurrency</w:t>
      </w:r>
      <w:proofErr w:type="spellEnd"/>
      <w:r w:rsidR="00DA4117">
        <w:t xml:space="preserve"> matrix view </w:t>
      </w:r>
      <w:r w:rsidR="00A101AE">
        <w:t>is used to complement the icicle plot view.</w:t>
      </w:r>
    </w:p>
    <w:p w14:paraId="7DFB0323" w14:textId="77777777" w:rsidR="00065FDF" w:rsidRDefault="007C3805">
      <w:pPr>
        <w:pStyle w:val="4"/>
      </w:pPr>
      <w:bookmarkStart w:id="14" w:name="Icicle_Plot_of_Medicine_Formulas"/>
      <w:bookmarkEnd w:id="14"/>
      <w:r>
        <w:t>Icicle Plot of Medicine Formulas</w:t>
      </w:r>
    </w:p>
    <w:p w14:paraId="21B4547F" w14:textId="77777777"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7777777" w:rsidR="00065FDF" w:rsidRDefault="007C3805">
      <w:pPr>
        <w:rPr>
          <w:lang w:eastAsia="zh-CN"/>
        </w:rPr>
      </w:pPr>
      <w:r>
        <w:rPr>
          <w:lang w:eastAsia="zh-CN"/>
        </w:rPr>
        <w:t xml:space="preserve">In our design, sovereign medicines are highlighted and treated differently than other medicines to meet requirement R3. As shown in Figure 4, sovereign medicines </w:t>
      </w:r>
      <w:r>
        <w:rPr>
          <w:lang w:eastAsia="zh-CN"/>
        </w:rPr>
        <w:lastRenderedPageBreak/>
        <w:t>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3C2A831C" w14:textId="77777777" w:rsidR="00065FDF" w:rsidRDefault="007C3805">
      <w:pPr>
        <w:rPr>
          <w:lang w:eastAsia="zh-CN"/>
        </w:rPr>
      </w:pPr>
      <w:r>
        <w:rPr>
          <w:lang w:eastAsia="zh-CN"/>
        </w:rPr>
        <w:t>The name of a medicine formula is placed under its corresponding column in italic font face with a fixed vertical spacing as shown in Figure 3.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48CBBDF0" w:rsidR="00065FDF" w:rsidRDefault="007C3805">
      <w:pPr>
        <w:rPr>
          <w:lang w:eastAsia="zh-CN"/>
        </w:rPr>
      </w:pPr>
      <w:r>
        <w:rPr>
          <w:lang w:eastAsia="zh-CN"/>
        </w:rPr>
        <w:t xml:space="preserve">Since the set-based formula information has to be converted into a column of the icicle plot—an ordering is needed for medicines in a formula. However, medicines in the original medicine formulas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compositions of medicine formulas is difficult as frequent context switch has to be made while searching for a same medicine. Therefore, we propose a similarity-based tree layout 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1BBF1A63" w:rsidR="00065FDF" w:rsidRDefault="007C3805">
      <w:pPr>
        <w:rPr>
          <w:lang w:eastAsia="zh-CN"/>
        </w:rPr>
      </w:pPr>
      <w:r>
        <w:rPr>
          <w:lang w:eastAsia="zh-CN"/>
        </w:rPr>
        <w:t>Our goal is to design a layout that is arranged based on the similarity of the corresponding herbal medicine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9pt;height:20pt" o:ole="">
            <v:imagedata r:id="rId22" o:title=""/>
          </v:shape>
          <o:OLEObject Type="Embed" ProgID="Equation.DSMT4" ShapeID="_x0000_i1028" DrawAspect="Content" ObjectID="_1719241203" r:id="rId23"/>
        </w:object>
      </w:r>
      <w:r>
        <w:rPr>
          <w:lang w:eastAsia="zh-CN"/>
        </w:rPr>
        <w:t xml:space="preserve"> for a set of medicines </w:t>
      </w:r>
      <w:r>
        <w:rPr>
          <w:position w:val="-14"/>
          <w:lang w:eastAsia="zh-CN"/>
        </w:rPr>
        <w:object w:dxaOrig="1495" w:dyaOrig="401" w14:anchorId="227B0985">
          <v:shape id="_x0000_i1029" type="#_x0000_t75" style="width:75pt;height:20pt" o:ole="">
            <v:imagedata r:id="rId24" o:title=""/>
          </v:shape>
          <o:OLEObject Type="Embed" ProgID="Equation.DSMT4" ShapeID="_x0000_i1029" DrawAspect="Content" ObjectID="_1719241204" r:id="rId25"/>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pt;height:46pt" o:ole="">
            <v:imagedata r:id="rId26" o:title=""/>
          </v:shape>
          <o:OLEObject Type="Embed" ProgID="Equation.DSMT4" ShapeID="_x0000_i1030" DrawAspect="Content" ObjectID="_1719241205" r:id="rId27"/>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pt;height:16pt" o:ole="">
            <v:imagedata r:id="rId28" o:title=""/>
          </v:shape>
          <o:OLEObject Type="Embed" ProgID="Equation.DSMT4" ShapeID="_x0000_i1031" DrawAspect="Content" ObjectID="_1719241206" r:id="rId29"/>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1AAD540"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5" w:name="_Hlk108434274"/>
      <w:r>
        <w:rPr>
          <w:rFonts w:eastAsia="宋体"/>
          <w:i/>
          <w:iCs/>
          <w:lang w:eastAsia="zh-CN"/>
        </w:rPr>
        <w:t>H</w:t>
      </w:r>
      <w:r>
        <w:rPr>
          <w:rFonts w:eastAsia="宋体"/>
          <w:i/>
          <w:iCs/>
          <w:vertAlign w:val="subscript"/>
          <w:lang w:eastAsia="zh-CN"/>
        </w:rPr>
        <w:t>s</w:t>
      </w:r>
      <w:bookmarkEnd w:id="15"/>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45A6A88" w14:textId="4CDE9710" w:rsidR="00065FDF"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pt;height:18.5pt" o:ole="">
            <v:imagedata r:id="rId30" o:title=""/>
          </v:shape>
          <o:OLEObject Type="Embed" ProgID="Equation.DSMT4" ShapeID="_x0000_i1032" DrawAspect="Content" ObjectID="_1719241207" r:id="rId31"/>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w:t>
      </w:r>
      <w:r>
        <w:rPr>
          <w:rFonts w:eastAsia="宋体"/>
          <w:lang w:eastAsia="zh-CN"/>
        </w:rPr>
        <w:lastRenderedPageBreak/>
        <w:t xml:space="preserve">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pt;height:18.5pt" o:ole="">
            <v:imagedata r:id="rId30" o:title=""/>
          </v:shape>
          <o:OLEObject Type="Embed" ProgID="Equation.DSMT4" ShapeID="_x0000_i1033" DrawAspect="Content" ObjectID="_1719241208" r:id="rId32"/>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pt;height:19pt" o:ole="">
            <v:imagedata r:id="rId33" o:title=""/>
          </v:shape>
          <o:OLEObject Type="Embed" ProgID="Equation.DSMT4" ShapeID="_x0000_i1034" DrawAspect="Content" ObjectID="_1719241209" r:id="rId34"/>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pt;height:18.5pt" o:ole="">
            <v:imagedata r:id="rId30" o:title=""/>
          </v:shape>
          <o:OLEObject Type="Embed" ProgID="Equation.DSMT4" ShapeID="_x0000_i1035" DrawAspect="Content" ObjectID="_1719241210" r:id="rId35"/>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For each </w:t>
      </w:r>
      <w:r>
        <w:rPr>
          <w:rFonts w:eastAsia="宋体"/>
          <w:position w:val="-4"/>
          <w:lang w:eastAsia="zh-CN"/>
        </w:rPr>
        <w:object w:dxaOrig="264" w:dyaOrig="264" w14:anchorId="584487BA">
          <v:shape id="_x0000_i1036" type="#_x0000_t75" style="width:13pt;height:13pt" o:ole="">
            <v:imagedata r:id="rId36" o:title=""/>
          </v:shape>
          <o:OLEObject Type="Embed" ProgID="Equation.DSMT4" ShapeID="_x0000_i1036" DrawAspect="Content" ObjectID="_1719241211" r:id="rId37"/>
        </w:object>
      </w:r>
      <w:r>
        <w:rPr>
          <w:rFonts w:eastAsia="宋体"/>
          <w:lang w:eastAsia="zh-CN"/>
        </w:rPr>
        <w:t>,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pt;height:18.5pt" o:ole="">
            <v:imagedata r:id="rId38" o:title=""/>
          </v:shape>
          <o:OLEObject Type="Embed" ProgID="Equation.DSMT4" ShapeID="_x0000_i1037" DrawAspect="Content" ObjectID="_1719241212" r:id="rId39"/>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参苓白术散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77777777" w:rsidR="00065FDF" w:rsidRDefault="007C3805">
      <w:pPr>
        <w:rPr>
          <w:rFonts w:eastAsia="宋体"/>
          <w:lang w:eastAsia="zh-CN"/>
        </w:rPr>
      </w:pPr>
      <w:r>
        <w:rPr>
          <w:rFonts w:eastAsia="宋体"/>
          <w:lang w:eastAsia="zh-CN"/>
        </w:rPr>
        <w:t xml:space="preserve">Next, we arrange the remaining medicines in the medicine formulas data. Define the medicine in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column, and </w:t>
      </w:r>
      <w:r>
        <w:rPr>
          <w:rFonts w:eastAsia="宋体"/>
          <w:i/>
          <w:iCs/>
          <w:lang w:eastAsia="zh-CN"/>
        </w:rPr>
        <w:t>k</w:t>
      </w:r>
      <w:r>
        <w:rPr>
          <w:rFonts w:eastAsia="宋体"/>
          <w:lang w:eastAsia="zh-CN"/>
        </w:rPr>
        <w:t>-</w:t>
      </w:r>
      <w:proofErr w:type="spellStart"/>
      <w:r>
        <w:rPr>
          <w:rFonts w:eastAsia="宋体"/>
          <w:lang w:eastAsia="zh-CN"/>
        </w:rPr>
        <w:t>th</w:t>
      </w:r>
      <w:proofErr w:type="spellEnd"/>
      <w:r>
        <w:rPr>
          <w:rFonts w:eastAsia="宋体"/>
          <w:lang w:eastAsia="zh-CN"/>
        </w:rPr>
        <w:t xml:space="preserve"> row in the </w:t>
      </w:r>
      <w:proofErr w:type="spellStart"/>
      <w:r>
        <w:rPr>
          <w:rFonts w:eastAsia="宋体"/>
          <w:i/>
          <w:iCs/>
          <w:lang w:eastAsia="zh-CN"/>
        </w:rPr>
        <w:t>i</w:t>
      </w:r>
      <w:r>
        <w:rPr>
          <w:rFonts w:eastAsia="宋体"/>
          <w:lang w:eastAsia="zh-CN"/>
        </w:rPr>
        <w:t>-th</w:t>
      </w:r>
      <w:proofErr w:type="spellEnd"/>
      <w:r>
        <w:rPr>
          <w:rFonts w:eastAsia="宋体"/>
          <w:lang w:eastAsia="zh-CN"/>
        </w:rPr>
        <w:t xml:space="preserve"> multiple medicine formulas set </w:t>
      </w:r>
      <w:r>
        <w:rPr>
          <w:rFonts w:eastAsia="宋体"/>
          <w:position w:val="-12"/>
          <w:lang w:eastAsia="zh-CN"/>
        </w:rPr>
        <w:object w:dxaOrig="283" w:dyaOrig="365" w14:anchorId="21DD0D08">
          <v:shape id="_x0000_i1038" type="#_x0000_t75" style="width:14pt;height:18.5pt" o:ole="">
            <v:imagedata r:id="rId30" o:title=""/>
          </v:shape>
          <o:OLEObject Type="Embed" ProgID="Equation.DSMT4" ShapeID="_x0000_i1038" DrawAspect="Content" ObjectID="_1719241213" r:id="rId40"/>
        </w:object>
      </w:r>
      <w:r>
        <w:rPr>
          <w:rFonts w:eastAsia="宋体"/>
          <w:lang w:eastAsia="zh-CN"/>
        </w:rPr>
        <w:t xml:space="preserve"> in the icicle plot as </w:t>
      </w:r>
      <w:proofErr w:type="spellStart"/>
      <w:r>
        <w:rPr>
          <w:rFonts w:eastAsia="宋体"/>
          <w:i/>
          <w:iCs/>
          <w:lang w:eastAsia="zh-CN"/>
        </w:rPr>
        <w:t>h</w:t>
      </w:r>
      <w:r>
        <w:rPr>
          <w:rFonts w:eastAsia="宋体"/>
          <w:i/>
          <w:iCs/>
          <w:vertAlign w:val="subscript"/>
          <w:lang w:eastAsia="zh-CN"/>
        </w:rPr>
        <w:t>ijk</w:t>
      </w:r>
      <w:proofErr w:type="spellEnd"/>
      <w:r>
        <w:rPr>
          <w:rFonts w:eastAsia="宋体"/>
          <w:lang w:eastAsia="zh-CN"/>
        </w:rPr>
        <w:t>. Each formula column is then the previously introduced set</w:t>
      </w:r>
      <w:r>
        <w:rPr>
          <w:position w:val="-16"/>
          <w:lang w:eastAsia="zh-CN"/>
        </w:rPr>
        <w:object w:dxaOrig="1759" w:dyaOrig="437" w14:anchorId="3A570BE9">
          <v:shape id="_x0000_i1039" type="#_x0000_t75" style="width:88pt;height:22pt" o:ole="">
            <v:imagedata r:id="rId41" o:title=""/>
          </v:shape>
          <o:OLEObject Type="Embed" ProgID="Equation.DSMT4" ShapeID="_x0000_i1039" DrawAspect="Content" ObjectID="_1719241214" r:id="rId42"/>
        </w:object>
      </w:r>
      <w:r>
        <w:rPr>
          <w:rFonts w:eastAsia="宋体"/>
          <w:lang w:eastAsia="zh-CN"/>
        </w:rPr>
        <w:t xml:space="preserve">. We construct the position sequence of </w:t>
      </w:r>
      <w:r>
        <w:rPr>
          <w:position w:val="-14"/>
          <w:lang w:eastAsia="zh-CN"/>
        </w:rPr>
        <w:object w:dxaOrig="319" w:dyaOrig="383" w14:anchorId="3F1B8CED">
          <v:shape id="_x0000_i1040" type="#_x0000_t75" style="width:16pt;height:19pt" o:ole="">
            <v:imagedata r:id="rId43" o:title=""/>
          </v:shape>
          <o:OLEObject Type="Embed" ProgID="Equation.DSMT4" ShapeID="_x0000_i1040" DrawAspect="Content" ObjectID="_1719241215" r:id="rId44"/>
        </w:object>
      </w:r>
      <w:r>
        <w:rPr>
          <w:rFonts w:eastAsia="宋体"/>
          <w:lang w:eastAsia="zh-CN"/>
        </w:rPr>
        <w:t xml:space="preserve">as </w:t>
      </w:r>
      <w:r>
        <w:rPr>
          <w:rFonts w:eastAsia="宋体"/>
          <w:position w:val="-16"/>
          <w:lang w:eastAsia="zh-CN"/>
        </w:rPr>
        <w:object w:dxaOrig="1805" w:dyaOrig="437" w14:anchorId="4674F3CB">
          <v:shape id="_x0000_i1041" type="#_x0000_t75" style="width:90.5pt;height:22pt" o:ole="">
            <v:imagedata r:id="rId45" o:title=""/>
          </v:shape>
          <o:OLEObject Type="Embed" ProgID="Equation.DSMT4" ShapeID="_x0000_i1041" DrawAspect="Content" ObjectID="_1719241216" r:id="rId46"/>
        </w:object>
      </w:r>
      <w:r>
        <w:rPr>
          <w:rFonts w:eastAsia="宋体"/>
          <w:lang w:eastAsia="zh-CN"/>
        </w:rPr>
        <w:t>from left to right. The leftmost column is</w:t>
      </w:r>
      <w:r>
        <w:rPr>
          <w:rFonts w:eastAsia="宋体" w:hint="eastAsia"/>
          <w:lang w:eastAsia="zh-CN"/>
        </w:rPr>
        <w:t xml:space="preserve"> </w:t>
      </w:r>
      <w:r>
        <w:rPr>
          <w:rFonts w:eastAsia="宋体"/>
          <w:lang w:eastAsia="zh-CN"/>
        </w:rPr>
        <w:t>sorted by the distance-based ordering using Equation 4. Starting from</w:t>
      </w:r>
      <w:r>
        <w:rPr>
          <w:rFonts w:eastAsia="宋体" w:hint="eastAsia"/>
          <w:lang w:eastAsia="zh-CN"/>
        </w:rPr>
        <w:t xml:space="preserve"> </w:t>
      </w:r>
      <w:r>
        <w:rPr>
          <w:rFonts w:eastAsia="宋体"/>
          <w:lang w:eastAsia="zh-CN"/>
        </w:rPr>
        <w:t xml:space="preserve">the second column from the left, medicines are sorted by local similarity. We align the same medicines in adjacent columns even if they are not from the same </w:t>
      </w:r>
      <w:r>
        <w:rPr>
          <w:rFonts w:eastAsia="宋体"/>
          <w:position w:val="-4"/>
          <w:lang w:eastAsia="zh-CN"/>
        </w:rPr>
        <w:object w:dxaOrig="264" w:dyaOrig="264" w14:anchorId="2E73F207">
          <v:shape id="_x0000_i1042" type="#_x0000_t75" style="width:13pt;height:13pt" o:ole="">
            <v:imagedata r:id="rId47" o:title=""/>
          </v:shape>
          <o:OLEObject Type="Embed" ProgID="Equation.DSMT4" ShapeID="_x0000_i1042" DrawAspect="Content" ObjectID="_1719241217" r:id="rId48"/>
        </w:object>
      </w:r>
      <w:r>
        <w:rPr>
          <w:rFonts w:eastAsia="宋体"/>
          <w:lang w:eastAsia="zh-CN"/>
        </w:rPr>
        <w:t xml:space="preserve">. Other medicines are sorted according to their distances to medicines on its left column within the set </w:t>
      </w:r>
      <w:r>
        <w:rPr>
          <w:rFonts w:eastAsia="宋体"/>
          <w:position w:val="-12"/>
          <w:lang w:eastAsia="zh-CN"/>
        </w:rPr>
        <w:object w:dxaOrig="283" w:dyaOrig="365" w14:anchorId="2655F860">
          <v:shape id="_x0000_i1043" type="#_x0000_t75" style="width:14pt;height:18.5pt" o:ole="">
            <v:imagedata r:id="rId30" o:title=""/>
          </v:shape>
          <o:OLEObject Type="Embed" ProgID="Equation.DSMT4" ShapeID="_x0000_i1043" DrawAspect="Content" ObjectID="_1719241218" r:id="rId49"/>
        </w:object>
      </w:r>
      <w:r>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pt;height:44pt" o:ole="">
            <v:imagedata r:id="rId50" o:title=""/>
          </v:shape>
          <o:OLEObject Type="Embed" ProgID="Equation.DSMT4" ShapeID="_x0000_i1044" DrawAspect="Content" ObjectID="_1719241219" r:id="rId51"/>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pt;height:19pt" o:ole="">
            <v:imagedata r:id="rId52" o:title=""/>
          </v:shape>
          <o:OLEObject Type="Embed" ProgID="Equation.DSMT4" ShapeID="_x0000_i1045" DrawAspect="Content" ObjectID="_1719241220" r:id="rId53"/>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30pt;height:20pt" o:ole="">
            <v:imagedata r:id="rId54" o:title=""/>
          </v:shape>
          <o:OLEObject Type="Embed" ProgID="Equation.DSMT4" ShapeID="_x0000_i1046" DrawAspect="Content" ObjectID="_1719241221" r:id="rId55"/>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79AD87FA"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w:t>
      </w:r>
      <w:r w:rsidR="00F65B5D">
        <w:rPr>
          <w:rFonts w:eastAsia="宋体"/>
          <w:lang w:eastAsia="zh-CN"/>
        </w:rPr>
        <w:lastRenderedPageBreak/>
        <w:t>comparing formulas that are far apart</w:t>
      </w:r>
      <w:r w:rsidR="006037D4">
        <w:rPr>
          <w:rFonts w:eastAsia="宋体"/>
          <w:lang w:eastAsia="zh-CN"/>
        </w:rPr>
        <w:t xml:space="preserve">, i.e.,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icicle plot. The benefit of using a matrix view in this case is that the complete pair-wise overlapping information of all formulas can be effectively represented.</w:t>
      </w:r>
    </w:p>
    <w:p w14:paraId="2F5C3965" w14:textId="3B669AAE"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rows and columns as formulas,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overlapping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52E0C60B" w:rsidR="0007460A" w:rsidRDefault="00D434FD">
      <w:pPr>
        <w:rPr>
          <w:rFonts w:eastAsia="宋体"/>
          <w:lang w:eastAsia="zh-CN"/>
        </w:rPr>
      </w:pPr>
      <w:r>
        <w:rPr>
          <w:noProof/>
        </w:rPr>
        <w:drawing>
          <wp:inline distT="0" distB="0" distL="0" distR="0" wp14:anchorId="1C20CBAD" wp14:editId="21F448A2">
            <wp:extent cx="4436636" cy="3541093"/>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1639" cy="3545086"/>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t>Fig.</w:t>
      </w:r>
      <w:r>
        <w:rPr>
          <w:spacing w:val="-2"/>
        </w:rPr>
        <w:t xml:space="preserve"> </w:t>
      </w:r>
      <w:r w:rsidR="00ED388C">
        <w:rPr>
          <w:rFonts w:eastAsia="宋体"/>
          <w:lang w:eastAsia="zh-CN"/>
        </w:rPr>
        <w:t xml:space="preserve">matrix: the </w:t>
      </w:r>
      <w:r w:rsidR="00811994">
        <w:t>shared medicine</w:t>
      </w:r>
      <w:r w:rsidR="00AA1FBD">
        <w:rPr>
          <w:rFonts w:eastAsia="宋体"/>
          <w:lang w:eastAsia="zh-CN"/>
        </w:rPr>
        <w:t xml:space="preserve"> </w:t>
      </w:r>
      <w:r>
        <w:t>matrix view of formulas.</w:t>
      </w:r>
    </w:p>
    <w:p w14:paraId="141A7003" w14:textId="77777777" w:rsidR="00F367A4" w:rsidRPr="00F367A4" w:rsidRDefault="00F367A4">
      <w:pPr>
        <w:rPr>
          <w:rFonts w:eastAsia="宋体"/>
          <w:lang w:eastAsia="zh-CN"/>
        </w:rPr>
      </w:pP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 xml:space="preserve">2D dimensionality reduced space derived from the multidimensional medicine attribute data and requires the knowledge of users to identify representative medicines within it. For a group of medicine formulas, medical </w:t>
      </w:r>
      <w:r>
        <w:rPr>
          <w:rFonts w:eastAsia="宋体"/>
          <w:lang w:eastAsia="zh-CN"/>
        </w:rPr>
        <w:lastRenderedPageBreak/>
        <w:t>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7"/>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1pt;height:16pt" o:ole="">
            <v:imagedata r:id="rId59" o:title=""/>
          </v:shape>
          <o:OLEObject Type="Embed" ProgID="Equation.DSMT4" ShapeID="_x0000_i1047" DrawAspect="Content" ObjectID="_1719241222" r:id="rId60"/>
        </w:object>
      </w:r>
      <w:r>
        <w:rPr>
          <w:lang w:eastAsia="zh-CN"/>
        </w:rPr>
        <w:t xml:space="preserve"> that is calculated by first transforming XYZ color stimuli to the </w:t>
      </w:r>
      <w:r>
        <w:rPr>
          <w:position w:val="-10"/>
        </w:rPr>
        <w:object w:dxaOrig="802" w:dyaOrig="319" w14:anchorId="14D60252">
          <v:shape id="_x0000_i1048" type="#_x0000_t75" style="width:40pt;height:16pt" o:ole="">
            <v:imagedata r:id="rId61" o:title=""/>
          </v:shape>
          <o:OLEObject Type="Embed" ProgID="Equation.DSMT4" ShapeID="_x0000_i1048" DrawAspect="Content" ObjectID="_1719241223" r:id="rId62"/>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7pt;height:14pt" o:ole="">
            <v:imagedata r:id="rId63" o:title=""/>
          </v:shape>
          <o:OLEObject Type="Embed" ProgID="Equation.DSMT4" ShapeID="_x0000_i1049" DrawAspect="Content" ObjectID="_1719241224" r:id="rId64"/>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5pt;height:14pt" o:ole="">
            <v:imagedata r:id="rId65" o:title=""/>
          </v:shape>
          <o:OLEObject Type="Embed" ProgID="Equation.DSMT4" ShapeID="_x0000_i1050" DrawAspect="Content" ObjectID="_1719241225" r:id="rId66"/>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5pt;height:34pt" o:ole="">
            <v:imagedata r:id="rId67" o:title=""/>
          </v:shape>
          <o:OLEObject Type="Embed" ProgID="Equation.DSMT4" ShapeID="_x0000_i1051" DrawAspect="Content" ObjectID="_1719241226" r:id="rId68"/>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095E10D6" w14:textId="77777777" w:rsidR="00065FDF"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pt;height:13pt" o:ole="">
            <v:imagedata r:id="rId69" o:title=""/>
          </v:shape>
          <o:OLEObject Type="Embed" ProgID="Equation.DSMT4" ShapeID="_x0000_i1052" DrawAspect="Content" ObjectID="_1719241227" r:id="rId70"/>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pt" o:ole="">
            <v:imagedata r:id="rId71" o:title=""/>
          </v:shape>
          <o:OLEObject Type="Embed" ProgID="Equation.DSMT4" ShapeID="_x0000_i1053" DrawAspect="Content" ObjectID="_1719241228" r:id="rId72"/>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54E6D244" w14:textId="77777777" w:rsidR="005B40AA" w:rsidRDefault="005B40AA">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pt;height:16pt" o:ole="">
            <v:imagedata r:id="rId73" o:title=""/>
          </v:shape>
          <o:OLEObject Type="Embed" ProgID="Equation.DSMT4" ShapeID="_x0000_i1054" DrawAspect="Content" ObjectID="_1719241229" r:id="rId74"/>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lastRenderedPageBreak/>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25AB8923">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916680" cy="1069259"/>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77777777"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 Therefore, requirement R6 is satisfied.</w:t>
      </w: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6" w:name="Results"/>
      <w:bookmarkStart w:id="17" w:name="_Results_1"/>
      <w:bookmarkEnd w:id="16"/>
      <w:bookmarkEnd w:id="17"/>
      <w:r>
        <w:lastRenderedPageBreak/>
        <w:t>Results</w:t>
      </w:r>
    </w:p>
    <w:p w14:paraId="77657324" w14:textId="272C1130" w:rsidR="00811994" w:rsidRPr="00811994" w:rsidRDefault="00811994" w:rsidP="00811994">
      <w:pPr>
        <w:pStyle w:val="3"/>
      </w:pPr>
      <w:r>
        <w:t>Overview</w:t>
      </w:r>
    </w:p>
    <w:p w14:paraId="1BFED526" w14:textId="5207F586" w:rsidR="00B21B44" w:rsidRPr="00B21B44" w:rsidRDefault="00811994" w:rsidP="00B21B44">
      <w:r>
        <w:t>Our TCM expert analyzed two groups of typical medicine formulas: namely, tonic prescriptions and heat-clearing prescriptions with our interactive visual analysis tool.</w:t>
      </w:r>
      <w:r>
        <w:t xml:space="preserve">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p>
    <w:p w14:paraId="01E331E4" w14:textId="77777777" w:rsidR="00065FDF" w:rsidRDefault="007C3805">
      <w:pPr>
        <w:pStyle w:val="3"/>
      </w:pPr>
      <w:r>
        <w:t>Use Cases</w:t>
      </w:r>
    </w:p>
    <w:p w14:paraId="37A149FE" w14:textId="7B1BD209" w:rsidR="00065FDF" w:rsidRDefault="007C3805">
      <w:r>
        <w:t xml:space="preserve">The TCM expert 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3"/>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8" w:name="_bookmark0"/>
      <w:bookmarkEnd w:id="18"/>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77777777" w:rsidR="00065FDF" w:rsidRDefault="007C3805">
      <w:pPr>
        <w:jc w:val="center"/>
      </w:pPr>
      <w:r>
        <w:t>Fig. 9: The analysis of heat-clearing prescriptions with our method.</w:t>
      </w: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4B997C83" w:rsidR="00F86BCC" w:rsidRDefault="00F86BCC"/>
    <w:p w14:paraId="75E75366" w14:textId="3E6A1FFA" w:rsidR="00F86BCC" w:rsidRDefault="00F86BCC" w:rsidP="00F86BCC">
      <w:pPr>
        <w:pStyle w:val="3"/>
      </w:pPr>
      <w:r>
        <w:t>TCM Expert Feedback</w:t>
      </w:r>
    </w:p>
    <w:p w14:paraId="5A4A77EB" w14:textId="77777777" w:rsidR="00F86BCC" w:rsidRDefault="00F86BCC"/>
    <w:p w14:paraId="7EA2181A" w14:textId="77777777" w:rsidR="00065FDF" w:rsidRDefault="007C3805">
      <w:pPr>
        <w:pStyle w:val="3"/>
      </w:pPr>
      <w:r>
        <w:lastRenderedPageBreak/>
        <w:t>User Statistics</w:t>
      </w:r>
    </w:p>
    <w:p w14:paraId="2B839149" w14:textId="77777777" w:rsidR="00065FDF" w:rsidRDefault="007C3805">
      <w:r>
        <w:t>These are only examples of possible headings. Please feel free to use different headings to best describe your results.</w:t>
      </w:r>
    </w:p>
    <w:p w14:paraId="71697076" w14:textId="77777777" w:rsidR="00065FDF" w:rsidRDefault="00065FDF"/>
    <w:p w14:paraId="750C61FD" w14:textId="77777777" w:rsidR="00065FDF" w:rsidRDefault="007C3805">
      <w:pPr>
        <w:pStyle w:val="3"/>
      </w:pPr>
      <w:r>
        <w:t>Evaluation Outcomes</w:t>
      </w:r>
    </w:p>
    <w:p w14:paraId="77182250" w14:textId="77777777" w:rsidR="00065FDF" w:rsidRDefault="007C3805">
      <w:bookmarkStart w:id="19" w:name="Other"/>
      <w:bookmarkEnd w:id="19"/>
      <w:r>
        <w:t xml:space="preserve">Please </w:t>
      </w:r>
      <w:proofErr w:type="gramStart"/>
      <w:r>
        <w:t>make reference</w:t>
      </w:r>
      <w:proofErr w:type="gramEnd"/>
      <w:r>
        <w:t xml:space="preserve"> to your Textboxes (Textbox 1), Tables (Table 1), Figures (Figure 1), and Multimedia Appendices (Multimedia Appendix 1) in parenthesis. Please see the examples below for how they should be formatted. Please note the punctuation used in all components, including the caption/title, footnotes etc.</w:t>
      </w:r>
    </w:p>
    <w:p w14:paraId="73E95D8E" w14:textId="77777777" w:rsidR="00065FDF" w:rsidRDefault="00065FDF"/>
    <w:p w14:paraId="5AB71296" w14:textId="77777777" w:rsidR="00065FDF" w:rsidRDefault="007C3805">
      <w:r>
        <w:t xml:space="preserve">Figures and Multimedia Appendices are uploaded online, while Textboxes and Tables are not uploaded and remain in the body of the manuscript, appearing in the order they are mentioned after the first mention of each Table. </w:t>
      </w:r>
    </w:p>
    <w:p w14:paraId="3C50E407" w14:textId="77777777" w:rsidR="00065FDF" w:rsidRDefault="00065FDF"/>
    <w:p w14:paraId="0648AABA" w14:textId="77777777" w:rsidR="00065FDF" w:rsidRDefault="007C3805">
      <w:bookmarkStart w:id="20" w:name="Textbox"/>
      <w:bookmarkEnd w:id="20"/>
      <w:r>
        <w:t>Textbox 1.  The caption/title is placed here in a sentence format (capitalization of every word is unnecessary).</w:t>
      </w:r>
    </w:p>
    <w:tbl>
      <w:tblPr>
        <w:tblStyle w:val="af1"/>
        <w:tblW w:w="0" w:type="auto"/>
        <w:tblLook w:val="04A0" w:firstRow="1" w:lastRow="0" w:firstColumn="1" w:lastColumn="0" w:noHBand="0" w:noVBand="1"/>
      </w:tblPr>
      <w:tblGrid>
        <w:gridCol w:w="8630"/>
      </w:tblGrid>
      <w:tr w:rsidR="00065FDF" w14:paraId="48A21296" w14:textId="77777777">
        <w:tc>
          <w:tcPr>
            <w:tcW w:w="8856" w:type="dxa"/>
          </w:tcPr>
          <w:p w14:paraId="2CCA4E4E" w14:textId="77777777" w:rsidR="00065FDF" w:rsidRDefault="007C3805">
            <w:pPr>
              <w:pStyle w:val="af7"/>
              <w:numPr>
                <w:ilvl w:val="0"/>
                <w:numId w:val="4"/>
              </w:numPr>
              <w:ind w:left="426"/>
            </w:pPr>
            <w:r>
              <w:t>The formatting is actually a 1x1 Table, not an actual “textbox”.</w:t>
            </w:r>
          </w:p>
          <w:p w14:paraId="682ACAAB" w14:textId="77777777" w:rsidR="00065FDF" w:rsidRDefault="007C3805">
            <w:pPr>
              <w:pStyle w:val="af7"/>
              <w:numPr>
                <w:ilvl w:val="0"/>
                <w:numId w:val="4"/>
              </w:numPr>
              <w:ind w:left="426"/>
            </w:pPr>
            <w:r>
              <w:t>Textboxes have no footnotes.</w:t>
            </w:r>
          </w:p>
          <w:p w14:paraId="4CADF523" w14:textId="77777777" w:rsidR="00065FDF" w:rsidRDefault="007C3805">
            <w:pPr>
              <w:pStyle w:val="af7"/>
              <w:numPr>
                <w:ilvl w:val="0"/>
                <w:numId w:val="4"/>
              </w:numPr>
              <w:ind w:left="426"/>
            </w:pPr>
            <w:r>
              <w:t xml:space="preserve"> Bullet points or numbered lists are allowed in textboxes.</w:t>
            </w:r>
          </w:p>
        </w:tc>
      </w:tr>
    </w:tbl>
    <w:p w14:paraId="0CAFDA4A" w14:textId="77777777" w:rsidR="00065FDF" w:rsidRDefault="00065FDF"/>
    <w:p w14:paraId="5155FB89" w14:textId="77777777" w:rsidR="00065FDF" w:rsidRDefault="00065FDF"/>
    <w:p w14:paraId="6A9F8884" w14:textId="77777777" w:rsidR="00065FDF" w:rsidRDefault="007C3805">
      <w:pPr>
        <w:rPr>
          <w:vertAlign w:val="superscript"/>
        </w:rPr>
      </w:pPr>
      <w:bookmarkStart w:id="21" w:name="Table"/>
      <w:bookmarkEnd w:id="21"/>
      <w:commentRangeStart w:id="22"/>
      <w:r>
        <w:t>Table 1.</w:t>
      </w:r>
      <w:commentRangeEnd w:id="22"/>
      <w:r>
        <w:rPr>
          <w:rStyle w:val="af5"/>
        </w:rPr>
        <w:commentReference w:id="22"/>
      </w:r>
      <w:r>
        <w:t xml:space="preserve"> The table caption/title is placed here in a sentence format (capitalization of every word is unnecessary</w:t>
      </w:r>
      <w:proofErr w:type="gramStart"/>
      <w:r>
        <w:t>).</w:t>
      </w:r>
      <w:r>
        <w:rPr>
          <w:vertAlign w:val="superscript"/>
        </w:rPr>
        <w:t>a</w:t>
      </w:r>
      <w:proofErr w:type="gramEnd"/>
      <w:r>
        <w:rPr>
          <w:vertAlign w:val="superscript"/>
        </w:rPr>
        <w:t>-e</w:t>
      </w:r>
    </w:p>
    <w:tbl>
      <w:tblPr>
        <w:tblStyle w:val="af1"/>
        <w:tblW w:w="0" w:type="auto"/>
        <w:tblLook w:val="04A0" w:firstRow="1" w:lastRow="0" w:firstColumn="1" w:lastColumn="0" w:noHBand="0" w:noVBand="1"/>
      </w:tblPr>
      <w:tblGrid>
        <w:gridCol w:w="2192"/>
        <w:gridCol w:w="2146"/>
        <w:gridCol w:w="2146"/>
        <w:gridCol w:w="2146"/>
      </w:tblGrid>
      <w:tr w:rsidR="00065FDF" w14:paraId="3F31D6CD" w14:textId="77777777">
        <w:tc>
          <w:tcPr>
            <w:tcW w:w="2214" w:type="dxa"/>
          </w:tcPr>
          <w:p w14:paraId="458F972B" w14:textId="77777777" w:rsidR="00065FDF" w:rsidRDefault="00065FDF"/>
        </w:tc>
        <w:tc>
          <w:tcPr>
            <w:tcW w:w="2214" w:type="dxa"/>
          </w:tcPr>
          <w:p w14:paraId="30A718C0" w14:textId="77777777" w:rsidR="00065FDF" w:rsidRDefault="007C3805">
            <w:r>
              <w:t>Main heading 1</w:t>
            </w:r>
          </w:p>
        </w:tc>
        <w:tc>
          <w:tcPr>
            <w:tcW w:w="2214" w:type="dxa"/>
          </w:tcPr>
          <w:p w14:paraId="156D4635" w14:textId="77777777" w:rsidR="00065FDF" w:rsidRDefault="007C3805">
            <w:r>
              <w:t>Main heading 1</w:t>
            </w:r>
          </w:p>
        </w:tc>
        <w:tc>
          <w:tcPr>
            <w:tcW w:w="2214" w:type="dxa"/>
          </w:tcPr>
          <w:p w14:paraId="1C2B2B89" w14:textId="77777777" w:rsidR="00065FDF" w:rsidRDefault="007C3805">
            <w:r>
              <w:t>Main heading 1</w:t>
            </w:r>
          </w:p>
        </w:tc>
      </w:tr>
      <w:tr w:rsidR="00065FDF" w14:paraId="57091DB5" w14:textId="77777777">
        <w:tc>
          <w:tcPr>
            <w:tcW w:w="2214" w:type="dxa"/>
          </w:tcPr>
          <w:p w14:paraId="760A3A81" w14:textId="77777777" w:rsidR="00065FDF" w:rsidRDefault="00065FDF"/>
        </w:tc>
        <w:tc>
          <w:tcPr>
            <w:tcW w:w="2214" w:type="dxa"/>
          </w:tcPr>
          <w:p w14:paraId="0173645F" w14:textId="77777777" w:rsidR="00065FDF" w:rsidRDefault="007C3805">
            <w:r>
              <w:t>Main heading 2</w:t>
            </w:r>
          </w:p>
        </w:tc>
        <w:tc>
          <w:tcPr>
            <w:tcW w:w="2214" w:type="dxa"/>
          </w:tcPr>
          <w:p w14:paraId="42DE4D94" w14:textId="77777777" w:rsidR="00065FDF" w:rsidRDefault="007C3805">
            <w:r>
              <w:t>Main heading 2</w:t>
            </w:r>
          </w:p>
        </w:tc>
        <w:tc>
          <w:tcPr>
            <w:tcW w:w="2214" w:type="dxa"/>
          </w:tcPr>
          <w:p w14:paraId="65530207" w14:textId="77777777" w:rsidR="00065FDF" w:rsidRDefault="007C3805">
            <w:commentRangeStart w:id="23"/>
            <w:r>
              <w:t>Main heading 2</w:t>
            </w:r>
            <w:commentRangeEnd w:id="23"/>
            <w:r>
              <w:rPr>
                <w:rStyle w:val="af5"/>
              </w:rPr>
              <w:commentReference w:id="23"/>
            </w:r>
          </w:p>
        </w:tc>
      </w:tr>
      <w:tr w:rsidR="00065FDF" w14:paraId="26C02C76" w14:textId="77777777">
        <w:tc>
          <w:tcPr>
            <w:tcW w:w="2214" w:type="dxa"/>
          </w:tcPr>
          <w:p w14:paraId="13C593C1" w14:textId="77777777" w:rsidR="00065FDF" w:rsidRDefault="00065FDF">
            <w:commentRangeStart w:id="24"/>
          </w:p>
        </w:tc>
        <w:tc>
          <w:tcPr>
            <w:tcW w:w="2214" w:type="dxa"/>
          </w:tcPr>
          <w:p w14:paraId="1DC21547" w14:textId="77777777" w:rsidR="00065FDF" w:rsidRDefault="00065FDF"/>
        </w:tc>
        <w:tc>
          <w:tcPr>
            <w:tcW w:w="2214" w:type="dxa"/>
          </w:tcPr>
          <w:p w14:paraId="39B7072E" w14:textId="77777777" w:rsidR="00065FDF" w:rsidRDefault="00065FDF"/>
          <w:commentRangeEnd w:id="24"/>
          <w:p w14:paraId="3D9B4701" w14:textId="77777777" w:rsidR="00065FDF" w:rsidRDefault="007C3805">
            <w:r>
              <w:rPr>
                <w:rStyle w:val="af5"/>
              </w:rPr>
              <w:commentReference w:id="24"/>
            </w:r>
          </w:p>
        </w:tc>
        <w:tc>
          <w:tcPr>
            <w:tcW w:w="2214" w:type="dxa"/>
          </w:tcPr>
          <w:p w14:paraId="55E7554C" w14:textId="77777777" w:rsidR="00065FDF" w:rsidRDefault="00065FDF"/>
        </w:tc>
      </w:tr>
      <w:tr w:rsidR="00065FDF" w14:paraId="6B3ACE5B" w14:textId="77777777">
        <w:tc>
          <w:tcPr>
            <w:tcW w:w="2214" w:type="dxa"/>
          </w:tcPr>
          <w:p w14:paraId="35767B44" w14:textId="77777777" w:rsidR="00065FDF" w:rsidRDefault="007C3805">
            <w:pPr>
              <w:rPr>
                <w:b/>
              </w:rPr>
            </w:pPr>
            <w:commentRangeStart w:id="25"/>
            <w:r>
              <w:rPr>
                <w:b/>
              </w:rPr>
              <w:t>Subheading</w:t>
            </w:r>
            <w:commentRangeEnd w:id="25"/>
            <w:r>
              <w:rPr>
                <w:rStyle w:val="af5"/>
              </w:rPr>
              <w:commentReference w:id="25"/>
            </w:r>
          </w:p>
        </w:tc>
        <w:tc>
          <w:tcPr>
            <w:tcW w:w="2214" w:type="dxa"/>
          </w:tcPr>
          <w:p w14:paraId="153F41C4" w14:textId="77777777" w:rsidR="00065FDF" w:rsidRDefault="00065FDF"/>
        </w:tc>
        <w:tc>
          <w:tcPr>
            <w:tcW w:w="2214" w:type="dxa"/>
          </w:tcPr>
          <w:p w14:paraId="36CAC196" w14:textId="77777777" w:rsidR="00065FDF" w:rsidRDefault="00065FDF"/>
        </w:tc>
        <w:tc>
          <w:tcPr>
            <w:tcW w:w="2214" w:type="dxa"/>
          </w:tcPr>
          <w:p w14:paraId="1B7178FA" w14:textId="77777777" w:rsidR="00065FDF" w:rsidRDefault="00065FDF"/>
        </w:tc>
      </w:tr>
      <w:tr w:rsidR="00065FDF" w14:paraId="16F9952B" w14:textId="77777777">
        <w:tc>
          <w:tcPr>
            <w:tcW w:w="2214" w:type="dxa"/>
          </w:tcPr>
          <w:p w14:paraId="4A0B7A76" w14:textId="77777777" w:rsidR="00065FDF" w:rsidRDefault="007C3805">
            <w:commentRangeStart w:id="26"/>
            <w:r>
              <w:t>(leave blank)</w:t>
            </w:r>
            <w:commentRangeEnd w:id="26"/>
            <w:r>
              <w:rPr>
                <w:rStyle w:val="af5"/>
              </w:rPr>
              <w:commentReference w:id="26"/>
            </w:r>
          </w:p>
        </w:tc>
        <w:tc>
          <w:tcPr>
            <w:tcW w:w="2214" w:type="dxa"/>
          </w:tcPr>
          <w:p w14:paraId="1DC3B79A" w14:textId="77777777" w:rsidR="00065FDF" w:rsidRDefault="007C3805">
            <w:commentRangeStart w:id="27"/>
            <w:r>
              <w:t>data</w:t>
            </w:r>
          </w:p>
        </w:tc>
        <w:tc>
          <w:tcPr>
            <w:tcW w:w="2214" w:type="dxa"/>
          </w:tcPr>
          <w:p w14:paraId="78675F0A" w14:textId="77777777" w:rsidR="00065FDF" w:rsidRDefault="007C3805">
            <w:r>
              <w:t>data</w:t>
            </w:r>
          </w:p>
        </w:tc>
        <w:tc>
          <w:tcPr>
            <w:tcW w:w="2214" w:type="dxa"/>
          </w:tcPr>
          <w:p w14:paraId="30B60981" w14:textId="77777777" w:rsidR="00065FDF" w:rsidRDefault="007C3805">
            <w:r>
              <w:t>data</w:t>
            </w:r>
            <w:commentRangeEnd w:id="27"/>
            <w:r>
              <w:rPr>
                <w:rStyle w:val="af5"/>
              </w:rPr>
              <w:commentReference w:id="27"/>
            </w:r>
          </w:p>
        </w:tc>
      </w:tr>
      <w:tr w:rsidR="00065FDF" w14:paraId="4D31911E" w14:textId="77777777">
        <w:tc>
          <w:tcPr>
            <w:tcW w:w="2214" w:type="dxa"/>
          </w:tcPr>
          <w:p w14:paraId="7FDC5BD3" w14:textId="77777777" w:rsidR="00065FDF" w:rsidRDefault="007C3805">
            <w:r>
              <w:t>(leave blank)</w:t>
            </w:r>
          </w:p>
        </w:tc>
        <w:tc>
          <w:tcPr>
            <w:tcW w:w="2214" w:type="dxa"/>
          </w:tcPr>
          <w:p w14:paraId="43BB9940" w14:textId="77777777" w:rsidR="00065FDF" w:rsidRDefault="007C3805">
            <w:r>
              <w:t>data</w:t>
            </w:r>
          </w:p>
        </w:tc>
        <w:tc>
          <w:tcPr>
            <w:tcW w:w="2214" w:type="dxa"/>
          </w:tcPr>
          <w:p w14:paraId="0EF2FFCC" w14:textId="77777777" w:rsidR="00065FDF" w:rsidRDefault="007C3805">
            <w:r>
              <w:t>data</w:t>
            </w:r>
          </w:p>
        </w:tc>
        <w:tc>
          <w:tcPr>
            <w:tcW w:w="2214" w:type="dxa"/>
          </w:tcPr>
          <w:p w14:paraId="1B4BFCE5" w14:textId="77777777" w:rsidR="00065FDF" w:rsidRDefault="007C3805">
            <w:r>
              <w:t>data</w:t>
            </w:r>
          </w:p>
        </w:tc>
      </w:tr>
      <w:tr w:rsidR="00065FDF" w14:paraId="2DD3D4F7" w14:textId="77777777">
        <w:tc>
          <w:tcPr>
            <w:tcW w:w="2214" w:type="dxa"/>
          </w:tcPr>
          <w:p w14:paraId="01990105" w14:textId="77777777" w:rsidR="00065FDF" w:rsidRDefault="007C3805">
            <w:r>
              <w:rPr>
                <w:b/>
              </w:rPr>
              <w:t>Subheading</w:t>
            </w:r>
          </w:p>
        </w:tc>
        <w:tc>
          <w:tcPr>
            <w:tcW w:w="2214" w:type="dxa"/>
          </w:tcPr>
          <w:p w14:paraId="65C8DD7A" w14:textId="77777777" w:rsidR="00065FDF" w:rsidRDefault="00065FDF"/>
        </w:tc>
        <w:tc>
          <w:tcPr>
            <w:tcW w:w="2214" w:type="dxa"/>
          </w:tcPr>
          <w:p w14:paraId="65E58828" w14:textId="77777777" w:rsidR="00065FDF" w:rsidRDefault="00065FDF"/>
        </w:tc>
        <w:tc>
          <w:tcPr>
            <w:tcW w:w="2214" w:type="dxa"/>
          </w:tcPr>
          <w:p w14:paraId="31A54EFC" w14:textId="77777777" w:rsidR="00065FDF" w:rsidRDefault="00065FDF"/>
        </w:tc>
      </w:tr>
      <w:tr w:rsidR="00065FDF" w14:paraId="2F729F62" w14:textId="77777777">
        <w:tc>
          <w:tcPr>
            <w:tcW w:w="2214" w:type="dxa"/>
          </w:tcPr>
          <w:p w14:paraId="329DE325" w14:textId="77777777" w:rsidR="00065FDF" w:rsidRDefault="007C3805">
            <w:r>
              <w:t>(leave blank)</w:t>
            </w:r>
          </w:p>
        </w:tc>
        <w:tc>
          <w:tcPr>
            <w:tcW w:w="2214" w:type="dxa"/>
          </w:tcPr>
          <w:p w14:paraId="6E1FCCFE" w14:textId="77777777" w:rsidR="00065FDF" w:rsidRDefault="007C3805">
            <w:r>
              <w:t>data</w:t>
            </w:r>
          </w:p>
        </w:tc>
        <w:tc>
          <w:tcPr>
            <w:tcW w:w="2214" w:type="dxa"/>
          </w:tcPr>
          <w:p w14:paraId="55082236" w14:textId="77777777" w:rsidR="00065FDF" w:rsidRDefault="007C3805">
            <w:r>
              <w:t>data</w:t>
            </w:r>
          </w:p>
        </w:tc>
        <w:tc>
          <w:tcPr>
            <w:tcW w:w="2214" w:type="dxa"/>
          </w:tcPr>
          <w:p w14:paraId="341547DC" w14:textId="77777777" w:rsidR="00065FDF" w:rsidRDefault="007C3805">
            <w:r>
              <w:t>data</w:t>
            </w:r>
          </w:p>
        </w:tc>
      </w:tr>
      <w:tr w:rsidR="00065FDF" w14:paraId="6B1B6F41" w14:textId="77777777">
        <w:tc>
          <w:tcPr>
            <w:tcW w:w="2214" w:type="dxa"/>
          </w:tcPr>
          <w:p w14:paraId="5B5951FC" w14:textId="77777777" w:rsidR="00065FDF" w:rsidRDefault="007C3805">
            <w:r>
              <w:t>(leave blank)</w:t>
            </w:r>
          </w:p>
        </w:tc>
        <w:tc>
          <w:tcPr>
            <w:tcW w:w="2214" w:type="dxa"/>
          </w:tcPr>
          <w:p w14:paraId="0CAB1328" w14:textId="77777777" w:rsidR="00065FDF" w:rsidRDefault="007C3805">
            <w:r>
              <w:t>data</w:t>
            </w:r>
          </w:p>
        </w:tc>
        <w:tc>
          <w:tcPr>
            <w:tcW w:w="2214" w:type="dxa"/>
          </w:tcPr>
          <w:p w14:paraId="1A0A9A82" w14:textId="77777777" w:rsidR="00065FDF" w:rsidRDefault="007C3805">
            <w:r>
              <w:t>data</w:t>
            </w:r>
          </w:p>
        </w:tc>
        <w:tc>
          <w:tcPr>
            <w:tcW w:w="2214" w:type="dxa"/>
          </w:tcPr>
          <w:p w14:paraId="23D630D0" w14:textId="77777777" w:rsidR="00065FDF" w:rsidRDefault="007C3805">
            <w:r>
              <w:t>data</w:t>
            </w:r>
          </w:p>
        </w:tc>
      </w:tr>
      <w:tr w:rsidR="00065FDF" w14:paraId="72459AD8" w14:textId="77777777">
        <w:tc>
          <w:tcPr>
            <w:tcW w:w="2214" w:type="dxa"/>
          </w:tcPr>
          <w:p w14:paraId="16880CB3" w14:textId="77777777" w:rsidR="00065FDF" w:rsidRDefault="007C3805">
            <w:r>
              <w:rPr>
                <w:b/>
              </w:rPr>
              <w:t>Subheading</w:t>
            </w:r>
          </w:p>
        </w:tc>
        <w:tc>
          <w:tcPr>
            <w:tcW w:w="2214" w:type="dxa"/>
          </w:tcPr>
          <w:p w14:paraId="7C5BDAB5" w14:textId="77777777" w:rsidR="00065FDF" w:rsidRDefault="00065FDF"/>
        </w:tc>
        <w:tc>
          <w:tcPr>
            <w:tcW w:w="2214" w:type="dxa"/>
          </w:tcPr>
          <w:p w14:paraId="6AE24DFC" w14:textId="77777777" w:rsidR="00065FDF" w:rsidRDefault="00065FDF"/>
        </w:tc>
        <w:tc>
          <w:tcPr>
            <w:tcW w:w="2214" w:type="dxa"/>
          </w:tcPr>
          <w:p w14:paraId="06D69CAF" w14:textId="77777777" w:rsidR="00065FDF" w:rsidRDefault="00065FDF"/>
        </w:tc>
      </w:tr>
      <w:tr w:rsidR="00065FDF" w14:paraId="567B8218" w14:textId="77777777">
        <w:tc>
          <w:tcPr>
            <w:tcW w:w="2214" w:type="dxa"/>
          </w:tcPr>
          <w:p w14:paraId="7352564A" w14:textId="77777777" w:rsidR="00065FDF" w:rsidRDefault="007C3805">
            <w:pPr>
              <w:rPr>
                <w:b/>
              </w:rPr>
            </w:pPr>
            <w:r>
              <w:t>(leave blank)</w:t>
            </w:r>
          </w:p>
        </w:tc>
        <w:tc>
          <w:tcPr>
            <w:tcW w:w="2214" w:type="dxa"/>
          </w:tcPr>
          <w:p w14:paraId="38C53E9B" w14:textId="77777777" w:rsidR="00065FDF" w:rsidRDefault="007C3805">
            <w:r>
              <w:t>data</w:t>
            </w:r>
          </w:p>
        </w:tc>
        <w:tc>
          <w:tcPr>
            <w:tcW w:w="2214" w:type="dxa"/>
          </w:tcPr>
          <w:p w14:paraId="01FFA58A" w14:textId="77777777" w:rsidR="00065FDF" w:rsidRDefault="007C3805">
            <w:r>
              <w:t>data</w:t>
            </w:r>
          </w:p>
        </w:tc>
        <w:tc>
          <w:tcPr>
            <w:tcW w:w="2214" w:type="dxa"/>
          </w:tcPr>
          <w:p w14:paraId="477E61D2" w14:textId="77777777" w:rsidR="00065FDF" w:rsidRDefault="007C3805">
            <w:pPr>
              <w:rPr>
                <w:rStyle w:val="af5"/>
              </w:rPr>
            </w:pPr>
            <w:r>
              <w:t>data</w:t>
            </w:r>
          </w:p>
        </w:tc>
      </w:tr>
      <w:tr w:rsidR="00065FDF" w14:paraId="11AD5EFD" w14:textId="77777777">
        <w:tc>
          <w:tcPr>
            <w:tcW w:w="2214" w:type="dxa"/>
          </w:tcPr>
          <w:p w14:paraId="5B3AA42A" w14:textId="77777777" w:rsidR="00065FDF" w:rsidRDefault="007C3805">
            <w:r>
              <w:t>(leave blank)</w:t>
            </w:r>
          </w:p>
        </w:tc>
        <w:tc>
          <w:tcPr>
            <w:tcW w:w="2214" w:type="dxa"/>
          </w:tcPr>
          <w:p w14:paraId="73B8CA1A" w14:textId="77777777" w:rsidR="00065FDF" w:rsidRDefault="007C3805">
            <w:r>
              <w:t>data</w:t>
            </w:r>
          </w:p>
        </w:tc>
        <w:tc>
          <w:tcPr>
            <w:tcW w:w="2214" w:type="dxa"/>
          </w:tcPr>
          <w:p w14:paraId="132E4866" w14:textId="77777777" w:rsidR="00065FDF" w:rsidRDefault="007C3805">
            <w:r>
              <w:t>data</w:t>
            </w:r>
          </w:p>
        </w:tc>
        <w:tc>
          <w:tcPr>
            <w:tcW w:w="2214" w:type="dxa"/>
          </w:tcPr>
          <w:p w14:paraId="719C3BC1" w14:textId="77777777" w:rsidR="00065FDF" w:rsidRDefault="007C3805">
            <w:r>
              <w:t>data</w:t>
            </w:r>
          </w:p>
        </w:tc>
      </w:tr>
    </w:tbl>
    <w:p w14:paraId="4321DDC3" w14:textId="77777777" w:rsidR="00065FDF" w:rsidRDefault="007C3805">
      <w:bookmarkStart w:id="28" w:name="Footnotes"/>
      <w:bookmarkEnd w:id="28"/>
      <w:proofErr w:type="spellStart"/>
      <w:r>
        <w:rPr>
          <w:vertAlign w:val="superscript"/>
        </w:rPr>
        <w:t>a</w:t>
      </w:r>
      <w:r>
        <w:t>Not</w:t>
      </w:r>
      <w:proofErr w:type="spellEnd"/>
      <w:r>
        <w:t xml:space="preserve"> all elements are necessary for every table, simply omit the irrelevant sections for your table and keep the formatting of the rest. For further details, please refer to the main Instructions for Authors of JMIR document.</w:t>
      </w:r>
    </w:p>
    <w:p w14:paraId="0545511E" w14:textId="77777777" w:rsidR="00065FDF" w:rsidRDefault="007C3805">
      <w:proofErr w:type="spellStart"/>
      <w:r>
        <w:rPr>
          <w:vertAlign w:val="superscript"/>
        </w:rPr>
        <w:t>b</w:t>
      </w:r>
      <w:r>
        <w:t>Footnotes</w:t>
      </w:r>
      <w:proofErr w:type="spellEnd"/>
      <w:r>
        <w:t xml:space="preserve"> are labeled in superscript </w:t>
      </w:r>
      <w:proofErr w:type="gramStart"/>
      <w:r>
        <w:t>lower case</w:t>
      </w:r>
      <w:proofErr w:type="gramEnd"/>
      <w:r>
        <w:t xml:space="preserve"> a-z. Other symbols are not used.</w:t>
      </w:r>
    </w:p>
    <w:p w14:paraId="4F45A61E" w14:textId="77777777" w:rsidR="00065FDF" w:rsidRDefault="007C3805">
      <w:proofErr w:type="spellStart"/>
      <w:r>
        <w:rPr>
          <w:vertAlign w:val="superscript"/>
        </w:rPr>
        <w:t>c</w:t>
      </w:r>
      <w:r>
        <w:t>Astericks</w:t>
      </w:r>
      <w:proofErr w:type="spellEnd"/>
      <w:r>
        <w:t xml:space="preserve"> (*) can only be used if exact </w:t>
      </w:r>
      <w:r>
        <w:rPr>
          <w:i/>
        </w:rPr>
        <w:t>P</w:t>
      </w:r>
      <w:r>
        <w:t xml:space="preserve"> values cannot be provided for a specific reason, and are listed after the superscript a-z footnotes.</w:t>
      </w:r>
    </w:p>
    <w:p w14:paraId="3E02ABE8" w14:textId="77777777" w:rsidR="00065FDF" w:rsidRDefault="007C3805">
      <w:proofErr w:type="spellStart"/>
      <w:r>
        <w:rPr>
          <w:vertAlign w:val="superscript"/>
        </w:rPr>
        <w:t>d</w:t>
      </w:r>
      <w:r>
        <w:t>please</w:t>
      </w:r>
      <w:proofErr w:type="spellEnd"/>
      <w:r>
        <w:t xml:space="preserve"> be conscious of the overall width of the table.  Tables will be automatically fitted/resized to the width of a US Letter Small page in portrait configuration during </w:t>
      </w:r>
      <w:r>
        <w:lastRenderedPageBreak/>
        <w:t>typesetting. Overcrowded Tables or Tables that are too crowded WILL look squished, and should be avoided if possible.</w:t>
      </w:r>
    </w:p>
    <w:p w14:paraId="0789C96A" w14:textId="77777777" w:rsidR="00065FDF" w:rsidRDefault="007C3805">
      <w:proofErr w:type="spellStart"/>
      <w:r>
        <w:rPr>
          <w:vertAlign w:val="superscript"/>
        </w:rPr>
        <w:t>e</w:t>
      </w:r>
      <w:r>
        <w:t>longer</w:t>
      </w:r>
      <w:proofErr w:type="spellEnd"/>
      <w:r>
        <w:t xml:space="preserve"> headings can be abridged within the Table, with a full explanation in a footnote. </w:t>
      </w:r>
    </w:p>
    <w:p w14:paraId="4C008AB9" w14:textId="77777777" w:rsidR="00065FDF" w:rsidRDefault="00065FDF"/>
    <w:p w14:paraId="4BD6C348" w14:textId="77777777" w:rsidR="00065FDF" w:rsidRDefault="007C3805">
      <w:bookmarkStart w:id="29" w:name="Figure"/>
      <w:bookmarkEnd w:id="29"/>
      <w:r>
        <w:t>Figure 1. Captions/titles are inserted online.  Try to use Times New Roman for text within the Figure to match the font of the final typeset manuscript when possible. These should be .jpeg or .</w:t>
      </w:r>
      <w:proofErr w:type="spellStart"/>
      <w:r>
        <w:t>png</w:t>
      </w:r>
      <w:proofErr w:type="spellEnd"/>
      <w:r>
        <w:t xml:space="preserve"> files. Please prepare Figures with good resolution – Figures that are predominantly graphics/pictures should have dpi close to 300, while those that are text-dominant can have lower resolution (usually dpi 200). Try to use combinations of color and symbols/line styles to define and refer to different categories.  This will help with readability if Figures are printed/viewed in black and white.</w:t>
      </w:r>
    </w:p>
    <w:p w14:paraId="090E8677" w14:textId="77777777" w:rsidR="00065FDF" w:rsidRDefault="00065FDF"/>
    <w:p w14:paraId="0D492686" w14:textId="77777777" w:rsidR="00065FDF" w:rsidRDefault="00065FDF"/>
    <w:p w14:paraId="4A57AB5C" w14:textId="77777777" w:rsidR="00065FDF" w:rsidRDefault="007C3805">
      <w:pPr>
        <w:pStyle w:val="2"/>
      </w:pPr>
      <w:bookmarkStart w:id="30" w:name="Discussion"/>
      <w:bookmarkStart w:id="31" w:name="_Discussion_1"/>
      <w:bookmarkEnd w:id="30"/>
      <w:bookmarkEnd w:id="31"/>
      <w:r>
        <w:t>Discussion</w:t>
      </w:r>
    </w:p>
    <w:p w14:paraId="2055C99B" w14:textId="53644B27" w:rsidR="00065FDF" w:rsidRDefault="007C3805">
      <w:pPr>
        <w:pStyle w:val="3"/>
      </w:pPr>
      <w:r>
        <w:t>Principal Results</w:t>
      </w:r>
    </w:p>
    <w:p w14:paraId="49A3E8C4" w14:textId="77777777" w:rsidR="00B8331F" w:rsidRPr="00B8331F" w:rsidRDefault="00B8331F" w:rsidP="00B8331F"/>
    <w:p w14:paraId="16240957" w14:textId="2A104158" w:rsidR="00065FDF" w:rsidRDefault="007C3805">
      <w:pPr>
        <w:pStyle w:val="3"/>
      </w:pPr>
      <w:r>
        <w:t>Limitations</w:t>
      </w:r>
    </w:p>
    <w:p w14:paraId="4CA790A1" w14:textId="77777777" w:rsidR="00B8331F" w:rsidRPr="00B8331F" w:rsidRDefault="00B8331F" w:rsidP="00B8331F"/>
    <w:p w14:paraId="7F8713C3" w14:textId="1C68720A" w:rsidR="00065FDF" w:rsidRDefault="007C3805">
      <w:pPr>
        <w:pStyle w:val="3"/>
      </w:pPr>
      <w:r>
        <w:t>Comparison with Prior Work</w:t>
      </w:r>
    </w:p>
    <w:p w14:paraId="6DEB9D8E" w14:textId="03084C12" w:rsidR="00B8331F" w:rsidRDefault="00B8331F" w:rsidP="00B8331F"/>
    <w:p w14:paraId="232AF9DA" w14:textId="77777777" w:rsidR="00B8331F" w:rsidRDefault="00B8331F" w:rsidP="00B8331F">
      <w:r>
        <w:rPr>
          <w:rFonts w:hint="eastAsia"/>
        </w:rPr>
        <w:t>Our method is related to TCM visualization in general. Important aspects of our method include hierarchy visualization, multidimensional data visualization and color perception.</w:t>
      </w:r>
    </w:p>
    <w:p w14:paraId="42BFE19C" w14:textId="77777777" w:rsidR="00B8331F" w:rsidRDefault="00B8331F" w:rsidP="00B8331F">
      <w:pPr>
        <w:pStyle w:val="4"/>
      </w:pPr>
      <w:r>
        <w:rPr>
          <w:rFonts w:hint="eastAsia"/>
        </w:rPr>
        <w:t>TCM</w:t>
      </w:r>
      <w:r>
        <w:t xml:space="preserve"> </w:t>
      </w:r>
      <w:r>
        <w:rPr>
          <w:rFonts w:hint="eastAsia"/>
        </w:rPr>
        <w:t>Visualization</w:t>
      </w:r>
    </w:p>
    <w:p w14:paraId="563EE71A" w14:textId="77777777" w:rsidR="00B8331F" w:rsidRDefault="00B8331F" w:rsidP="00B8331F">
      <w:r>
        <w:rPr>
          <w:rFonts w:hint="eastAsia"/>
        </w:rPr>
        <w:t>Visualization methods are used in the area of TCM. Visual recognition and visualization is proposed for TCM pulse information</w:t>
      </w:r>
      <w:r>
        <w:rPr>
          <w:rFonts w:hint="eastAsia"/>
        </w:rPr>
        <w:t>—</w:t>
      </w:r>
      <w:r>
        <w:rPr>
          <w:rFonts w:hint="eastAsia"/>
        </w:rPr>
        <w:t xml:space="preserve">the pulse information is quantified and visualized to support more accurate </w:t>
      </w:r>
      <w:proofErr w:type="gramStart"/>
      <w:r>
        <w:rPr>
          <w:rFonts w:hint="eastAsia"/>
        </w:rPr>
        <w:t>diagnosis</w:t>
      </w:r>
      <w:r>
        <w:rPr>
          <w:rFonts w:ascii="Cambria" w:hAnsi="Cambria"/>
        </w:rPr>
        <w:t>[</w:t>
      </w:r>
      <w:proofErr w:type="gramEnd"/>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xml:space="preserve">. Digital tongue images that are important in TCM are recognized and analyzed with a visualization of </w:t>
      </w:r>
      <w:proofErr w:type="gramStart"/>
      <w:r>
        <w:rPr>
          <w:rFonts w:hint="eastAsia"/>
        </w:rPr>
        <w:t>tongues</w:t>
      </w:r>
      <w:r>
        <w:rPr>
          <w:rFonts w:ascii="Cambria" w:hAnsi="Cambria"/>
        </w:rPr>
        <w:t>[</w:t>
      </w:r>
      <w:proofErr w:type="gramEnd"/>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proofErr w:type="gramStart"/>
      <w:r>
        <w:rPr>
          <w:rFonts w:hint="eastAsia"/>
        </w:rPr>
        <w:t>illness</w:t>
      </w:r>
      <w:r>
        <w:rPr>
          <w:rFonts w:ascii="Cambria" w:hAnsi="Cambria"/>
        </w:rPr>
        <w:t>[</w:t>
      </w:r>
      <w:proofErr w:type="gramEnd"/>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xml:space="preserve">. Visualization 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4634AA96" w14:textId="77777777" w:rsidR="00B8331F" w:rsidRDefault="00B8331F" w:rsidP="00B8331F">
      <w:r>
        <w:rPr>
          <w:rFonts w:hint="eastAsia"/>
        </w:rPr>
        <w:t xml:space="preserve">Specific visualization methods for herbal medicine formulas are available. Cold and hot properties are visualized as indicators for herbal medicine formulas in a formula analysis </w:t>
      </w:r>
      <w:proofErr w:type="gramStart"/>
      <w:r>
        <w:rPr>
          <w:rFonts w:hint="eastAsia"/>
        </w:rPr>
        <w:t>platform</w:t>
      </w:r>
      <w:r>
        <w:rPr>
          <w:rFonts w:ascii="Cambria" w:hAnsi="Cambria"/>
        </w:rPr>
        <w:t>[</w:t>
      </w:r>
      <w:proofErr w:type="gramEnd"/>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a large number of medicine formulas through manual processing and natural language </w:t>
      </w:r>
      <w:proofErr w:type="gramStart"/>
      <w:r>
        <w:rPr>
          <w:rFonts w:hint="eastAsia"/>
        </w:rPr>
        <w:t>processing</w:t>
      </w:r>
      <w:r>
        <w:rPr>
          <w:rFonts w:ascii="Cambria" w:hAnsi="Cambria"/>
        </w:rPr>
        <w:t>[</w:t>
      </w:r>
      <w:proofErr w:type="gramEnd"/>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xml:space="preserve">. Network visualization is used for showing the composition of medicine formulas to assist the construction of medicine formulas </w:t>
      </w:r>
      <w:proofErr w:type="gramStart"/>
      <w:r>
        <w:rPr>
          <w:rFonts w:hint="eastAsia"/>
        </w:rPr>
        <w:lastRenderedPageBreak/>
        <w:t>databases</w:t>
      </w:r>
      <w:r>
        <w:rPr>
          <w:rFonts w:ascii="Cambria" w:hAnsi="Cambria"/>
        </w:rPr>
        <w:t>[</w:t>
      </w:r>
      <w:proofErr w:type="gramEnd"/>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visual analysis.</w:t>
      </w:r>
    </w:p>
    <w:p w14:paraId="6D8103AC" w14:textId="77777777" w:rsidR="00B8331F" w:rsidRDefault="00B8331F" w:rsidP="00B8331F">
      <w:r>
        <w:rPr>
          <w:rFonts w:hint="eastAsia"/>
        </w:rPr>
        <w:t xml:space="preserve">Moreover, most if not all works above are not done through collaborations between TCM and visualization experts. In contrast, a visual analysis method of TCM health records is available recently as a result of the collaboration between TCM and visualization </w:t>
      </w:r>
      <w:proofErr w:type="gramStart"/>
      <w:r>
        <w:rPr>
          <w:rFonts w:hint="eastAsia"/>
        </w:rPr>
        <w:t>experts</w:t>
      </w:r>
      <w:r>
        <w:rPr>
          <w:rFonts w:ascii="Cambria" w:hAnsi="Cambria"/>
        </w:rPr>
        <w:t>[</w:t>
      </w:r>
      <w:proofErr w:type="gramEnd"/>
      <w:r>
        <w:rPr>
          <w:rFonts w:ascii="Cambria" w:hAnsi="Cambria"/>
        </w:rPr>
        <w:fldChar w:fldCharType="begin"/>
      </w:r>
      <w:r>
        <w:rPr>
          <w:rFonts w:ascii="Cambria" w:hAnsi="Cambria"/>
        </w:rPr>
        <w:instrText xml:space="preserve"> REF BIB_hu_3a2021 \* MERGEFORMAT </w:instrText>
      </w:r>
      <w:r>
        <w:rPr>
          <w:rFonts w:ascii="Cambria" w:hAnsi="Cambria"/>
        </w:rPr>
        <w:fldChar w:fldCharType="separate"/>
      </w:r>
      <w:r>
        <w:rPr>
          <w:rFonts w:ascii="Cambria" w:hAnsi="Cambria" w:cs="Times New Roman"/>
        </w:rPr>
        <w:t>10</w:t>
      </w:r>
      <w:r>
        <w:rPr>
          <w:rFonts w:ascii="Cambria" w:hAnsi="Cambria"/>
        </w:rPr>
        <w:fldChar w:fldCharType="end"/>
      </w:r>
      <w:r>
        <w:rPr>
          <w:rFonts w:ascii="Cambria" w:hAnsi="Cambria"/>
        </w:rPr>
        <w:t>]</w:t>
      </w:r>
      <w:r>
        <w:rPr>
          <w:rFonts w:hint="eastAsia"/>
        </w:rPr>
        <w:t>. This method supports the analysis of time-varying TCM health records and comparing medicines in prescriptions of different patients. However, a visual analysis method for herbal medicine formulas is not available yet.</w:t>
      </w:r>
    </w:p>
    <w:p w14:paraId="0976CCC2" w14:textId="77777777" w:rsidR="00B8331F" w:rsidRDefault="00B8331F" w:rsidP="00B8331F">
      <w:pPr>
        <w:pStyle w:val="4"/>
      </w:pPr>
      <w:r>
        <w:t>Set Visualization</w:t>
      </w:r>
    </w:p>
    <w:p w14:paraId="2D99D7EA" w14:textId="77777777" w:rsidR="00B8331F" w:rsidRDefault="00B8331F" w:rsidP="00B8331F">
      <w:pPr>
        <w:pStyle w:val="4"/>
      </w:pPr>
      <w:r>
        <w:t>Hierarchical and Multidimensional Data Visualization</w:t>
      </w:r>
    </w:p>
    <w:p w14:paraId="01FCF0A5" w14:textId="77777777" w:rsidR="00B8331F" w:rsidRDefault="00B8331F" w:rsidP="00B8331F">
      <w:pPr>
        <w:rPr>
          <w:rFonts w:eastAsia="宋体"/>
          <w:lang w:eastAsia="zh-CN"/>
        </w:rPr>
      </w:pPr>
      <w:r>
        <w:t>Hierarchical data visualization techniques can be classified into explicit techniques, i.e., trees using node-link diagrams, and implicit techniques that no explicit edges are drawn. Implicit hierarchy visualization tech</w:t>
      </w:r>
      <w:r>
        <w:rPr>
          <w:rFonts w:hint="eastAsia"/>
        </w:rPr>
        <w:t xml:space="preserve">niques are summarized in an extensive </w:t>
      </w:r>
      <w:proofErr w:type="gramStart"/>
      <w:r>
        <w:rPr>
          <w:rFonts w:hint="eastAsia"/>
        </w:rPr>
        <w:t>survey</w:t>
      </w:r>
      <w:r>
        <w:rPr>
          <w:rFonts w:ascii="Cambria" w:hAnsi="Cambria"/>
        </w:rPr>
        <w:t>[</w:t>
      </w:r>
      <w:proofErr w:type="gramEnd"/>
      <w:r>
        <w:rPr>
          <w:rFonts w:ascii="Cambria" w:hAnsi="Cambria"/>
        </w:rPr>
        <w:fldChar w:fldCharType="begin"/>
      </w:r>
      <w:r>
        <w:rPr>
          <w:rFonts w:ascii="Cambria" w:hAnsi="Cambria"/>
        </w:rPr>
        <w:instrText xml:space="preserve"> REF BIB_schulz_3a2011 \* MERGEFORMAT </w:instrText>
      </w:r>
      <w:r>
        <w:rPr>
          <w:rFonts w:ascii="Cambria" w:hAnsi="Cambria"/>
        </w:rPr>
        <w:fldChar w:fldCharType="separate"/>
      </w:r>
      <w:r>
        <w:rPr>
          <w:rFonts w:ascii="Cambria" w:hAnsi="Cambria" w:cs="Times New Roman"/>
        </w:rPr>
        <w:t>11</w:t>
      </w:r>
      <w:r>
        <w:rPr>
          <w:rFonts w:ascii="Cambria" w:hAnsi="Cambria"/>
        </w:rPr>
        <w:fldChar w:fldCharType="end"/>
      </w:r>
      <w:r>
        <w:rPr>
          <w:rFonts w:ascii="Cambria" w:hAnsi="Cambria"/>
        </w:rPr>
        <w:t>]</w:t>
      </w:r>
      <w:r>
        <w:rPr>
          <w:rFonts w:hint="eastAsia"/>
        </w:rPr>
        <w:t>, and the main benefit</w:t>
      </w:r>
      <w:r>
        <w:rPr>
          <w:rFonts w:eastAsia="宋体" w:hint="eastAsia"/>
          <w:lang w:eastAsia="zh-CN"/>
        </w:rPr>
        <w:t xml:space="preserve"> </w:t>
      </w:r>
      <w:r>
        <w:rPr>
          <w:rFonts w:hint="eastAsia"/>
        </w:rPr>
        <w:t>of implicit techniques is the efficient use of space making them more</w:t>
      </w:r>
      <w:r>
        <w:rPr>
          <w:rFonts w:eastAsia="宋体" w:hint="eastAsia"/>
          <w:lang w:eastAsia="zh-CN"/>
        </w:rPr>
        <w:t xml:space="preserve"> suitable for large hierarchical data than trees. Popular implicit methods include </w:t>
      </w:r>
      <w:proofErr w:type="spellStart"/>
      <w:r>
        <w:rPr>
          <w:rFonts w:eastAsia="宋体" w:hint="eastAsia"/>
          <w:lang w:eastAsia="zh-CN"/>
        </w:rPr>
        <w:t>treemaps</w:t>
      </w:r>
      <w:proofErr w:type="spellEnd"/>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icicle charts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BIB_kruskal_3a1983 \* MERGEFORMAT </w:instrText>
      </w:r>
      <w:r>
        <w:rPr>
          <w:rFonts w:ascii="Cambria" w:eastAsia="宋体" w:hAnsi="Cambria"/>
          <w:lang w:eastAsia="zh-CN"/>
        </w:rPr>
        <w:fldChar w:fldCharType="separate"/>
      </w:r>
      <w:r>
        <w:rPr>
          <w:rFonts w:ascii="Cambria" w:hAnsi="Cambria" w:cs="Times New Roman"/>
        </w:rPr>
        <w:t>14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t>
      </w:r>
      <w:proofErr w:type="spellStart"/>
      <w:r>
        <w:rPr>
          <w:rFonts w:eastAsia="宋体" w:hint="eastAsia"/>
          <w:lang w:eastAsia="zh-CN"/>
        </w:rPr>
        <w:t>Treemaps</w:t>
      </w:r>
      <w:proofErr w:type="spellEnd"/>
      <w:r>
        <w:rPr>
          <w:rFonts w:eastAsia="宋体" w:hint="eastAsia"/>
          <w:lang w:eastAsia="zh-CN"/>
        </w:rPr>
        <w:t xml:space="preserve"> use nested sets to show hierarchies by placing the graphical representation of children inside that of their parent. Typically, </w:t>
      </w:r>
      <w:proofErr w:type="spellStart"/>
      <w:r>
        <w:rPr>
          <w:rFonts w:eastAsia="宋体" w:hint="eastAsia"/>
          <w:lang w:eastAsia="zh-CN"/>
        </w:rPr>
        <w:t>treemaps</w:t>
      </w:r>
      <w:proofErr w:type="spellEnd"/>
      <w:r>
        <w:rPr>
          <w:rFonts w:eastAsia="宋体" w:hint="eastAsia"/>
          <w:lang w:eastAsia="zh-CN"/>
        </w:rPr>
        <w:t xml:space="preserve"> are drawn as rectangles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and variants of circles and even irregular shapes formed by Gosper curves exist</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BIB_auber2013 \* MERGEFORMAT </w:instrText>
      </w:r>
      <w:r>
        <w:rPr>
          <w:rFonts w:ascii="Cambria" w:eastAsia="宋体" w:hAnsi="Cambria"/>
          <w:lang w:eastAsia="zh-CN"/>
        </w:rPr>
        <w:fldChar w:fldCharType="separate"/>
      </w:r>
      <w:r>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Research efforts are made to improve the perception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BIB_vanwijk1999 \* MERGEFORMAT </w:instrText>
      </w:r>
      <w:r>
        <w:rPr>
          <w:rFonts w:ascii="Cambria" w:eastAsia="宋体" w:hAnsi="Cambria"/>
          <w:lang w:eastAsia="zh-CN"/>
        </w:rPr>
        <w:fldChar w:fldCharType="separate"/>
      </w:r>
      <w:r>
        <w:rPr>
          <w:rFonts w:ascii="Cambria" w:hAnsi="Cambria" w:cs="Times New Roman"/>
        </w:rPr>
        <w:t>16</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BIB_bruls2000 \* MERGEFORMAT </w:instrText>
      </w:r>
      <w:r>
        <w:rPr>
          <w:rFonts w:ascii="Cambria" w:eastAsia="宋体" w:hAnsi="Cambria"/>
          <w:lang w:eastAsia="zh-CN"/>
        </w:rPr>
        <w:fldChar w:fldCharType="separate"/>
      </w:r>
      <w:r>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or to encode more information, for example, uncertainty</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BIB_goertler2018 \* MERGEFORMAT </w:instrText>
      </w:r>
      <w:r>
        <w:rPr>
          <w:rFonts w:ascii="Cambria" w:eastAsia="宋体" w:hAnsi="Cambria"/>
          <w:lang w:eastAsia="zh-CN"/>
        </w:rPr>
        <w:fldChar w:fldCharType="separate"/>
      </w:r>
      <w:r>
        <w:rPr>
          <w:rFonts w:ascii="Cambria" w:hAnsi="Cambria" w:cs="Times New Roman"/>
        </w:rPr>
        <w:t>18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while maintaining the compactness of the </w:t>
      </w:r>
      <w:proofErr w:type="spellStart"/>
      <w:r>
        <w:rPr>
          <w:rFonts w:eastAsia="宋体" w:hint="eastAsia"/>
          <w:lang w:eastAsia="zh-CN"/>
        </w:rPr>
        <w:t>treemaps</w:t>
      </w:r>
      <w:proofErr w:type="spellEnd"/>
      <w:r>
        <w:rPr>
          <w:rFonts w:eastAsia="宋体" w:hint="eastAsia"/>
          <w:lang w:eastAsia="zh-CN"/>
        </w:rPr>
        <w:t xml:space="preserve">. Icicle plots utilize the vertical placement of nodes to show the hierarchical information. Compared to </w:t>
      </w:r>
      <w:proofErr w:type="spellStart"/>
      <w:r>
        <w:rPr>
          <w:rFonts w:eastAsia="宋体" w:hint="eastAsia"/>
          <w:lang w:eastAsia="zh-CN"/>
        </w:rPr>
        <w:t>treemaps</w:t>
      </w:r>
      <w:proofErr w:type="spellEnd"/>
      <w:r>
        <w:rPr>
          <w:rFonts w:eastAsia="宋体" w:hint="eastAsia"/>
          <w:lang w:eastAsia="zh-CN"/>
        </w:rPr>
        <w:t>, icicle plots are not as space-efficient but seem to be more intuitive from our informal empirical study with domain experts. In our case, we choose the icicle plot for hierarchy visualization as our TCM expert considers it easier to understand and allows for quick comparison of formulas.</w:t>
      </w:r>
    </w:p>
    <w:p w14:paraId="5FA8AC1A" w14:textId="77777777" w:rsidR="00B8331F" w:rsidRDefault="00B8331F" w:rsidP="00B8331F">
      <w:pPr>
        <w:rPr>
          <w:rFonts w:eastAsia="宋体"/>
          <w:lang w:eastAsia="zh-CN"/>
        </w:rPr>
      </w:pPr>
    </w:p>
    <w:p w14:paraId="64DF4A32" w14:textId="77777777"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652E4E75" w14:textId="77777777" w:rsidR="00B8331F" w:rsidRDefault="00B8331F" w:rsidP="00B8331F">
      <w:pPr>
        <w:pStyle w:val="4"/>
        <w:rPr>
          <w:lang w:eastAsia="zh-CN"/>
        </w:rPr>
      </w:pPr>
      <w:r>
        <w:rPr>
          <w:rFonts w:hint="eastAsia"/>
          <w:lang w:eastAsia="zh-CN"/>
        </w:rPr>
        <w:t>Color Perception in Visualization</w:t>
      </w:r>
    </w:p>
    <w:p w14:paraId="3C84C6BB" w14:textId="77777777" w:rsidR="00B8331F" w:rsidRDefault="00B8331F" w:rsidP="00B8331F">
      <w:pPr>
        <w:rPr>
          <w:rFonts w:eastAsia="宋体"/>
          <w:lang w:eastAsia="zh-CN"/>
        </w:rPr>
      </w:pPr>
      <w:r>
        <w:rPr>
          <w:rFonts w:eastAsia="宋体" w:hint="eastAsia"/>
          <w:lang w:eastAsia="zh-CN"/>
        </w:rPr>
        <w:t xml:space="preserve">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w:t>
      </w:r>
      <w:proofErr w:type="gramStart"/>
      <w:r>
        <w:rPr>
          <w:rFonts w:eastAsia="宋体" w:hint="eastAsia"/>
          <w:lang w:eastAsia="zh-CN"/>
        </w:rPr>
        <w:t>elsewhere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lastRenderedPageBreak/>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not very </w:t>
      </w:r>
      <w:proofErr w:type="gramStart"/>
      <w:r>
        <w:rPr>
          <w:rFonts w:eastAsia="宋体" w:hint="eastAsia"/>
          <w:lang w:eastAsia="zh-CN"/>
        </w:rPr>
        <w:t>good</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Recently, several color spaces based on the CIECAM02 color appearance </w:t>
      </w:r>
      <w:proofErr w:type="gramStart"/>
      <w:r>
        <w:rPr>
          <w:rFonts w:eastAsia="宋体" w:hint="eastAsia"/>
          <w:lang w:eastAsia="zh-CN"/>
        </w:rPr>
        <w:t>model</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7C0E12C7" w14:textId="77777777" w:rsidR="00065FDF" w:rsidRDefault="007C3805">
      <w:pPr>
        <w:pStyle w:val="3"/>
      </w:pPr>
      <w:r>
        <w:t>Conclusions</w:t>
      </w:r>
    </w:p>
    <w:p w14:paraId="42F34EB5" w14:textId="77777777" w:rsidR="00065FDF" w:rsidRDefault="007C3805">
      <w:pPr>
        <w:pStyle w:val="3"/>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In this paper, we have introduced a visual analysis method for TCM formulas. Our method supports the visualization of medicine formulas data as a hierarchy with an icicle plot in a formula view and multidimensional attribute data of medicines are visualized in a dimensionality reduction-based medicine view. Requirements and design choices of our method are made through a close collaboration between visualization and TCM experts in an iterative quick prototyping fashion. Effective comparison of medicine formulas is supported with the icicle plot using our new similarity-based tree layout algorithm; colors of visual elements are assigned with a perceptual-guided data-driven color encoding method that focuses perceptual uniformity and TCM concepts of medicine attributes. Interactive analysis of medicine formulas and corresponding medicines is available with brushing-and-linking between the two views. Two uses cases of typical groups of medicine formulas analyzed by the TCM expert demonstrate the effectiveness</w:t>
      </w:r>
      <w:r>
        <w:rPr>
          <w:rFonts w:asciiTheme="minorHAnsi" w:eastAsia="宋体" w:hAnsiTheme="minorHAnsi" w:cstheme="minorBidi" w:hint="eastAsia"/>
          <w:b w:val="0"/>
          <w:bCs w:val="0"/>
          <w:color w:val="auto"/>
          <w:lang w:eastAsia="zh-CN"/>
        </w:rPr>
        <w:t xml:space="preserve"> </w:t>
      </w:r>
      <w:r>
        <w:rPr>
          <w:rFonts w:asciiTheme="minorHAnsi" w:eastAsiaTheme="minorEastAsia" w:hAnsiTheme="minorHAnsi" w:cstheme="minorBidi"/>
          <w:b w:val="0"/>
          <w:bCs w:val="0"/>
          <w:color w:val="auto"/>
        </w:rPr>
        <w:t>of our method for medicine formula composition learning and TCM inheritance. The expert also suggests that our method could be potentially used for designing new formulas. In the future, we would like to further enhance the comparison capability of our method, for example, supports comparing specific formulas in the icicle plot that are not adjacent, and uses set visualization, e.g., bubble sets, to compare their medicines in the medicine view. Moreover, we would like to apply our method to analyze more groups of formulas and TCM prescriptions in a clinical setting to assist TCM students and health providers to enhance their understanding of formula composition theories and improve their practice.</w:t>
      </w:r>
    </w:p>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4D59B394" w14:textId="6A5A6CE3" w:rsidR="00065FDF" w:rsidRDefault="00B8331F">
      <w:r>
        <w:t>This work was supported in part by …</w:t>
      </w:r>
    </w:p>
    <w:p w14:paraId="054B06AB" w14:textId="77777777" w:rsidR="00065FDF" w:rsidRDefault="00065FDF"/>
    <w:p w14:paraId="2A4B6FB1" w14:textId="77777777" w:rsidR="00065FDF" w:rsidRDefault="007C3805">
      <w:pPr>
        <w:pStyle w:val="3"/>
      </w:pPr>
      <w:bookmarkStart w:id="32" w:name="Conflicts"/>
      <w:bookmarkEnd w:id="3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33" w:name="Abbreviations"/>
      <w:bookmarkStart w:id="34" w:name="_Abbreviations_1"/>
      <w:bookmarkEnd w:id="33"/>
      <w:bookmarkEnd w:id="34"/>
      <w:commentRangeStart w:id="35"/>
      <w:r>
        <w:lastRenderedPageBreak/>
        <w:t>Abbreviations</w:t>
      </w:r>
      <w:commentRangeEnd w:id="35"/>
      <w:r>
        <w:rPr>
          <w:rStyle w:val="af5"/>
          <w:rFonts w:asciiTheme="minorHAnsi" w:eastAsiaTheme="minorEastAsia" w:hAnsiTheme="minorHAnsi" w:cstheme="minorBidi"/>
          <w:b w:val="0"/>
          <w:bCs w:val="0"/>
          <w:color w:val="auto"/>
        </w:rPr>
        <w:commentReference w:id="35"/>
      </w:r>
    </w:p>
    <w:p w14:paraId="30949A6B" w14:textId="77777777" w:rsidR="00065FDF" w:rsidRDefault="007C3805">
      <w:r>
        <w:t>JMIR: Journal of Medical Internet Research</w:t>
      </w:r>
    </w:p>
    <w:p w14:paraId="4FF4D502" w14:textId="77777777" w:rsidR="00065FDF" w:rsidRDefault="007C3805">
      <w:r>
        <w:t>RCT: randomized controlled trial</w:t>
      </w:r>
    </w:p>
    <w:p w14:paraId="7E9C9B45" w14:textId="77777777" w:rsidR="00065FDF" w:rsidRDefault="00065FDF"/>
    <w:p w14:paraId="58FD9555" w14:textId="77777777" w:rsidR="00065FDF" w:rsidRDefault="007C3805">
      <w:pPr>
        <w:pStyle w:val="2"/>
      </w:pPr>
      <w:bookmarkStart w:id="36" w:name="Appendix"/>
      <w:bookmarkEnd w:id="36"/>
      <w:r>
        <w:t>Multimedia Appendix 1</w:t>
      </w:r>
    </w:p>
    <w:p w14:paraId="1356D40B" w14:textId="77777777" w:rsidR="00065FDF" w:rsidRDefault="007C3805">
      <w:r>
        <w:t>Multimedia appendices are supplementary files, such as a PowerPoint presentation of a conference talk about the study, additional screenshots of a website, mpeg/</w:t>
      </w:r>
      <w:proofErr w:type="spellStart"/>
      <w:r>
        <w:t>Quicktime</w:t>
      </w:r>
      <w:proofErr w:type="spellEnd"/>
      <w:r>
        <w:t xml:space="preserve"> video/audio files, Excel/Access/SAS/SPSS files containing original data (very long tables), and questionnaires. See </w:t>
      </w:r>
      <w:hyperlink r:id="rId85" w:history="1">
        <w:r>
          <w:rPr>
            <w:rStyle w:val="af4"/>
          </w:rPr>
          <w:t>https://jmir.zendesk.com/hc/en-us/articles/115003396688</w:t>
        </w:r>
      </w:hyperlink>
      <w:r>
        <w:t xml:space="preserve"> for further information. Do not include copyrighted material unless you obtained written permission from the copyright holder, which should be uploaded together with your Publication Agreement form as supplementary file.</w:t>
      </w:r>
    </w:p>
    <w:p w14:paraId="05116EA2" w14:textId="77777777" w:rsidR="00065FDF" w:rsidRDefault="00065FDF">
      <w:pPr>
        <w:widowControl w:val="0"/>
        <w:autoSpaceDE w:val="0"/>
        <w:autoSpaceDN w:val="0"/>
        <w:adjustRightInd w:val="0"/>
        <w:spacing w:after="220"/>
      </w:pPr>
    </w:p>
    <w:p w14:paraId="08CDFF04" w14:textId="77777777" w:rsidR="00065FDF" w:rsidRDefault="007C3805">
      <w:pPr>
        <w:widowControl w:val="0"/>
        <w:autoSpaceDE w:val="0"/>
        <w:autoSpaceDN w:val="0"/>
        <w:adjustRightInd w:val="0"/>
        <w:spacing w:after="220"/>
        <w:rPr>
          <w:rFonts w:cs="Verdana"/>
          <w:color w:val="0E0E0E"/>
          <w:sz w:val="22"/>
          <w:szCs w:val="22"/>
        </w:rPr>
      </w:pPr>
      <w:bookmarkStart w:id="37" w:name="CONSORT"/>
      <w:bookmarkEnd w:id="37"/>
      <w:r>
        <w:t xml:space="preserve">The Multimedia Appendices must be uploaded online, accompanied by a caption.  CONSORT-EHEALTH checklists are always uploaded as Multimedia Appendices.  </w:t>
      </w:r>
      <w:r>
        <w:rPr>
          <w:rFonts w:cs="Verdana"/>
          <w:color w:val="0E0E0E"/>
          <w:sz w:val="22"/>
          <w:szCs w:val="22"/>
        </w:rPr>
        <w:t>Although this is primarily intended for randomized trials, the section of the checklist describing how an intervention should be reported is also relevant for manuscripts with other evaluation designs.</w:t>
      </w:r>
    </w:p>
    <w:p w14:paraId="61BCFED6" w14:textId="77777777" w:rsidR="00065FDF" w:rsidRDefault="007C3805">
      <w:r>
        <w:rPr>
          <w:rFonts w:cs="Verdana"/>
          <w:color w:val="0E0E0E"/>
          <w:sz w:val="22"/>
          <w:szCs w:val="22"/>
        </w:rPr>
        <w:t xml:space="preserve">Before submission, authors of RCTs must </w:t>
      </w:r>
      <w:r>
        <w:rPr>
          <w:rFonts w:cs="Verdana"/>
          <w:b/>
          <w:bCs/>
          <w:color w:val="0E0E0E"/>
          <w:sz w:val="22"/>
          <w:szCs w:val="22"/>
        </w:rPr>
        <w:t>fill in the electronic CONSORT-EHEALTH questionnaire at </w:t>
      </w:r>
      <w:hyperlink r:id="rId86" w:history="1">
        <w:r>
          <w:rPr>
            <w:rFonts w:cs="Verdana"/>
            <w:b/>
            <w:bCs/>
            <w:color w:val="296643"/>
            <w:sz w:val="22"/>
            <w:szCs w:val="22"/>
            <w:u w:val="single" w:color="296643"/>
          </w:rPr>
          <w:t>http://tinyurl.com/consort-ehealth-v1-6</w:t>
        </w:r>
      </w:hyperlink>
      <w:r>
        <w:rPr>
          <w:rFonts w:cs="Verdana"/>
          <w:color w:val="0E0E0E"/>
          <w:sz w:val="22"/>
          <w:szCs w:val="22"/>
        </w:rPr>
        <w:t> with quotes from their manuscript (if you wish to comment on the importance of the items from the checklist for reporting, please also rate each item on a scale between 1-5). BEFORE you press submit, please generate a pdf of the form with your responses and upload this file as supplementary file entitled CONSORT-EHEALTH V1.6.</w:t>
      </w:r>
    </w:p>
    <w:p w14:paraId="2A895566" w14:textId="77777777" w:rsidR="00065FDF" w:rsidRDefault="007C3805">
      <w:pPr>
        <w:pStyle w:val="2"/>
      </w:pPr>
      <w:bookmarkStart w:id="38" w:name="References"/>
      <w:bookmarkStart w:id="39" w:name="_References_1"/>
      <w:bookmarkEnd w:id="38"/>
      <w:bookmarkEnd w:id="39"/>
      <w:r>
        <w:t>References</w:t>
      </w:r>
    </w:p>
    <w:p w14:paraId="719DF4FB" w14:textId="77777777" w:rsidR="00065FDF" w:rsidRDefault="007C3805">
      <w:pPr>
        <w:pStyle w:val="af7"/>
        <w:rPr>
          <w:rFonts w:cs="Times New Roman"/>
        </w:rPr>
      </w:pPr>
      <w:bookmarkStart w:id="40" w:name="BIB__bib"/>
      <w:r>
        <w:rPr>
          <w:rFonts w:cs="Times New Roman"/>
        </w:rPr>
        <w:t>[</w:t>
      </w:r>
      <w:bookmarkStart w:id="41" w:name="BIB_zhongyijichulilun"/>
      <w:r>
        <w:rPr>
          <w:rFonts w:cs="Times New Roman"/>
        </w:rPr>
        <w:t>1</w:t>
      </w:r>
      <w:bookmarkStart w:id="42" w:name="B4B_zhongyijichulilun"/>
      <w:bookmarkEnd w:id="41"/>
      <w:bookmarkEnd w:id="42"/>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43" w:name="BIB_zhongyaotextbook2004"/>
      <w:r>
        <w:rPr>
          <w:rFonts w:cs="Times New Roman"/>
        </w:rPr>
        <w:t>2</w:t>
      </w:r>
      <w:bookmarkStart w:id="44" w:name="B4B_zhongyaotextbook2004"/>
      <w:bookmarkEnd w:id="43"/>
      <w:bookmarkEnd w:id="44"/>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t>[</w:t>
      </w:r>
      <w:bookmarkStart w:id="45" w:name="BIB_guo2019"/>
      <w:r>
        <w:rPr>
          <w:rFonts w:cs="Times New Roman"/>
        </w:rPr>
        <w:t>3</w:t>
      </w:r>
      <w:bookmarkStart w:id="46" w:name="B4B_guo2019"/>
      <w:bookmarkEnd w:id="45"/>
      <w:bookmarkEnd w:id="46"/>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47" w:name="BIB_gao2009"/>
      <w:r>
        <w:rPr>
          <w:rFonts w:cs="Times New Roman"/>
        </w:rPr>
        <w:t>4</w:t>
      </w:r>
      <w:bookmarkStart w:id="48" w:name="B4B_gao2009"/>
      <w:bookmarkEnd w:id="47"/>
      <w:bookmarkEnd w:id="48"/>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49" w:name="BIB_zhu2014"/>
      <w:r>
        <w:rPr>
          <w:rFonts w:cs="Times New Roman"/>
        </w:rPr>
        <w:t>5</w:t>
      </w:r>
      <w:bookmarkStart w:id="50" w:name="B4B_zhu2014"/>
      <w:bookmarkEnd w:id="49"/>
      <w:bookmarkEnd w:id="50"/>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t>[</w:t>
      </w:r>
      <w:bookmarkStart w:id="51" w:name="BIB_tang12"/>
      <w:r>
        <w:rPr>
          <w:rFonts w:cs="Times New Roman"/>
        </w:rPr>
        <w:t>6</w:t>
      </w:r>
      <w:bookmarkStart w:id="52" w:name="B4B_tang12"/>
      <w:bookmarkEnd w:id="51"/>
      <w:bookmarkEnd w:id="52"/>
      <w:r>
        <w:rPr>
          <w:rFonts w:cs="Times New Roman"/>
        </w:rPr>
        <w:t>]</w:t>
      </w:r>
      <w:r>
        <w:rPr>
          <w:rFonts w:cs="Times New Roman"/>
        </w:rPr>
        <w:tab/>
        <w:t xml:space="preserve">A. C. Y. Tang, “Review of traditional </w:t>
      </w:r>
      <w:proofErr w:type="spellStart"/>
      <w:r>
        <w:rPr>
          <w:rFonts w:cs="Times New Roman"/>
        </w:rPr>
        <w:t>chinese</w:t>
      </w:r>
      <w:proofErr w:type="spellEnd"/>
      <w:r>
        <w:rPr>
          <w:rFonts w:cs="Times New Roman"/>
        </w:rPr>
        <w:t xml:space="preserve"> medicine pulse diagnosis quantification,” in </w:t>
      </w:r>
      <w:r>
        <w:rPr>
          <w:rFonts w:cs="Times New Roman"/>
          <w:i/>
        </w:rPr>
        <w:t>Complementary Therapies for the Contemporary Healthcare</w:t>
      </w:r>
      <w:r>
        <w:rPr>
          <w:rFonts w:cs="Times New Roman"/>
        </w:rPr>
        <w:t xml:space="preserve">, M. Saad and R. de Medeiros, Eds. Rijeka: </w:t>
      </w:r>
      <w:proofErr w:type="spellStart"/>
      <w:r>
        <w:rPr>
          <w:rFonts w:cs="Times New Roman"/>
        </w:rPr>
        <w:t>IntechOpen</w:t>
      </w:r>
      <w:proofErr w:type="spellEnd"/>
      <w:r>
        <w:rPr>
          <w:rFonts w:cs="Times New Roman"/>
        </w:rPr>
        <w:t xml:space="preserve">, 2012, </w:t>
      </w:r>
      <w:proofErr w:type="spellStart"/>
      <w:r>
        <w:rPr>
          <w:rFonts w:cs="Times New Roman"/>
        </w:rPr>
        <w:t>ch.</w:t>
      </w:r>
      <w:proofErr w:type="spellEnd"/>
      <w:r>
        <w:rPr>
          <w:rFonts w:cs="Times New Roman"/>
        </w:rPr>
        <w:t>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lastRenderedPageBreak/>
        <w:t>[</w:t>
      </w:r>
      <w:bookmarkStart w:id="53" w:name="BIB_xiejingzhangxuduanxu_2b2021_2b172_2b"/>
      <w:r>
        <w:rPr>
          <w:rFonts w:cs="Times New Roman"/>
        </w:rPr>
        <w:t>7</w:t>
      </w:r>
      <w:bookmarkStart w:id="54" w:name="B4B_xiejingzhangxuduanxu_2b2021_2b172_2b"/>
      <w:bookmarkEnd w:id="53"/>
      <w:bookmarkEnd w:id="54"/>
      <w:r>
        <w:rPr>
          <w:rFonts w:cs="Times New Roman"/>
        </w:rPr>
        <w:t>]</w:t>
      </w:r>
      <w:r>
        <w:rPr>
          <w:rFonts w:cs="Times New Roman"/>
        </w:rPr>
        <w:tab/>
        <w:t>J. </w:t>
      </w:r>
      <w:proofErr w:type="spellStart"/>
      <w:r>
        <w:rPr>
          <w:rFonts w:cs="Times New Roman"/>
        </w:rPr>
        <w:t>Xie</w:t>
      </w:r>
      <w:proofErr w:type="spellEnd"/>
      <w:r>
        <w:rPr>
          <w:rFonts w:cs="Times New Roman"/>
        </w:rPr>
        <w:t>, C. Jing, Z. Zhang, J. Xu, Y. </w:t>
      </w:r>
      <w:proofErr w:type="spellStart"/>
      <w:r>
        <w:rPr>
          <w:rFonts w:cs="Times New Roman"/>
        </w:rPr>
        <w:t>Duan</w:t>
      </w:r>
      <w:proofErr w:type="spellEnd"/>
      <w:r>
        <w:rPr>
          <w:rFonts w:cs="Times New Roman"/>
        </w:rPr>
        <w:t xml:space="preserve">,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55" w:name="BIB_ovechkin2001thermovisual"/>
      <w:r>
        <w:rPr>
          <w:rFonts w:cs="Times New Roman"/>
        </w:rPr>
        <w:t>8</w:t>
      </w:r>
      <w:bookmarkStart w:id="56" w:name="B4B_ovechkin2001thermovisual"/>
      <w:bookmarkEnd w:id="55"/>
      <w:bookmarkEnd w:id="56"/>
      <w:r>
        <w:rPr>
          <w:rFonts w:cs="Times New Roman"/>
        </w:rPr>
        <w:t>]</w:t>
      </w:r>
      <w:r>
        <w:rPr>
          <w:rFonts w:cs="Times New Roman"/>
        </w:rPr>
        <w:tab/>
        <w:t>A. Ovechkin, S.-M. Lee, and K.-S. Kim, “</w:t>
      </w:r>
      <w:proofErr w:type="spellStart"/>
      <w:r>
        <w:rPr>
          <w:rFonts w:cs="Times New Roman"/>
        </w:rPr>
        <w:t>Thermovisual</w:t>
      </w:r>
      <w:proofErr w:type="spellEnd"/>
      <w:r>
        <w:rPr>
          <w:rFonts w:cs="Times New Roman"/>
        </w:rPr>
        <w:t xml:space="preserve">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57" w:name="BIB_wei2021portable"/>
      <w:r>
        <w:rPr>
          <w:rFonts w:cs="Times New Roman"/>
        </w:rPr>
        <w:t>9</w:t>
      </w:r>
      <w:bookmarkStart w:id="58" w:name="B4B_wei2021portable"/>
      <w:bookmarkEnd w:id="57"/>
      <w:bookmarkEnd w:id="58"/>
      <w:r>
        <w:rPr>
          <w:rFonts w:cs="Times New Roman"/>
        </w:rPr>
        <w:t>]</w:t>
      </w:r>
      <w:r>
        <w:rPr>
          <w:rFonts w:cs="Times New Roman"/>
        </w:rPr>
        <w:tab/>
        <w:t>M. Wei, Z. Chen, G. Chen, X. Huang, Y. </w:t>
      </w:r>
      <w:proofErr w:type="spellStart"/>
      <w:r>
        <w:rPr>
          <w:rFonts w:cs="Times New Roman"/>
        </w:rPr>
        <w:t>Jin</w:t>
      </w:r>
      <w:proofErr w:type="spellEnd"/>
      <w:r>
        <w:rPr>
          <w:rFonts w:cs="Times New Roman"/>
        </w:rPr>
        <w:t xml:space="preserve">, K. Lao, Z. Li, S. Li, F. Zhong, H. Liang </w:t>
      </w:r>
      <w:r>
        <w:rPr>
          <w:rFonts w:cs="Times New Roman"/>
          <w:i/>
        </w:rPr>
        <w:t>et al.</w:t>
      </w:r>
      <w:r>
        <w:rPr>
          <w:rFonts w:cs="Times New Roman"/>
        </w:rPr>
        <w:t xml:space="preserve">, “A portable three-channel data collector for </w:t>
      </w:r>
      <w:proofErr w:type="spellStart"/>
      <w:r>
        <w:rPr>
          <w:rFonts w:cs="Times New Roman"/>
        </w:rPr>
        <w:t>chinese</w:t>
      </w:r>
      <w:proofErr w:type="spellEnd"/>
      <w:r>
        <w:rPr>
          <w:rFonts w:cs="Times New Roman"/>
        </w:rPr>
        <w:t xml:space="preserv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t>[</w:t>
      </w:r>
      <w:bookmarkStart w:id="59" w:name="BIB_hu_3a2021"/>
      <w:r>
        <w:rPr>
          <w:rFonts w:cs="Times New Roman"/>
        </w:rPr>
        <w:t>10</w:t>
      </w:r>
      <w:bookmarkStart w:id="60" w:name="B4B_hu_3a2021"/>
      <w:bookmarkEnd w:id="59"/>
      <w:bookmarkEnd w:id="60"/>
      <w:r>
        <w:rPr>
          <w:rFonts w:cs="Times New Roman"/>
        </w:rPr>
        <w:t>]</w:t>
      </w:r>
      <w:r>
        <w:rPr>
          <w:rFonts w:cs="Times New Roman"/>
        </w:rPr>
        <w:tab/>
        <w:t>X. Hu, S. Peng, H. Hou, N. Yang, Y. </w:t>
      </w:r>
      <w:proofErr w:type="spellStart"/>
      <w:r>
        <w:rPr>
          <w:rFonts w:cs="Times New Roman"/>
        </w:rPr>
        <w:t>Lv</w:t>
      </w:r>
      <w:proofErr w:type="spellEnd"/>
      <w:r>
        <w:rPr>
          <w:rFonts w:cs="Times New Roman"/>
        </w:rPr>
        <w:t xml:space="preserve">,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61" w:name="BIB_schulz_3a2011"/>
      <w:r>
        <w:rPr>
          <w:rFonts w:cs="Times New Roman"/>
        </w:rPr>
        <w:t>11</w:t>
      </w:r>
      <w:bookmarkStart w:id="62" w:name="B4B_schulz_3a2011"/>
      <w:bookmarkEnd w:id="61"/>
      <w:bookmarkEnd w:id="62"/>
      <w:r>
        <w:rPr>
          <w:rFonts w:cs="Times New Roman"/>
        </w:rPr>
        <w:t>]</w:t>
      </w:r>
      <w:r>
        <w:rPr>
          <w:rFonts w:cs="Times New Roman"/>
        </w:rPr>
        <w:tab/>
        <w:t>H.-J. Schulz, S. </w:t>
      </w:r>
      <w:proofErr w:type="spellStart"/>
      <w:r>
        <w:rPr>
          <w:rFonts w:cs="Times New Roman"/>
        </w:rPr>
        <w:t>Hadlak</w:t>
      </w:r>
      <w:proofErr w:type="spellEnd"/>
      <w:r>
        <w:rPr>
          <w:rFonts w:cs="Times New Roman"/>
        </w:rPr>
        <w:t xml:space="preserve">,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t>[</w:t>
      </w:r>
      <w:bookmarkStart w:id="63" w:name="BIB_johnson_3a1991"/>
      <w:r>
        <w:rPr>
          <w:rFonts w:cs="Times New Roman"/>
        </w:rPr>
        <w:t>12</w:t>
      </w:r>
      <w:bookmarkStart w:id="64" w:name="B4B_johnson_3a1991"/>
      <w:bookmarkEnd w:id="63"/>
      <w:bookmarkEnd w:id="64"/>
      <w:r>
        <w:rPr>
          <w:rFonts w:cs="Times New Roman"/>
        </w:rPr>
        <w:t>]</w:t>
      </w:r>
      <w:r>
        <w:rPr>
          <w:rFonts w:cs="Times New Roman"/>
        </w:rPr>
        <w:tab/>
        <w:t>B. Johnson and B. </w:t>
      </w:r>
      <w:proofErr w:type="spellStart"/>
      <w:r>
        <w:rPr>
          <w:rFonts w:cs="Times New Roman"/>
        </w:rPr>
        <w:t>Shneiderman</w:t>
      </w:r>
      <w:proofErr w:type="spellEnd"/>
      <w:r>
        <w:rPr>
          <w:rFonts w:cs="Times New Roman"/>
        </w:rPr>
        <w:t xml:space="preserve">,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65" w:name="BIB_shneiderman1992"/>
      <w:r>
        <w:rPr>
          <w:rFonts w:cs="Times New Roman"/>
        </w:rPr>
        <w:t>13</w:t>
      </w:r>
      <w:bookmarkStart w:id="66" w:name="B4B_shneiderman1992"/>
      <w:bookmarkEnd w:id="65"/>
      <w:bookmarkEnd w:id="66"/>
      <w:r>
        <w:rPr>
          <w:rFonts w:cs="Times New Roman"/>
        </w:rPr>
        <w:t>]</w:t>
      </w:r>
      <w:r>
        <w:rPr>
          <w:rFonts w:cs="Times New Roman"/>
        </w:rPr>
        <w:tab/>
        <w:t>B. </w:t>
      </w:r>
      <w:proofErr w:type="spellStart"/>
      <w:r>
        <w:rPr>
          <w:rFonts w:cs="Times New Roman"/>
        </w:rPr>
        <w:t>Shneiderman</w:t>
      </w:r>
      <w:proofErr w:type="spellEnd"/>
      <w:r>
        <w:rPr>
          <w:rFonts w:cs="Times New Roman"/>
        </w:rPr>
        <w:t xml:space="preserve">,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67" w:name="BIB_kruskal_3a1983"/>
      <w:r>
        <w:rPr>
          <w:rFonts w:cs="Times New Roman"/>
        </w:rPr>
        <w:t>14</w:t>
      </w:r>
      <w:bookmarkStart w:id="68" w:name="B4B_kruskal_3a1983"/>
      <w:bookmarkEnd w:id="67"/>
      <w:bookmarkEnd w:id="68"/>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69" w:name="BIB_auber2013"/>
      <w:r>
        <w:rPr>
          <w:rFonts w:cs="Times New Roman"/>
        </w:rPr>
        <w:t>15</w:t>
      </w:r>
      <w:bookmarkStart w:id="70" w:name="B4B_auber2013"/>
      <w:bookmarkEnd w:id="69"/>
      <w:bookmarkEnd w:id="70"/>
      <w:r>
        <w:rPr>
          <w:rFonts w:cs="Times New Roman"/>
        </w:rPr>
        <w:t>]</w:t>
      </w:r>
      <w:r>
        <w:rPr>
          <w:rFonts w:cs="Times New Roman"/>
        </w:rPr>
        <w:tab/>
        <w:t>D. Auber, C. </w:t>
      </w:r>
      <w:proofErr w:type="spellStart"/>
      <w:r>
        <w:rPr>
          <w:rFonts w:cs="Times New Roman"/>
        </w:rPr>
        <w:t>Huet</w:t>
      </w:r>
      <w:proofErr w:type="spellEnd"/>
      <w:r>
        <w:rPr>
          <w:rFonts w:cs="Times New Roman"/>
        </w:rPr>
        <w:t>, A. Lambert, B. </w:t>
      </w:r>
      <w:proofErr w:type="spellStart"/>
      <w:r>
        <w:rPr>
          <w:rFonts w:cs="Times New Roman"/>
        </w:rPr>
        <w:t>Renoust</w:t>
      </w:r>
      <w:proofErr w:type="spellEnd"/>
      <w:r>
        <w:rPr>
          <w:rFonts w:cs="Times New Roman"/>
        </w:rPr>
        <w:t>, A. </w:t>
      </w:r>
      <w:proofErr w:type="spellStart"/>
      <w:r>
        <w:rPr>
          <w:rFonts w:cs="Times New Roman"/>
        </w:rPr>
        <w:t>Sallaberry</w:t>
      </w:r>
      <w:proofErr w:type="spellEnd"/>
      <w:r>
        <w:rPr>
          <w:rFonts w:cs="Times New Roman"/>
        </w:rPr>
        <w:t>, and A. Saulnier, “</w:t>
      </w:r>
      <w:proofErr w:type="spellStart"/>
      <w:r>
        <w:rPr>
          <w:rFonts w:cs="Times New Roman"/>
        </w:rPr>
        <w:t>Gospermap</w:t>
      </w:r>
      <w:proofErr w:type="spellEnd"/>
      <w:r>
        <w:rPr>
          <w:rFonts w:cs="Times New Roman"/>
        </w:rPr>
        <w:t xml:space="preserve">: Using a </w:t>
      </w:r>
      <w:proofErr w:type="spellStart"/>
      <w:r>
        <w:rPr>
          <w:rFonts w:cs="Times New Roman"/>
        </w:rPr>
        <w:t>gosper</w:t>
      </w:r>
      <w:proofErr w:type="spellEnd"/>
      <w:r>
        <w:rPr>
          <w:rFonts w:cs="Times New Roman"/>
        </w:rPr>
        <w:t xml:space="preserve">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71" w:name="BIB_vanwijk1999"/>
      <w:r>
        <w:rPr>
          <w:rFonts w:cs="Times New Roman"/>
        </w:rPr>
        <w:t>16</w:t>
      </w:r>
      <w:bookmarkStart w:id="72" w:name="B4B_vanwijk1999"/>
      <w:bookmarkEnd w:id="71"/>
      <w:bookmarkEnd w:id="72"/>
      <w:r>
        <w:rPr>
          <w:rFonts w:cs="Times New Roman"/>
        </w:rPr>
        <w:t>]</w:t>
      </w:r>
      <w:r>
        <w:rPr>
          <w:rFonts w:cs="Times New Roman"/>
        </w:rPr>
        <w:tab/>
        <w:t>J. Van </w:t>
      </w:r>
      <w:proofErr w:type="spellStart"/>
      <w:r>
        <w:rPr>
          <w:rFonts w:cs="Times New Roman"/>
        </w:rPr>
        <w:t>Wijk</w:t>
      </w:r>
      <w:proofErr w:type="spellEnd"/>
      <w:r>
        <w:rPr>
          <w:rFonts w:cs="Times New Roman"/>
        </w:rPr>
        <w:t xml:space="preserve"> and H. Van de </w:t>
      </w:r>
      <w:proofErr w:type="spellStart"/>
      <w:r>
        <w:rPr>
          <w:rFonts w:cs="Times New Roman"/>
        </w:rPr>
        <w:t>Wetering</w:t>
      </w:r>
      <w:proofErr w:type="spellEnd"/>
      <w:r>
        <w:rPr>
          <w:rFonts w:cs="Times New Roman"/>
        </w:rPr>
        <w:t xml:space="preserve">, “Cushion </w:t>
      </w:r>
      <w:proofErr w:type="spellStart"/>
      <w:r>
        <w:rPr>
          <w:rFonts w:cs="Times New Roman"/>
        </w:rPr>
        <w:t>treemaps</w:t>
      </w:r>
      <w:proofErr w:type="spellEnd"/>
      <w:r>
        <w:rPr>
          <w:rFonts w:cs="Times New Roman"/>
        </w:rPr>
        <w:t xml:space="preserve">: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73" w:name="BIB_bruls2000"/>
      <w:r>
        <w:rPr>
          <w:rFonts w:cs="Times New Roman"/>
        </w:rPr>
        <w:t>17</w:t>
      </w:r>
      <w:bookmarkStart w:id="74" w:name="B4B_bruls2000"/>
      <w:bookmarkEnd w:id="73"/>
      <w:bookmarkEnd w:id="74"/>
      <w:r>
        <w:rPr>
          <w:rFonts w:cs="Times New Roman"/>
        </w:rPr>
        <w:t>]</w:t>
      </w:r>
      <w:r>
        <w:rPr>
          <w:rFonts w:cs="Times New Roman"/>
        </w:rPr>
        <w:tab/>
        <w:t>M. </w:t>
      </w:r>
      <w:proofErr w:type="spellStart"/>
      <w:r>
        <w:rPr>
          <w:rFonts w:cs="Times New Roman"/>
        </w:rPr>
        <w:t>Bruls</w:t>
      </w:r>
      <w:proofErr w:type="spellEnd"/>
      <w:r>
        <w:rPr>
          <w:rFonts w:cs="Times New Roman"/>
        </w:rPr>
        <w:t>, K. </w:t>
      </w:r>
      <w:proofErr w:type="spellStart"/>
      <w:r>
        <w:rPr>
          <w:rFonts w:cs="Times New Roman"/>
        </w:rPr>
        <w:t>Huizing</w:t>
      </w:r>
      <w:proofErr w:type="spellEnd"/>
      <w:r>
        <w:rPr>
          <w:rFonts w:cs="Times New Roman"/>
        </w:rPr>
        <w:t xml:space="preserve">, and J. J. van </w:t>
      </w:r>
      <w:proofErr w:type="spellStart"/>
      <w:r>
        <w:rPr>
          <w:rFonts w:cs="Times New Roman"/>
        </w:rPr>
        <w:t>Wijk</w:t>
      </w:r>
      <w:proofErr w:type="spellEnd"/>
      <w:r>
        <w:rPr>
          <w:rFonts w:cs="Times New Roman"/>
        </w:rPr>
        <w:t>, “</w:t>
      </w:r>
      <w:proofErr w:type="spellStart"/>
      <w:r>
        <w:rPr>
          <w:rFonts w:cs="Times New Roman"/>
        </w:rPr>
        <w:t>Squarified</w:t>
      </w:r>
      <w:proofErr w:type="spellEnd"/>
      <w:r>
        <w:rPr>
          <w:rFonts w:cs="Times New Roman"/>
        </w:rPr>
        <w:t xml:space="preserve"> </w:t>
      </w:r>
      <w:proofErr w:type="spellStart"/>
      <w:r>
        <w:rPr>
          <w:rFonts w:cs="Times New Roman"/>
        </w:rPr>
        <w:t>treemaps</w:t>
      </w:r>
      <w:proofErr w:type="spellEnd"/>
      <w:r>
        <w:rPr>
          <w:rFonts w:cs="Times New Roman"/>
        </w:rPr>
        <w:t xml:space="preserve">,” in </w:t>
      </w:r>
      <w:r>
        <w:rPr>
          <w:rFonts w:cs="Times New Roman"/>
          <w:i/>
        </w:rPr>
        <w:t>Data Visualization 2000</w:t>
      </w:r>
      <w:r>
        <w:rPr>
          <w:rFonts w:cs="Times New Roman"/>
        </w:rPr>
        <w:t xml:space="preserve">, W. C. de Leeuw and R. van </w:t>
      </w:r>
      <w:proofErr w:type="spellStart"/>
      <w:r>
        <w:rPr>
          <w:rFonts w:cs="Times New Roman"/>
        </w:rPr>
        <w:t>Liere</w:t>
      </w:r>
      <w:proofErr w:type="spellEnd"/>
      <w:r>
        <w:rPr>
          <w:rFonts w:cs="Times New Roman"/>
        </w:rPr>
        <w:t>, Eds. Vienna: Springer Vienna, 2000, pp. 33–42.</w:t>
      </w:r>
    </w:p>
    <w:p w14:paraId="1A1A642A" w14:textId="77777777" w:rsidR="00065FDF" w:rsidRDefault="007C3805">
      <w:pPr>
        <w:pStyle w:val="af7"/>
        <w:rPr>
          <w:rFonts w:cs="Times New Roman"/>
        </w:rPr>
      </w:pPr>
      <w:r>
        <w:rPr>
          <w:rFonts w:cs="Times New Roman"/>
        </w:rPr>
        <w:t>[</w:t>
      </w:r>
      <w:bookmarkStart w:id="75" w:name="BIB_goertler2018"/>
      <w:r>
        <w:rPr>
          <w:rFonts w:cs="Times New Roman"/>
        </w:rPr>
        <w:t>18</w:t>
      </w:r>
      <w:bookmarkStart w:id="76" w:name="B4B_goertler2018"/>
      <w:bookmarkEnd w:id="75"/>
      <w:bookmarkEnd w:id="76"/>
      <w:r>
        <w:rPr>
          <w:rFonts w:cs="Times New Roman"/>
        </w:rPr>
        <w:t>]</w:t>
      </w:r>
      <w:r>
        <w:rPr>
          <w:rFonts w:cs="Times New Roman"/>
        </w:rPr>
        <w:tab/>
        <w:t>J. </w:t>
      </w:r>
      <w:proofErr w:type="spellStart"/>
      <w:r>
        <w:rPr>
          <w:rFonts w:cs="Times New Roman"/>
        </w:rPr>
        <w:t>Grtler</w:t>
      </w:r>
      <w:proofErr w:type="spellEnd"/>
      <w:r>
        <w:rPr>
          <w:rFonts w:cs="Times New Roman"/>
        </w:rPr>
        <w:t xml:space="preserve">, C. Schulz, D. Weiskopf, and O. Deussen, “Bubble </w:t>
      </w:r>
      <w:proofErr w:type="spellStart"/>
      <w:r>
        <w:rPr>
          <w:rFonts w:cs="Times New Roman"/>
        </w:rPr>
        <w:t>treemaps</w:t>
      </w:r>
      <w:proofErr w:type="spellEnd"/>
      <w:r>
        <w:rPr>
          <w:rFonts w:cs="Times New Roman"/>
        </w:rPr>
        <w:t xml:space="preserve">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77" w:name="BIB_maaten2008"/>
      <w:r>
        <w:rPr>
          <w:rFonts w:cs="Times New Roman"/>
        </w:rPr>
        <w:t>19</w:t>
      </w:r>
      <w:bookmarkStart w:id="78" w:name="B4B_maaten2008"/>
      <w:bookmarkEnd w:id="77"/>
      <w:bookmarkEnd w:id="78"/>
      <w:r>
        <w:rPr>
          <w:rFonts w:cs="Times New Roman"/>
        </w:rPr>
        <w:t>]</w:t>
      </w:r>
      <w:r>
        <w:rPr>
          <w:rFonts w:cs="Times New Roman"/>
        </w:rPr>
        <w:tab/>
        <w:t xml:space="preserve">L. van der </w:t>
      </w:r>
      <w:proofErr w:type="spellStart"/>
      <w:r>
        <w:rPr>
          <w:rFonts w:cs="Times New Roman"/>
        </w:rPr>
        <w:t>Maaten</w:t>
      </w:r>
      <w:proofErr w:type="spellEnd"/>
      <w:r>
        <w:rPr>
          <w:rFonts w:cs="Times New Roman"/>
        </w:rPr>
        <w:t xml:space="preserve"> and G. Hinton, “Visualizing data using t-</w:t>
      </w:r>
      <w:proofErr w:type="spellStart"/>
      <w:r>
        <w:rPr>
          <w:rFonts w:cs="Times New Roman"/>
        </w:rPr>
        <w:t>sne</w:t>
      </w:r>
      <w:proofErr w:type="spellEnd"/>
      <w:r>
        <w:rPr>
          <w:rFonts w:cs="Times New Roman"/>
        </w:rPr>
        <w:t xml:space="preserv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79" w:name="BIB_lee07"/>
      <w:r>
        <w:rPr>
          <w:rFonts w:cs="Times New Roman"/>
        </w:rPr>
        <w:t>20</w:t>
      </w:r>
      <w:bookmarkStart w:id="80" w:name="B4B_lee07"/>
      <w:bookmarkEnd w:id="79"/>
      <w:bookmarkEnd w:id="80"/>
      <w:r>
        <w:rPr>
          <w:rFonts w:cs="Times New Roman"/>
        </w:rPr>
        <w:t>]</w:t>
      </w:r>
      <w:r>
        <w:rPr>
          <w:rFonts w:cs="Times New Roman"/>
        </w:rPr>
        <w:tab/>
        <w:t>J. A. Lee and M. </w:t>
      </w:r>
      <w:proofErr w:type="spellStart"/>
      <w:r>
        <w:rPr>
          <w:rFonts w:cs="Times New Roman"/>
        </w:rPr>
        <w:t>Verleysen</w:t>
      </w:r>
      <w:proofErr w:type="spellEnd"/>
      <w:r>
        <w:rPr>
          <w:rFonts w:cs="Times New Roman"/>
        </w:rPr>
        <w:t xml:space="preserve">,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t>[</w:t>
      </w:r>
      <w:bookmarkStart w:id="81" w:name="BIB_cunningham2015"/>
      <w:r>
        <w:rPr>
          <w:rFonts w:cs="Times New Roman"/>
        </w:rPr>
        <w:t>21</w:t>
      </w:r>
      <w:bookmarkStart w:id="82" w:name="B4B_cunningham2015"/>
      <w:bookmarkEnd w:id="81"/>
      <w:bookmarkEnd w:id="82"/>
      <w:r>
        <w:rPr>
          <w:rFonts w:cs="Times New Roman"/>
        </w:rPr>
        <w:t>]</w:t>
      </w:r>
      <w:r>
        <w:rPr>
          <w:rFonts w:cs="Times New Roman"/>
        </w:rPr>
        <w:tab/>
        <w:t>J. P. Cunningham and Z. </w:t>
      </w:r>
      <w:proofErr w:type="spellStart"/>
      <w:r>
        <w:rPr>
          <w:rFonts w:cs="Times New Roman"/>
        </w:rPr>
        <w:t>Ghahramani</w:t>
      </w:r>
      <w:proofErr w:type="spellEnd"/>
      <w:r>
        <w:rPr>
          <w:rFonts w:cs="Times New Roman"/>
        </w:rPr>
        <w:t xml:space="preserve">,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lastRenderedPageBreak/>
        <w:t>[</w:t>
      </w:r>
      <w:bookmarkStart w:id="83" w:name="BIB_maaten09"/>
      <w:r>
        <w:rPr>
          <w:rFonts w:cs="Times New Roman"/>
        </w:rPr>
        <w:t>22</w:t>
      </w:r>
      <w:bookmarkStart w:id="84" w:name="B4B_maaten09"/>
      <w:bookmarkEnd w:id="83"/>
      <w:bookmarkEnd w:id="84"/>
      <w:r>
        <w:rPr>
          <w:rFonts w:cs="Times New Roman"/>
        </w:rPr>
        <w:t>]</w:t>
      </w:r>
      <w:r>
        <w:rPr>
          <w:rFonts w:cs="Times New Roman"/>
        </w:rPr>
        <w:tab/>
        <w:t xml:space="preserve">E. P. L. van der </w:t>
      </w:r>
      <w:proofErr w:type="spellStart"/>
      <w:r>
        <w:rPr>
          <w:rFonts w:cs="Times New Roman"/>
        </w:rPr>
        <w:t>Maaten</w:t>
      </w:r>
      <w:proofErr w:type="spellEnd"/>
      <w:r>
        <w:rPr>
          <w:rFonts w:cs="Times New Roman"/>
        </w:rPr>
        <w:t xml:space="preserve"> and H. van den </w:t>
      </w:r>
      <w:proofErr w:type="spellStart"/>
      <w:r>
        <w:rPr>
          <w:rFonts w:cs="Times New Roman"/>
        </w:rPr>
        <w:t>Herik</w:t>
      </w:r>
      <w:proofErr w:type="spellEnd"/>
      <w:r>
        <w:rPr>
          <w:rFonts w:cs="Times New Roman"/>
        </w:rPr>
        <w:t>,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85" w:name="BIB_mcinnes2018"/>
      <w:r>
        <w:rPr>
          <w:rFonts w:cs="Times New Roman"/>
        </w:rPr>
        <w:t>23</w:t>
      </w:r>
      <w:bookmarkStart w:id="86" w:name="B4B_mcinnes2018"/>
      <w:bookmarkEnd w:id="85"/>
      <w:bookmarkEnd w:id="86"/>
      <w:r>
        <w:rPr>
          <w:rFonts w:cs="Times New Roman"/>
        </w:rPr>
        <w:t>]</w:t>
      </w:r>
      <w:r>
        <w:rPr>
          <w:rFonts w:cs="Times New Roman"/>
        </w:rPr>
        <w:tab/>
        <w:t>L. McInnes, J. Healy, and J. Melville, “</w:t>
      </w:r>
      <w:proofErr w:type="spellStart"/>
      <w:r>
        <w:rPr>
          <w:rFonts w:cs="Times New Roman"/>
        </w:rPr>
        <w:t>Umap</w:t>
      </w:r>
      <w:proofErr w:type="spellEnd"/>
      <w:r>
        <w:rPr>
          <w:rFonts w:cs="Times New Roman"/>
        </w:rPr>
        <w:t>: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87" w:name="BIB_zhou2016"/>
      <w:r>
        <w:rPr>
          <w:rFonts w:cs="Times New Roman"/>
        </w:rPr>
        <w:t>24</w:t>
      </w:r>
      <w:bookmarkStart w:id="88" w:name="B4B_zhou2016"/>
      <w:bookmarkEnd w:id="87"/>
      <w:bookmarkEnd w:id="88"/>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89" w:name="BIB_robertson1986"/>
      <w:r>
        <w:rPr>
          <w:rFonts w:cs="Times New Roman"/>
        </w:rPr>
        <w:t>25</w:t>
      </w:r>
      <w:bookmarkStart w:id="90" w:name="B4B_robertson1986"/>
      <w:bookmarkEnd w:id="89"/>
      <w:bookmarkEnd w:id="90"/>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t>[</w:t>
      </w:r>
      <w:bookmarkStart w:id="91" w:name="BIB_levkowitz1992"/>
      <w:r>
        <w:rPr>
          <w:rFonts w:cs="Times New Roman"/>
        </w:rPr>
        <w:t>26</w:t>
      </w:r>
      <w:bookmarkStart w:id="92" w:name="B4B_levkowitz1992"/>
      <w:bookmarkEnd w:id="91"/>
      <w:bookmarkEnd w:id="92"/>
      <w:r>
        <w:rPr>
          <w:rFonts w:cs="Times New Roman"/>
        </w:rPr>
        <w:t>]</w:t>
      </w:r>
      <w:r>
        <w:rPr>
          <w:rFonts w:cs="Times New Roman"/>
        </w:rPr>
        <w:tab/>
        <w:t>H. </w:t>
      </w:r>
      <w:proofErr w:type="spellStart"/>
      <w:r>
        <w:rPr>
          <w:rFonts w:cs="Times New Roman"/>
        </w:rPr>
        <w:t>Levkowitz</w:t>
      </w:r>
      <w:proofErr w:type="spellEnd"/>
      <w:r>
        <w:rPr>
          <w:rFonts w:cs="Times New Roman"/>
        </w:rPr>
        <w:t xml:space="preserve">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93" w:name="BIB_cie2018"/>
      <w:r>
        <w:rPr>
          <w:rFonts w:cs="Times New Roman"/>
        </w:rPr>
        <w:t>27</w:t>
      </w:r>
      <w:bookmarkStart w:id="94" w:name="B4B_cie2018"/>
      <w:bookmarkEnd w:id="93"/>
      <w:bookmarkEnd w:id="94"/>
      <w:r>
        <w:rPr>
          <w:rFonts w:cs="Times New Roman"/>
        </w:rPr>
        <w:t>]</w:t>
      </w:r>
      <w:r>
        <w:rPr>
          <w:rFonts w:cs="Times New Roman"/>
        </w:rPr>
        <w:tab/>
        <w:t xml:space="preserve">CIE, “Colorimetry, 4th edition,” </w:t>
      </w:r>
      <w:proofErr w:type="spellStart"/>
      <w:r>
        <w:rPr>
          <w:rFonts w:cs="Times New Roman"/>
        </w:rPr>
        <w:t>Commision</w:t>
      </w:r>
      <w:proofErr w:type="spellEnd"/>
      <w:r>
        <w:rPr>
          <w:rFonts w:cs="Times New Roman"/>
        </w:rPr>
        <w:t xml:space="preserve"> </w:t>
      </w:r>
      <w:proofErr w:type="spellStart"/>
      <w:r>
        <w:rPr>
          <w:rFonts w:cs="Times New Roman"/>
        </w:rPr>
        <w:t>Internationale</w:t>
      </w:r>
      <w:proofErr w:type="spellEnd"/>
      <w:r>
        <w:rPr>
          <w:rFonts w:cs="Times New Roman"/>
        </w:rPr>
        <w:t xml:space="preserve"> de </w:t>
      </w:r>
      <w:proofErr w:type="spellStart"/>
      <w:r>
        <w:rPr>
          <w:rFonts w:cs="Times New Roman"/>
        </w:rPr>
        <w:t>l’Eclairage</w:t>
      </w:r>
      <w:proofErr w:type="spellEnd"/>
      <w:r>
        <w:rPr>
          <w:rFonts w:cs="Times New Roman"/>
        </w:rPr>
        <w:t>, Tech. Rep., 2018.</w:t>
      </w:r>
    </w:p>
    <w:p w14:paraId="51840021" w14:textId="77777777" w:rsidR="00065FDF" w:rsidRDefault="007C3805">
      <w:pPr>
        <w:pStyle w:val="af7"/>
        <w:rPr>
          <w:rFonts w:cs="Times New Roman"/>
        </w:rPr>
      </w:pPr>
      <w:r>
        <w:rPr>
          <w:rFonts w:cs="Times New Roman"/>
        </w:rPr>
        <w:t>[</w:t>
      </w:r>
      <w:bookmarkStart w:id="95" w:name="BIB_luo2006"/>
      <w:r>
        <w:rPr>
          <w:rFonts w:cs="Times New Roman"/>
        </w:rPr>
        <w:t>28</w:t>
      </w:r>
      <w:bookmarkStart w:id="96" w:name="B4B_luo2006"/>
      <w:bookmarkEnd w:id="95"/>
      <w:bookmarkEnd w:id="96"/>
      <w:r>
        <w:rPr>
          <w:rFonts w:cs="Times New Roman"/>
        </w:rPr>
        <w:t>]</w:t>
      </w:r>
      <w:r>
        <w:rPr>
          <w:rFonts w:cs="Times New Roman"/>
        </w:rPr>
        <w:tab/>
        <w:t xml:space="preserve">M. R. Luo, G. Cui, and C. Li, “Uniform </w:t>
      </w:r>
      <w:proofErr w:type="spellStart"/>
      <w:r>
        <w:rPr>
          <w:rFonts w:cs="Times New Roman"/>
        </w:rPr>
        <w:t>colour</w:t>
      </w:r>
      <w:proofErr w:type="spellEnd"/>
      <w:r>
        <w:rPr>
          <w:rFonts w:cs="Times New Roman"/>
        </w:rPr>
        <w:t xml:space="preserve"> spaces based on ciecam02 </w:t>
      </w:r>
      <w:proofErr w:type="spellStart"/>
      <w:r>
        <w:rPr>
          <w:rFonts w:cs="Times New Roman"/>
        </w:rPr>
        <w:t>colour</w:t>
      </w:r>
      <w:proofErr w:type="spellEnd"/>
      <w:r>
        <w:rPr>
          <w:rFonts w:cs="Times New Roman"/>
        </w:rPr>
        <w:t xml:space="preserve"> appearance model,” </w:t>
      </w:r>
      <w:r>
        <w:rPr>
          <w:rFonts w:cs="Times New Roman"/>
          <w:i/>
        </w:rPr>
        <w:t>Color Research &amp; Application</w:t>
      </w:r>
      <w:r>
        <w:rPr>
          <w:rFonts w:cs="Times New Roman"/>
        </w:rPr>
        <w:t>, vol. 31, no. 4, pp. 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97" w:name="BIB_moroney2002"/>
      <w:r>
        <w:rPr>
          <w:rFonts w:cs="Times New Roman"/>
        </w:rPr>
        <w:t>29</w:t>
      </w:r>
      <w:bookmarkStart w:id="98" w:name="B4B_moroney2002"/>
      <w:bookmarkEnd w:id="97"/>
      <w:bookmarkEnd w:id="98"/>
      <w:r>
        <w:rPr>
          <w:rFonts w:cs="Times New Roman"/>
        </w:rPr>
        <w:t>]</w:t>
      </w:r>
      <w:r>
        <w:rPr>
          <w:rFonts w:cs="Times New Roman"/>
        </w:rPr>
        <w:tab/>
        <w:t>N. Moroney, M. Fairchild, R. Hunt, l. </w:t>
      </w:r>
      <w:proofErr w:type="spellStart"/>
      <w:r>
        <w:rPr>
          <w:rFonts w:cs="Times New Roman"/>
        </w:rPr>
        <w:t>Changjun</w:t>
      </w:r>
      <w:proofErr w:type="spellEnd"/>
      <w:r>
        <w:rPr>
          <w:rFonts w:cs="Times New Roman"/>
        </w:rPr>
        <w:t>,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99" w:name="BIB_xuming2016538"/>
      <w:r>
        <w:rPr>
          <w:rFonts w:cs="Times New Roman"/>
        </w:rPr>
        <w:t>30</w:t>
      </w:r>
      <w:bookmarkStart w:id="100" w:name="B4B_xuming2016538"/>
      <w:bookmarkEnd w:id="99"/>
      <w:bookmarkEnd w:id="100"/>
      <w:r>
        <w:rPr>
          <w:rFonts w:cs="Times New Roman"/>
        </w:rPr>
        <w:t>]</w:t>
      </w:r>
      <w:r>
        <w:rPr>
          <w:rFonts w:cs="Times New Roman"/>
        </w:rPr>
        <w:tab/>
        <w:t>Y. </w:t>
      </w:r>
      <w:proofErr w:type="spellStart"/>
      <w:r>
        <w:rPr>
          <w:rFonts w:cs="Times New Roman"/>
        </w:rPr>
        <w:t>Xuming</w:t>
      </w:r>
      <w:proofErr w:type="spellEnd"/>
      <w:r>
        <w:rPr>
          <w:rFonts w:cs="Times New Roman"/>
        </w:rPr>
        <w:t>, Q. </w:t>
      </w:r>
      <w:proofErr w:type="spellStart"/>
      <w:r>
        <w:rPr>
          <w:rFonts w:cs="Times New Roman"/>
        </w:rPr>
        <w:t>Mingyuan</w:t>
      </w:r>
      <w:proofErr w:type="spellEnd"/>
      <w:r>
        <w:rPr>
          <w:rFonts w:cs="Times New Roman"/>
        </w:rPr>
        <w:t>, L. Qian, C. Li, Y. </w:t>
      </w:r>
      <w:proofErr w:type="spellStart"/>
      <w:r>
        <w:rPr>
          <w:rFonts w:cs="Times New Roman"/>
        </w:rPr>
        <w:t>Zhongyi</w:t>
      </w:r>
      <w:proofErr w:type="spellEnd"/>
      <w:r>
        <w:rPr>
          <w:rFonts w:cs="Times New Roman"/>
        </w:rPr>
        <w:t>, and Y. Lin, “Information integration research on cumulative effect of ‘</w:t>
      </w:r>
      <w:proofErr w:type="spellStart"/>
      <w:r>
        <w:rPr>
          <w:rFonts w:cs="Times New Roman"/>
        </w:rPr>
        <w:t>siqi</w:t>
      </w:r>
      <w:proofErr w:type="spellEnd"/>
      <w:r>
        <w:rPr>
          <w:rFonts w:cs="Times New Roman"/>
        </w:rPr>
        <w:t xml:space="preserve">, </w:t>
      </w:r>
      <w:proofErr w:type="spellStart"/>
      <w:r>
        <w:rPr>
          <w:rFonts w:cs="Times New Roman"/>
        </w:rPr>
        <w:t>wuwei</w:t>
      </w:r>
      <w:proofErr w:type="spellEnd"/>
      <w:r>
        <w:rPr>
          <w:rFonts w:cs="Times New Roman"/>
        </w:rPr>
        <w:t xml:space="preserve">, and </w:t>
      </w:r>
      <w:proofErr w:type="spellStart"/>
      <w:r>
        <w:rPr>
          <w:rFonts w:cs="Times New Roman"/>
        </w:rPr>
        <w:t>guijing</w:t>
      </w:r>
      <w:proofErr w:type="spellEnd"/>
      <w:r>
        <w:rPr>
          <w:rFonts w:cs="Times New Roman"/>
        </w:rPr>
        <w:t xml:space="preserve">’ in traditional </w:t>
      </w:r>
      <w:proofErr w:type="spellStart"/>
      <w:r>
        <w:rPr>
          <w:rFonts w:cs="Times New Roman"/>
        </w:rPr>
        <w:t>chinese</w:t>
      </w:r>
      <w:proofErr w:type="spellEnd"/>
      <w:r>
        <w:rPr>
          <w:rFonts w:cs="Times New Roman"/>
        </w:rPr>
        <w:t xml:space="preserv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101" w:name="BIB_fangjixue"/>
      <w:r>
        <w:rPr>
          <w:rFonts w:cs="Times New Roman"/>
        </w:rPr>
        <w:t>31</w:t>
      </w:r>
      <w:bookmarkStart w:id="102" w:name="B4B_fangjixue"/>
      <w:bookmarkEnd w:id="101"/>
      <w:bookmarkEnd w:id="102"/>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103" w:name="BIB_wu2019"/>
      <w:r>
        <w:rPr>
          <w:rFonts w:cs="Times New Roman"/>
        </w:rPr>
        <w:t>32</w:t>
      </w:r>
      <w:bookmarkStart w:id="104" w:name="B4B_wu2019"/>
      <w:bookmarkEnd w:id="103"/>
      <w:bookmarkEnd w:id="104"/>
      <w:r>
        <w:rPr>
          <w:rFonts w:cs="Times New Roman"/>
        </w:rPr>
        <w:t>]</w:t>
      </w:r>
      <w:r>
        <w:rPr>
          <w:rFonts w:cs="Times New Roman"/>
        </w:rPr>
        <w:tab/>
        <w:t xml:space="preserve">Y. Wu, F. Zhang, K. Yang, S. Fang, D. Bu, H. Li, L. Sun, H. Hu, K. Gao, W. Wang </w:t>
      </w:r>
      <w:r>
        <w:rPr>
          <w:rFonts w:cs="Times New Roman"/>
          <w:i/>
        </w:rPr>
        <w:t>et al.</w:t>
      </w:r>
      <w:r>
        <w:rPr>
          <w:rFonts w:cs="Times New Roman"/>
        </w:rPr>
        <w:t>, “</w:t>
      </w:r>
      <w:proofErr w:type="spellStart"/>
      <w:r>
        <w:rPr>
          <w:rFonts w:cs="Times New Roman"/>
        </w:rPr>
        <w:t>Symmap</w:t>
      </w:r>
      <w:proofErr w:type="spellEnd"/>
      <w:r>
        <w:rPr>
          <w:rFonts w:cs="Times New Roman"/>
        </w:rPr>
        <w:t xml:space="preserve">: an integrative database of traditional </w:t>
      </w:r>
      <w:proofErr w:type="spellStart"/>
      <w:r>
        <w:rPr>
          <w:rFonts w:cs="Times New Roman"/>
        </w:rPr>
        <w:t>chinese</w:t>
      </w:r>
      <w:proofErr w:type="spellEnd"/>
      <w:r>
        <w:rPr>
          <w:rFonts w:cs="Times New Roman"/>
        </w:rPr>
        <w:t xml:space="preserve"> medicine enhanced by symptom mapping,” </w:t>
      </w:r>
      <w:r>
        <w:rPr>
          <w:rFonts w:cs="Times New Roman"/>
          <w:i/>
        </w:rPr>
        <w:t>Nucleic acids research</w:t>
      </w:r>
      <w:r>
        <w:rPr>
          <w:rFonts w:cs="Times New Roman"/>
        </w:rPr>
        <w:t>, vol. 47, no. D1, pp. D1110–D1117, 2019.</w:t>
      </w:r>
    </w:p>
    <w:p w14:paraId="031381A6" w14:textId="77777777" w:rsidR="00065FDF" w:rsidRDefault="00065FDF">
      <w:pPr>
        <w:pStyle w:val="af7"/>
        <w:rPr>
          <w:rFonts w:cs="Times New Roman"/>
        </w:rPr>
      </w:pPr>
    </w:p>
    <w:p w14:paraId="1E6174C1" w14:textId="77777777" w:rsidR="00065FDF" w:rsidRDefault="00065FDF">
      <w:pPr>
        <w:pStyle w:val="af7"/>
        <w:rPr>
          <w:rFonts w:cs="Times New Roman"/>
        </w:rPr>
      </w:pPr>
    </w:p>
    <w:p w14:paraId="1BC8D37B" w14:textId="77777777" w:rsidR="00065FDF" w:rsidRDefault="00065FDF">
      <w:pPr>
        <w:pStyle w:val="af7"/>
        <w:rPr>
          <w:rFonts w:cs="Times New Roman"/>
        </w:rPr>
      </w:pPr>
    </w:p>
    <w:p w14:paraId="0265C51E" w14:textId="77777777" w:rsidR="00065FDF" w:rsidRDefault="00065FDF">
      <w:pPr>
        <w:pStyle w:val="af7"/>
        <w:rPr>
          <w:rFonts w:cs="Times New Roman"/>
        </w:rPr>
      </w:pPr>
    </w:p>
    <w:p w14:paraId="1547C28E" w14:textId="77777777" w:rsidR="00065FDF" w:rsidRDefault="00065FDF">
      <w:pPr>
        <w:pStyle w:val="af7"/>
        <w:rPr>
          <w:rFonts w:cs="Times New Roman"/>
        </w:rPr>
      </w:pP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105" w:name="Refformat"/>
      <w:bookmarkEnd w:id="105"/>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106" w:name="Refpublished"/>
      <w:bookmarkEnd w:id="106"/>
      <w:r>
        <w:rPr>
          <w:rFonts w:cs="Times New Roman"/>
          <w:b/>
        </w:rPr>
        <w:lastRenderedPageBreak/>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107" w:name="Field"/>
      <w:bookmarkEnd w:id="107"/>
      <w:r>
        <w:rPr>
          <w:rFonts w:cs="Times New Roman"/>
          <w:b/>
        </w:rPr>
        <w:t xml:space="preserve">Remove OLE elements </w:t>
      </w:r>
      <w:r>
        <w:rPr>
          <w:rFonts w:cs="Times New Roman"/>
        </w:rPr>
        <w:t xml:space="preserve">from reference management </w:t>
      </w:r>
      <w:proofErr w:type="spellStart"/>
      <w:r>
        <w:rPr>
          <w:rFonts w:cs="Times New Roman"/>
        </w:rPr>
        <w:t>softwares</w:t>
      </w:r>
      <w:proofErr w:type="spellEnd"/>
      <w:r>
        <w:rPr>
          <w:rFonts w:cs="Times New Roman"/>
        </w:rPr>
        <w:t xml:space="preserve"> such as Endnote and Reference Manager. Select the entire document (</w:t>
      </w:r>
      <w:proofErr w:type="spellStart"/>
      <w:r>
        <w:rPr>
          <w:rFonts w:cs="Times New Roman"/>
        </w:rPr>
        <w:t>Ctrl+A</w:t>
      </w:r>
      <w:proofErr w:type="spellEnd"/>
      <w:r>
        <w:rPr>
          <w:rFonts w:cs="Times New Roman"/>
        </w:rPr>
        <w:t xml:space="preserve"> or Command A), remove field codes (</w:t>
      </w:r>
      <w:r>
        <w:rPr>
          <w:rFonts w:cs="Times New Roman"/>
          <w:i/>
        </w:rPr>
        <w:t>Ctrl+Shift+F9</w:t>
      </w:r>
      <w:r>
        <w:rPr>
          <w:rFonts w:cs="Times New Roman"/>
        </w:rPr>
        <w:t xml:space="preserve"> or </w:t>
      </w:r>
      <w:r>
        <w:rPr>
          <w:rFonts w:cs="Times New Roman"/>
          <w:i/>
        </w:rPr>
        <w:t>Command+6</w:t>
      </w:r>
      <w:r>
        <w:rPr>
          <w:rFonts w:cs="Times New Roman"/>
        </w:rPr>
        <w:t xml:space="preserve">).  This is important for correct parsing of your reference list using </w:t>
      </w:r>
      <w:proofErr w:type="spellStart"/>
      <w:r>
        <w:rPr>
          <w:rFonts w:cs="Times New Roman"/>
        </w:rPr>
        <w:t>RefCheck</w:t>
      </w:r>
      <w:proofErr w:type="spellEnd"/>
      <w:r>
        <w:rPr>
          <w:rFonts w:cs="Times New Roman"/>
        </w:rPr>
        <w:t xml:space="preserve"> during copyediting. This is an automatic process, but please check for completeness 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108" w:name="Refjournal"/>
      <w:bookmarkEnd w:id="108"/>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proofErr w:type="spellStart"/>
      <w:r>
        <w:rPr>
          <w:rFonts w:cs="Times New Roman"/>
          <w:color w:val="0E0E0E"/>
        </w:rPr>
        <w:t>eg</w:t>
      </w:r>
      <w:proofErr w:type="spellEnd"/>
      <w:r>
        <w:rPr>
          <w:rFonts w:cs="Times New Roman"/>
          <w:color w:val="0E0E0E"/>
        </w:rPr>
        <w:t>,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 xml:space="preserve">(digital object identifier, </w:t>
      </w:r>
      <w:proofErr w:type="spellStart"/>
      <w:r>
        <w:rPr>
          <w:rFonts w:cs="Times New Roman"/>
          <w:bCs/>
          <w:color w:val="0E0E0E"/>
        </w:rPr>
        <w:t>eg</w:t>
      </w:r>
      <w:proofErr w:type="spellEnd"/>
      <w:r>
        <w:rPr>
          <w:rFonts w:cs="Times New Roman"/>
          <w:bCs/>
          <w:color w:val="0E0E0E"/>
        </w:rPr>
        <w:t>,</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Alternatively (as per our old instructions) you could append a [</w:t>
      </w:r>
      <w:hyperlink r:id="rId87"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8"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w:t>
      </w:r>
      <w:hyperlink r:id="rId89"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109" w:name="RefWeb"/>
      <w:bookmarkEnd w:id="109"/>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t>
      </w:r>
      <w:proofErr w:type="spellStart"/>
      <w:r>
        <w:rPr>
          <w:rFonts w:cs="Verdana"/>
          <w:b/>
          <w:color w:val="0E0E0E"/>
        </w:rPr>
        <w:t>webcited</w:t>
      </w:r>
      <w:proofErr w:type="spellEnd"/>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xml:space="preserve">. To </w:t>
      </w:r>
      <w:proofErr w:type="spellStart"/>
      <w:r>
        <w:rPr>
          <w:rFonts w:cs="Verdana"/>
          <w:color w:val="0E0E0E"/>
        </w:rPr>
        <w:t>webcite</w:t>
      </w:r>
      <w:proofErr w:type="spellEnd"/>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cite the archived copy (</w:t>
      </w:r>
      <w:proofErr w:type="spellStart"/>
      <w:r>
        <w:rPr>
          <w:rFonts w:cs="Verdana"/>
          <w:b/>
          <w:bCs/>
          <w:color w:val="0E0E0E"/>
        </w:rPr>
        <w:t>WebCite</w:t>
      </w:r>
      <w:proofErr w:type="spellEnd"/>
      <w:r>
        <w:rPr>
          <w:rFonts w:cs="Verdana"/>
          <w:b/>
          <w:bCs/>
          <w:color w:val="0E0E0E"/>
        </w:rPr>
        <w:t xml:space="preserv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90"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91"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w:t>
      </w:r>
      <w:proofErr w:type="spellStart"/>
      <w:r>
        <w:rPr>
          <w:rFonts w:cs="Verdana"/>
          <w:color w:val="0E0E0E"/>
        </w:rPr>
        <w:t>uncached</w:t>
      </w:r>
      <w:proofErr w:type="spellEnd"/>
      <w:r>
        <w:rPr>
          <w:rFonts w:cs="Verdana"/>
          <w:color w:val="0E0E0E"/>
        </w:rPr>
        <w:t xml:space="preserve"> "live" webpages and websites in the article or reference section, unless archiving with </w:t>
      </w:r>
      <w:proofErr w:type="spellStart"/>
      <w:r>
        <w:rPr>
          <w:rFonts w:cs="Verdana"/>
          <w:color w:val="0E0E0E"/>
        </w:rPr>
        <w:t>WebCite</w:t>
      </w:r>
      <w:proofErr w:type="spellEnd"/>
      <w:r>
        <w:rPr>
          <w:rFonts w:cs="Verdana"/>
          <w:color w:val="0E0E0E"/>
        </w:rPr>
        <w:t xml:space="preserve"> has failed. Provide both the original URL and the </w:t>
      </w:r>
      <w:proofErr w:type="spellStart"/>
      <w:r>
        <w:rPr>
          <w:rFonts w:cs="Verdana"/>
          <w:color w:val="0E0E0E"/>
        </w:rPr>
        <w:t>WebCite</w:t>
      </w:r>
      <w:proofErr w:type="spellEnd"/>
      <w:r>
        <w:rPr>
          <w:rFonts w:cs="Verdana"/>
          <w:color w:val="0E0E0E"/>
        </w:rPr>
        <w:t xml:space="preserve"> link</w:t>
      </w:r>
      <w:r>
        <w:rPr>
          <w:rFonts w:cs="Verdana"/>
          <w:color w:val="0E0E0E"/>
          <w:u w:color="296643"/>
        </w:rPr>
        <w:t>. 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110" w:name="Refbook"/>
      <w:bookmarkEnd w:id="110"/>
      <w:r>
        <w:rPr>
          <w:rFonts w:cs="Verdana"/>
          <w:b/>
          <w:bCs/>
          <w:color w:val="0E0E0E"/>
        </w:rPr>
        <w:t xml:space="preserve">For books, please add the ISBN, if known </w:t>
      </w:r>
      <w:r>
        <w:rPr>
          <w:rFonts w:cs="Verdana"/>
          <w:color w:val="0E0E0E"/>
        </w:rPr>
        <w:t>(no blanks). (</w:t>
      </w:r>
      <w:hyperlink r:id="rId92"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 xml:space="preserve">Iverson CL, </w:t>
      </w:r>
      <w:proofErr w:type="spellStart"/>
      <w:r>
        <w:rPr>
          <w:rFonts w:cs="Verdana"/>
          <w:color w:val="0E0E0E"/>
        </w:rPr>
        <w:t>Flanagin</w:t>
      </w:r>
      <w:proofErr w:type="spellEnd"/>
      <w:r>
        <w:rPr>
          <w:rFonts w:cs="Verdana"/>
          <w:color w:val="0E0E0E"/>
        </w:rPr>
        <w:t xml:space="preserve"> A, </w:t>
      </w:r>
      <w:proofErr w:type="spellStart"/>
      <w:r>
        <w:rPr>
          <w:rFonts w:cs="Verdana"/>
          <w:color w:val="0E0E0E"/>
        </w:rPr>
        <w:t>Fontanarosa</w:t>
      </w:r>
      <w:proofErr w:type="spellEnd"/>
      <w:r>
        <w:rPr>
          <w:rFonts w:cs="Verdana"/>
          <w:color w:val="0E0E0E"/>
        </w:rPr>
        <w:t xml:space="preserve">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lastRenderedPageBreak/>
        <w:t xml:space="preserve">Phillips SJ, </w:t>
      </w:r>
      <w:proofErr w:type="spellStart"/>
      <w:r>
        <w:rPr>
          <w:rFonts w:cs="Verdana"/>
          <w:color w:val="0E0E0E"/>
        </w:rPr>
        <w:t>Whisnant</w:t>
      </w:r>
      <w:proofErr w:type="spellEnd"/>
      <w:r>
        <w:rPr>
          <w:rFonts w:cs="Verdana"/>
          <w:color w:val="0E0E0E"/>
        </w:rPr>
        <w:t xml:space="preserve">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11" w:name="Refconference"/>
      <w:bookmarkEnd w:id="111"/>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w:t>
      </w:r>
      <w:proofErr w:type="spellStart"/>
      <w:r>
        <w:rPr>
          <w:rFonts w:cs="Verdana"/>
          <w:color w:val="0E0E0E"/>
        </w:rPr>
        <w:t>Shibasaki</w:t>
      </w:r>
      <w:proofErr w:type="spellEnd"/>
      <w:r>
        <w:rPr>
          <w:rFonts w:cs="Verdana"/>
          <w:color w:val="0E0E0E"/>
        </w:rPr>
        <w:t xml:space="preserve">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40"/>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Carmen" w:date="2013-02-15T15:23:00Z" w:initials="C">
    <w:p w14:paraId="22BF5AAF" w14:textId="77777777" w:rsidR="00B21B44" w:rsidRDefault="00B21B44">
      <w:pPr>
        <w:pStyle w:val="a5"/>
      </w:pPr>
      <w:r>
        <w:t xml:space="preserve">The list of keywords </w:t>
      </w:r>
      <w:proofErr w:type="gramStart"/>
      <w:r>
        <w:t>are</w:t>
      </w:r>
      <w:proofErr w:type="gramEnd"/>
      <w:r>
        <w:t xml:space="preserve"> also entered in the online metadata forms. </w:t>
      </w:r>
    </w:p>
  </w:comment>
  <w:comment w:id="8" w:author="Gunther Eysenbach" w:date="2017-03-03T11:07:00Z" w:initials="GE">
    <w:p w14:paraId="183F022B" w14:textId="77777777" w:rsidR="00B21B44" w:rsidRDefault="00B21B44">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22" w:author="Carmen" w:date="2013-02-28T16:56:00Z" w:initials="C">
    <w:p w14:paraId="7A6F6768" w14:textId="77777777" w:rsidR="00B21B44" w:rsidRDefault="00B21B44">
      <w:pPr>
        <w:pStyle w:val="a5"/>
      </w:pPr>
      <w:proofErr w:type="gramStart"/>
      <w:r>
        <w:t>A,B</w:t>
      </w:r>
      <w:proofErr w:type="gramEnd"/>
      <w:r>
        <w:t>,C parts to tables (</w:t>
      </w:r>
      <w:proofErr w:type="spellStart"/>
      <w:r>
        <w:t>eg</w:t>
      </w:r>
      <w:proofErr w:type="spellEnd"/>
      <w:r>
        <w:t>, Table 1A, 1B) are NOT acceptable.  Please renumber them as Tables 1 and 2 instead.  This is true for Textboxes, Tables, Figures, and Multimedia Appendices as well.</w:t>
      </w:r>
    </w:p>
  </w:comment>
  <w:comment w:id="23" w:author="Carmen" w:date="2013-02-15T16:30:00Z" w:initials="C">
    <w:p w14:paraId="249461CB" w14:textId="77777777" w:rsidR="00B21B44" w:rsidRDefault="00B21B44">
      <w:pPr>
        <w:pStyle w:val="a5"/>
      </w:pPr>
      <w:r>
        <w:t>Examples of units that are included in headings that apply to the whole column:</w:t>
      </w:r>
    </w:p>
    <w:p w14:paraId="7ECA230F" w14:textId="77777777" w:rsidR="00B21B44" w:rsidRDefault="00B21B44">
      <w:pPr>
        <w:pStyle w:val="a5"/>
        <w:rPr>
          <w:i/>
        </w:rPr>
      </w:pPr>
      <w:r>
        <w:rPr>
          <w:i/>
        </w:rPr>
        <w:t>P</w:t>
      </w:r>
    </w:p>
    <w:p w14:paraId="192A2309" w14:textId="77777777" w:rsidR="00B21B44" w:rsidRDefault="00B21B44">
      <w:pPr>
        <w:pStyle w:val="a5"/>
      </w:pPr>
      <w:r>
        <w:t>N=___</w:t>
      </w:r>
    </w:p>
    <w:p w14:paraId="4579329B" w14:textId="77777777" w:rsidR="00B21B44" w:rsidRDefault="00B21B44">
      <w:pPr>
        <w:pStyle w:val="a5"/>
      </w:pPr>
      <w:proofErr w:type="gramStart"/>
      <w:r>
        <w:t>n(</w:t>
      </w:r>
      <w:proofErr w:type="gramEnd"/>
      <w:r>
        <w:t>%)</w:t>
      </w:r>
    </w:p>
    <w:p w14:paraId="4B0C373D" w14:textId="77777777" w:rsidR="00B21B44" w:rsidRDefault="00B21B44">
      <w:pPr>
        <w:pStyle w:val="a5"/>
        <w:rPr>
          <w:i/>
        </w:rPr>
      </w:pPr>
      <w:r>
        <w:rPr>
          <w:i/>
        </w:rPr>
        <w:t>r</w:t>
      </w:r>
      <w:r>
        <w:rPr>
          <w:i/>
          <w:vertAlign w:val="superscript"/>
        </w:rPr>
        <w:t>2</w:t>
      </w:r>
    </w:p>
    <w:p w14:paraId="6EFE5BBD" w14:textId="77777777" w:rsidR="00B21B44" w:rsidRDefault="00B21B44">
      <w:pPr>
        <w:pStyle w:val="a5"/>
        <w:rPr>
          <w:i/>
        </w:rPr>
      </w:pPr>
      <w:r>
        <w:rPr>
          <w:i/>
        </w:rPr>
        <w:t>r</w:t>
      </w:r>
    </w:p>
    <w:p w14:paraId="1AF1282F" w14:textId="77777777" w:rsidR="00B21B44" w:rsidRDefault="00B21B44">
      <w:pPr>
        <w:pStyle w:val="a5"/>
        <w:rPr>
          <w:vertAlign w:val="subscript"/>
        </w:rPr>
      </w:pPr>
      <w:proofErr w:type="spellStart"/>
      <w:r>
        <w:rPr>
          <w:i/>
        </w:rPr>
        <w:t>t</w:t>
      </w:r>
      <w:r>
        <w:rPr>
          <w:vertAlign w:val="subscript"/>
        </w:rPr>
        <w:t>degrees</w:t>
      </w:r>
      <w:proofErr w:type="spellEnd"/>
      <w:r>
        <w:rPr>
          <w:vertAlign w:val="subscript"/>
        </w:rPr>
        <w:t xml:space="preserve"> of freedom</w:t>
      </w:r>
    </w:p>
    <w:p w14:paraId="7EEB421E" w14:textId="77777777" w:rsidR="00B21B44" w:rsidRDefault="00B21B44">
      <w:pPr>
        <w:pStyle w:val="a5"/>
        <w:rPr>
          <w:vertAlign w:val="subscript"/>
        </w:rPr>
      </w:pPr>
      <w:proofErr w:type="spellStart"/>
      <w:r>
        <w:rPr>
          <w:i/>
        </w:rPr>
        <w:t>F</w:t>
      </w:r>
      <w:r>
        <w:rPr>
          <w:vertAlign w:val="subscript"/>
        </w:rPr>
        <w:t>degrees</w:t>
      </w:r>
      <w:proofErr w:type="spellEnd"/>
      <w:r>
        <w:rPr>
          <w:vertAlign w:val="subscript"/>
        </w:rPr>
        <w:t xml:space="preserve"> of freedom</w:t>
      </w:r>
    </w:p>
    <w:p w14:paraId="2F115F7C" w14:textId="77777777" w:rsidR="00B21B44" w:rsidRDefault="00B21B44">
      <w:pPr>
        <w:rPr>
          <w:vertAlign w:val="subscript"/>
        </w:rPr>
      </w:pPr>
      <w:r>
        <w:rPr>
          <w:i/>
          <w:sz w:val="26"/>
          <w:szCs w:val="26"/>
        </w:rPr>
        <w:t>χ</w:t>
      </w:r>
      <w:r>
        <w:rPr>
          <w:vertAlign w:val="superscript"/>
        </w:rPr>
        <w:t>2</w:t>
      </w:r>
      <w:r>
        <w:rPr>
          <w:vertAlign w:val="subscript"/>
        </w:rPr>
        <w:t>degrees of freedom</w:t>
      </w:r>
    </w:p>
    <w:p w14:paraId="045109E8" w14:textId="77777777" w:rsidR="00B21B44" w:rsidRDefault="00B21B44">
      <w:r>
        <w:t>Cronbach alpha</w:t>
      </w:r>
    </w:p>
  </w:comment>
  <w:comment w:id="24" w:author="Carmen" w:date="2013-02-28T17:15:00Z" w:initials="C">
    <w:p w14:paraId="7F377D3B" w14:textId="77777777" w:rsidR="00B21B44" w:rsidRDefault="00B21B44">
      <w:pPr>
        <w:pStyle w:val="a5"/>
      </w:pPr>
      <w:r>
        <w:t>An empty row is inserted after the last main heading row.  New Main Headings CANNOT be introduced in the middle of the table, only at the top.</w:t>
      </w:r>
    </w:p>
  </w:comment>
  <w:comment w:id="25" w:author="Carmen" w:date="2013-02-28T17:11:00Z" w:initials="C">
    <w:p w14:paraId="267C0387" w14:textId="77777777" w:rsidR="00B21B44" w:rsidRDefault="00B21B44">
      <w:pPr>
        <w:pStyle w:val="a5"/>
      </w:pPr>
      <w:r>
        <w:t xml:space="preserve">Subheadings/category heading are bolded but not </w:t>
      </w:r>
      <w:r>
        <w:rPr>
          <w:strike/>
        </w:rPr>
        <w:t>italicized</w:t>
      </w:r>
      <w:r>
        <w:t xml:space="preserve">, nor in </w:t>
      </w:r>
      <w:r>
        <w:rPr>
          <w:strike/>
        </w:rPr>
        <w:t>ALL CAPS</w:t>
      </w:r>
      <w:r>
        <w:t>.</w:t>
      </w:r>
    </w:p>
  </w:comment>
  <w:comment w:id="26" w:author="Carmen" w:date="2013-02-28T17:11:00Z" w:initials="C">
    <w:p w14:paraId="671801E1" w14:textId="77777777" w:rsidR="00B21B44" w:rsidRDefault="00B21B44">
      <w:pPr>
        <w:pStyle w:val="a5"/>
      </w:pPr>
      <w:r>
        <w:t>It is crucial to leave this blank to preserve the layout and highlight the subheadings/category headings. Do NOT just indent (using spaces or tabs) within the cell.  Please leave a blank cell for subsequent lines that fall under that subheading/category heading.</w:t>
      </w:r>
    </w:p>
  </w:comment>
  <w:comment w:id="27" w:author="Carmen" w:date="2013-02-28T17:09:00Z" w:initials="C">
    <w:p w14:paraId="69DD44B1" w14:textId="77777777" w:rsidR="00B21B44" w:rsidRDefault="00B21B44">
      <w:pPr>
        <w:pStyle w:val="a5"/>
      </w:pPr>
      <w:r>
        <w:t xml:space="preserve">Each line of data </w:t>
      </w:r>
      <w:proofErr w:type="gramStart"/>
      <w:r>
        <w:t>are</w:t>
      </w:r>
      <w:proofErr w:type="gramEnd"/>
      <w:r>
        <w:t xml:space="preserve"> on its own new row. Do NOT put all data in a single cell. Do NOT bold cell content for emphasis; use italics if absolutely necessary.</w:t>
      </w:r>
    </w:p>
  </w:comment>
  <w:comment w:id="35" w:author="Carmen" w:date="2013-02-28T18:46:00Z" w:initials="C">
    <w:p w14:paraId="32E34F62" w14:textId="77777777" w:rsidR="00B21B44" w:rsidRDefault="00B21B44">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7A6F6768" w15:done="0"/>
  <w15:commentEx w15:paraId="045109E8" w15:done="0"/>
  <w15:commentEx w15:paraId="7F377D3B" w15:done="0"/>
  <w15:commentEx w15:paraId="267C0387" w15:done="0"/>
  <w15:commentEx w15:paraId="671801E1" w15:done="0"/>
  <w15:commentEx w15:paraId="69DD44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7A6F6768" w16cid:durableId="2678081A"/>
  <w16cid:commentId w16cid:paraId="045109E8" w16cid:durableId="2678081B"/>
  <w16cid:commentId w16cid:paraId="7F377D3B" w16cid:durableId="2678081C"/>
  <w16cid:commentId w16cid:paraId="267C0387" w16cid:durableId="2678081D"/>
  <w16cid:commentId w16cid:paraId="671801E1" w16cid:durableId="2678081E"/>
  <w16cid:commentId w16cid:paraId="69DD44B1" w16cid:durableId="2678081F"/>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49AC3" w14:textId="77777777" w:rsidR="005C101C" w:rsidRDefault="005C101C">
      <w:r>
        <w:separator/>
      </w:r>
    </w:p>
  </w:endnote>
  <w:endnote w:type="continuationSeparator" w:id="0">
    <w:p w14:paraId="146A94F3" w14:textId="77777777" w:rsidR="005C101C" w:rsidRDefault="005C1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F69FD" w14:textId="77777777" w:rsidR="005C101C" w:rsidRDefault="005C101C">
      <w:r>
        <w:separator/>
      </w:r>
    </w:p>
  </w:footnote>
  <w:footnote w:type="continuationSeparator" w:id="0">
    <w:p w14:paraId="17E591A9" w14:textId="77777777" w:rsidR="005C101C" w:rsidRDefault="005C101C">
      <w:r>
        <w:continuationSeparator/>
      </w:r>
    </w:p>
  </w:footnote>
  <w:footnote w:id="1">
    <w:p w14:paraId="4CC8C0CF" w14:textId="77777777" w:rsidR="00B21B44" w:rsidRDefault="00B21B44"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7D03"/>
    <w:rsid w:val="0001235E"/>
    <w:rsid w:val="0002694C"/>
    <w:rsid w:val="00030551"/>
    <w:rsid w:val="00037A74"/>
    <w:rsid w:val="00037FF2"/>
    <w:rsid w:val="00056D0E"/>
    <w:rsid w:val="00065FDF"/>
    <w:rsid w:val="00070D00"/>
    <w:rsid w:val="00071DF8"/>
    <w:rsid w:val="0007460A"/>
    <w:rsid w:val="00076A71"/>
    <w:rsid w:val="0008698A"/>
    <w:rsid w:val="00094896"/>
    <w:rsid w:val="00096A15"/>
    <w:rsid w:val="000A70D6"/>
    <w:rsid w:val="000C0133"/>
    <w:rsid w:val="000E1E95"/>
    <w:rsid w:val="00107C2E"/>
    <w:rsid w:val="00125972"/>
    <w:rsid w:val="00135212"/>
    <w:rsid w:val="0014226F"/>
    <w:rsid w:val="001520A1"/>
    <w:rsid w:val="00153FC8"/>
    <w:rsid w:val="00185C44"/>
    <w:rsid w:val="00191924"/>
    <w:rsid w:val="00196B3B"/>
    <w:rsid w:val="001A05B3"/>
    <w:rsid w:val="001A2615"/>
    <w:rsid w:val="001B218B"/>
    <w:rsid w:val="001B3B3A"/>
    <w:rsid w:val="001D10AE"/>
    <w:rsid w:val="00206388"/>
    <w:rsid w:val="00206502"/>
    <w:rsid w:val="00213673"/>
    <w:rsid w:val="00214B40"/>
    <w:rsid w:val="00216402"/>
    <w:rsid w:val="00216F9A"/>
    <w:rsid w:val="0021749C"/>
    <w:rsid w:val="00225059"/>
    <w:rsid w:val="00227C5E"/>
    <w:rsid w:val="002411BD"/>
    <w:rsid w:val="00265F48"/>
    <w:rsid w:val="00273C83"/>
    <w:rsid w:val="002A7FCA"/>
    <w:rsid w:val="002B2F6E"/>
    <w:rsid w:val="002B77D5"/>
    <w:rsid w:val="002E0296"/>
    <w:rsid w:val="002E067F"/>
    <w:rsid w:val="002F62B6"/>
    <w:rsid w:val="00310A9A"/>
    <w:rsid w:val="003125AC"/>
    <w:rsid w:val="00324C05"/>
    <w:rsid w:val="00330F8D"/>
    <w:rsid w:val="003320AC"/>
    <w:rsid w:val="00344770"/>
    <w:rsid w:val="00351500"/>
    <w:rsid w:val="0035660C"/>
    <w:rsid w:val="00356E5D"/>
    <w:rsid w:val="00360DCF"/>
    <w:rsid w:val="00361C0B"/>
    <w:rsid w:val="003676BB"/>
    <w:rsid w:val="00374373"/>
    <w:rsid w:val="00376059"/>
    <w:rsid w:val="00386DED"/>
    <w:rsid w:val="0038721F"/>
    <w:rsid w:val="003928DE"/>
    <w:rsid w:val="003973AC"/>
    <w:rsid w:val="003A733F"/>
    <w:rsid w:val="003B0DF8"/>
    <w:rsid w:val="003B27DD"/>
    <w:rsid w:val="003C153A"/>
    <w:rsid w:val="003C24EB"/>
    <w:rsid w:val="003C5E09"/>
    <w:rsid w:val="003D5375"/>
    <w:rsid w:val="003F0301"/>
    <w:rsid w:val="003F0B56"/>
    <w:rsid w:val="003F252F"/>
    <w:rsid w:val="00420731"/>
    <w:rsid w:val="00420DCC"/>
    <w:rsid w:val="004242F0"/>
    <w:rsid w:val="00424EA6"/>
    <w:rsid w:val="004415E5"/>
    <w:rsid w:val="00441DAA"/>
    <w:rsid w:val="00464493"/>
    <w:rsid w:val="004801D6"/>
    <w:rsid w:val="0048059C"/>
    <w:rsid w:val="00481007"/>
    <w:rsid w:val="004828C4"/>
    <w:rsid w:val="00485018"/>
    <w:rsid w:val="00493C77"/>
    <w:rsid w:val="004C2335"/>
    <w:rsid w:val="004C37F6"/>
    <w:rsid w:val="004C3A46"/>
    <w:rsid w:val="004E500A"/>
    <w:rsid w:val="004F2332"/>
    <w:rsid w:val="004F7A07"/>
    <w:rsid w:val="00502F46"/>
    <w:rsid w:val="00505810"/>
    <w:rsid w:val="005102F5"/>
    <w:rsid w:val="00513FDA"/>
    <w:rsid w:val="00515897"/>
    <w:rsid w:val="00520750"/>
    <w:rsid w:val="00524D72"/>
    <w:rsid w:val="00530038"/>
    <w:rsid w:val="00532266"/>
    <w:rsid w:val="00540483"/>
    <w:rsid w:val="00541F75"/>
    <w:rsid w:val="00560664"/>
    <w:rsid w:val="005A02D2"/>
    <w:rsid w:val="005A0F2C"/>
    <w:rsid w:val="005B35BE"/>
    <w:rsid w:val="005B40AA"/>
    <w:rsid w:val="005B4A90"/>
    <w:rsid w:val="005B629A"/>
    <w:rsid w:val="005C101C"/>
    <w:rsid w:val="005F1BDE"/>
    <w:rsid w:val="006037D4"/>
    <w:rsid w:val="0060675C"/>
    <w:rsid w:val="006078E6"/>
    <w:rsid w:val="00607F11"/>
    <w:rsid w:val="006439F1"/>
    <w:rsid w:val="006548C4"/>
    <w:rsid w:val="00657882"/>
    <w:rsid w:val="00660442"/>
    <w:rsid w:val="006627B9"/>
    <w:rsid w:val="0066684A"/>
    <w:rsid w:val="006712AA"/>
    <w:rsid w:val="006773E3"/>
    <w:rsid w:val="00684DED"/>
    <w:rsid w:val="006975A7"/>
    <w:rsid w:val="006A391F"/>
    <w:rsid w:val="006B143B"/>
    <w:rsid w:val="006B4792"/>
    <w:rsid w:val="006B7E71"/>
    <w:rsid w:val="006C0A20"/>
    <w:rsid w:val="006F6686"/>
    <w:rsid w:val="0070177E"/>
    <w:rsid w:val="00701ACF"/>
    <w:rsid w:val="007057F4"/>
    <w:rsid w:val="00706DC1"/>
    <w:rsid w:val="007126AE"/>
    <w:rsid w:val="007154D4"/>
    <w:rsid w:val="0071770B"/>
    <w:rsid w:val="00722248"/>
    <w:rsid w:val="00722C3A"/>
    <w:rsid w:val="00722F92"/>
    <w:rsid w:val="007268DD"/>
    <w:rsid w:val="007316C7"/>
    <w:rsid w:val="00734FFB"/>
    <w:rsid w:val="007528E1"/>
    <w:rsid w:val="007533D2"/>
    <w:rsid w:val="007603DB"/>
    <w:rsid w:val="00761E22"/>
    <w:rsid w:val="00767F0A"/>
    <w:rsid w:val="00770A21"/>
    <w:rsid w:val="00770D17"/>
    <w:rsid w:val="007765CE"/>
    <w:rsid w:val="00791F8E"/>
    <w:rsid w:val="007A005D"/>
    <w:rsid w:val="007A50FD"/>
    <w:rsid w:val="007A7EB3"/>
    <w:rsid w:val="007B3BE6"/>
    <w:rsid w:val="007C3805"/>
    <w:rsid w:val="007C715D"/>
    <w:rsid w:val="007D5C87"/>
    <w:rsid w:val="007F2BF5"/>
    <w:rsid w:val="00811994"/>
    <w:rsid w:val="00820F6F"/>
    <w:rsid w:val="008437D1"/>
    <w:rsid w:val="008530E7"/>
    <w:rsid w:val="00864852"/>
    <w:rsid w:val="008670BB"/>
    <w:rsid w:val="00870464"/>
    <w:rsid w:val="008755D9"/>
    <w:rsid w:val="00875FF5"/>
    <w:rsid w:val="008A0B47"/>
    <w:rsid w:val="008A0F4C"/>
    <w:rsid w:val="008B201F"/>
    <w:rsid w:val="008B35A4"/>
    <w:rsid w:val="008B48A7"/>
    <w:rsid w:val="008B631E"/>
    <w:rsid w:val="008D5429"/>
    <w:rsid w:val="008E3D2A"/>
    <w:rsid w:val="008E7FF8"/>
    <w:rsid w:val="008F63BB"/>
    <w:rsid w:val="00900035"/>
    <w:rsid w:val="00907F09"/>
    <w:rsid w:val="0091367E"/>
    <w:rsid w:val="00916884"/>
    <w:rsid w:val="00933EA5"/>
    <w:rsid w:val="00936FCE"/>
    <w:rsid w:val="00937947"/>
    <w:rsid w:val="00944E43"/>
    <w:rsid w:val="00953E86"/>
    <w:rsid w:val="00956C8E"/>
    <w:rsid w:val="00973F35"/>
    <w:rsid w:val="00975AF0"/>
    <w:rsid w:val="00985B41"/>
    <w:rsid w:val="00992BB4"/>
    <w:rsid w:val="00994909"/>
    <w:rsid w:val="00995E32"/>
    <w:rsid w:val="009A0F94"/>
    <w:rsid w:val="009A4AA5"/>
    <w:rsid w:val="009B2639"/>
    <w:rsid w:val="009B63D0"/>
    <w:rsid w:val="009B6879"/>
    <w:rsid w:val="009C53A1"/>
    <w:rsid w:val="009D0D40"/>
    <w:rsid w:val="009D3ECA"/>
    <w:rsid w:val="009D6023"/>
    <w:rsid w:val="009F08E5"/>
    <w:rsid w:val="009F67D4"/>
    <w:rsid w:val="00A0257D"/>
    <w:rsid w:val="00A101AE"/>
    <w:rsid w:val="00A11260"/>
    <w:rsid w:val="00A12440"/>
    <w:rsid w:val="00A12DBA"/>
    <w:rsid w:val="00A228B3"/>
    <w:rsid w:val="00A23F35"/>
    <w:rsid w:val="00A3321E"/>
    <w:rsid w:val="00A34680"/>
    <w:rsid w:val="00A3786A"/>
    <w:rsid w:val="00A4097A"/>
    <w:rsid w:val="00A40AA3"/>
    <w:rsid w:val="00A43F45"/>
    <w:rsid w:val="00A573B0"/>
    <w:rsid w:val="00A6168A"/>
    <w:rsid w:val="00A630DC"/>
    <w:rsid w:val="00A67C96"/>
    <w:rsid w:val="00A71201"/>
    <w:rsid w:val="00A7639A"/>
    <w:rsid w:val="00AA09CF"/>
    <w:rsid w:val="00AA0B58"/>
    <w:rsid w:val="00AA1FBD"/>
    <w:rsid w:val="00AB72C9"/>
    <w:rsid w:val="00AC3552"/>
    <w:rsid w:val="00AC3D29"/>
    <w:rsid w:val="00AD2AC6"/>
    <w:rsid w:val="00AD32AE"/>
    <w:rsid w:val="00AE4CC3"/>
    <w:rsid w:val="00B21B44"/>
    <w:rsid w:val="00B237DD"/>
    <w:rsid w:val="00B43296"/>
    <w:rsid w:val="00B4482F"/>
    <w:rsid w:val="00B514BC"/>
    <w:rsid w:val="00B51DC3"/>
    <w:rsid w:val="00B547CC"/>
    <w:rsid w:val="00B603F8"/>
    <w:rsid w:val="00B60875"/>
    <w:rsid w:val="00B6406A"/>
    <w:rsid w:val="00B75963"/>
    <w:rsid w:val="00B7651A"/>
    <w:rsid w:val="00B8331F"/>
    <w:rsid w:val="00BA1A3E"/>
    <w:rsid w:val="00BB6DC8"/>
    <w:rsid w:val="00BC0372"/>
    <w:rsid w:val="00BC0DB3"/>
    <w:rsid w:val="00BC13CB"/>
    <w:rsid w:val="00BC4FE6"/>
    <w:rsid w:val="00BD390B"/>
    <w:rsid w:val="00BD481C"/>
    <w:rsid w:val="00BF1209"/>
    <w:rsid w:val="00C1239A"/>
    <w:rsid w:val="00C21270"/>
    <w:rsid w:val="00C306F5"/>
    <w:rsid w:val="00C456E6"/>
    <w:rsid w:val="00C45A80"/>
    <w:rsid w:val="00C56211"/>
    <w:rsid w:val="00C840AA"/>
    <w:rsid w:val="00C90BC0"/>
    <w:rsid w:val="00C91582"/>
    <w:rsid w:val="00CB174B"/>
    <w:rsid w:val="00CC0DA5"/>
    <w:rsid w:val="00CC5FD4"/>
    <w:rsid w:val="00CD4F6C"/>
    <w:rsid w:val="00CD72EB"/>
    <w:rsid w:val="00CE2C7D"/>
    <w:rsid w:val="00CF1DF0"/>
    <w:rsid w:val="00CF3B76"/>
    <w:rsid w:val="00CF6CCD"/>
    <w:rsid w:val="00D02829"/>
    <w:rsid w:val="00D268F4"/>
    <w:rsid w:val="00D26D40"/>
    <w:rsid w:val="00D36C46"/>
    <w:rsid w:val="00D434FD"/>
    <w:rsid w:val="00D60F58"/>
    <w:rsid w:val="00D71C20"/>
    <w:rsid w:val="00D726B6"/>
    <w:rsid w:val="00D841FB"/>
    <w:rsid w:val="00D86683"/>
    <w:rsid w:val="00D95E82"/>
    <w:rsid w:val="00DA2851"/>
    <w:rsid w:val="00DA4117"/>
    <w:rsid w:val="00DB7ECA"/>
    <w:rsid w:val="00DC3980"/>
    <w:rsid w:val="00DF27B9"/>
    <w:rsid w:val="00DF6867"/>
    <w:rsid w:val="00E00CFB"/>
    <w:rsid w:val="00E021F9"/>
    <w:rsid w:val="00E06F7F"/>
    <w:rsid w:val="00E126B5"/>
    <w:rsid w:val="00E128AA"/>
    <w:rsid w:val="00E26F76"/>
    <w:rsid w:val="00E3402F"/>
    <w:rsid w:val="00E351C4"/>
    <w:rsid w:val="00E4078C"/>
    <w:rsid w:val="00E435C7"/>
    <w:rsid w:val="00E4474F"/>
    <w:rsid w:val="00E45F55"/>
    <w:rsid w:val="00E53B95"/>
    <w:rsid w:val="00E60C0C"/>
    <w:rsid w:val="00E6478D"/>
    <w:rsid w:val="00E70D5C"/>
    <w:rsid w:val="00E76244"/>
    <w:rsid w:val="00E85A59"/>
    <w:rsid w:val="00E91BEC"/>
    <w:rsid w:val="00EA18F4"/>
    <w:rsid w:val="00EA4FB4"/>
    <w:rsid w:val="00EB1A4A"/>
    <w:rsid w:val="00EB6E35"/>
    <w:rsid w:val="00EC49E7"/>
    <w:rsid w:val="00ED0BE8"/>
    <w:rsid w:val="00ED388C"/>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7.png"/><Relationship Id="rId42" Type="http://schemas.openxmlformats.org/officeDocument/2006/relationships/oleObject" Target="embeddings/oleObject15.bin"/><Relationship Id="rId47" Type="http://schemas.openxmlformats.org/officeDocument/2006/relationships/image" Target="media/image19.wmf"/><Relationship Id="rId63" Type="http://schemas.openxmlformats.org/officeDocument/2006/relationships/image" Target="media/image28.wmf"/><Relationship Id="rId68" Type="http://schemas.openxmlformats.org/officeDocument/2006/relationships/oleObject" Target="embeddings/oleObject27.bin"/><Relationship Id="rId84" Type="http://schemas.openxmlformats.org/officeDocument/2006/relationships/image" Target="media/image43.jpeg"/><Relationship Id="rId89" Type="http://schemas.openxmlformats.org/officeDocument/2006/relationships/hyperlink" Target="http://www.ncbi.nlm.nih.gov/entrez/query.fcgi?cmd=Retrieve&amp;db=PubMed&amp;list_uids=9062335&amp;dopt=Abstract" TargetMode="External"/><Relationship Id="rId16" Type="http://schemas.openxmlformats.org/officeDocument/2006/relationships/oleObject" Target="embeddings/oleObject2.bin"/><Relationship Id="rId11" Type="http://schemas.microsoft.com/office/2016/09/relationships/commentsIds" Target="commentsIds.xml"/><Relationship Id="rId32" Type="http://schemas.openxmlformats.org/officeDocument/2006/relationships/oleObject" Target="embeddings/oleObject9.bin"/><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image" Target="media/image25.png"/><Relationship Id="rId74" Type="http://schemas.openxmlformats.org/officeDocument/2006/relationships/oleObject" Target="embeddings/oleObject30.bin"/><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hyperlink" Target="http://www.webcitation.org/" TargetMode="External"/><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6.bin"/><Relationship Id="rId43" Type="http://schemas.openxmlformats.org/officeDocument/2006/relationships/image" Target="media/image17.wmf"/><Relationship Id="rId48" Type="http://schemas.openxmlformats.org/officeDocument/2006/relationships/oleObject" Target="embeddings/oleObject18.bin"/><Relationship Id="rId64" Type="http://schemas.openxmlformats.org/officeDocument/2006/relationships/oleObject" Target="embeddings/oleObject25.bin"/><Relationship Id="rId69" Type="http://schemas.openxmlformats.org/officeDocument/2006/relationships/image" Target="media/image31.wmf"/><Relationship Id="rId8" Type="http://schemas.openxmlformats.org/officeDocument/2006/relationships/hyperlink" Target="http://www.controlled-trials.com/isrctn/" TargetMode="External"/><Relationship Id="rId51" Type="http://schemas.openxmlformats.org/officeDocument/2006/relationships/oleObject" Target="embeddings/oleObject20.bin"/><Relationship Id="rId72" Type="http://schemas.openxmlformats.org/officeDocument/2006/relationships/oleObject" Target="embeddings/oleObject29.bin"/><Relationship Id="rId80" Type="http://schemas.openxmlformats.org/officeDocument/2006/relationships/image" Target="media/image39.png"/><Relationship Id="rId85" Type="http://schemas.openxmlformats.org/officeDocument/2006/relationships/hyperlink" Target="https://jmir.zendesk.com/hc/en-us/articles/115003396688"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oleObject" Target="embeddings/oleObject5.bin"/><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image" Target="media/image6.png"/><Relationship Id="rId41" Type="http://schemas.openxmlformats.org/officeDocument/2006/relationships/image" Target="media/image16.wmf"/><Relationship Id="rId54" Type="http://schemas.openxmlformats.org/officeDocument/2006/relationships/image" Target="media/image22.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4.png"/><Relationship Id="rId83" Type="http://schemas.openxmlformats.org/officeDocument/2006/relationships/image" Target="media/image42.jpeg"/><Relationship Id="rId88" Type="http://schemas.openxmlformats.org/officeDocument/2006/relationships/hyperlink" Target="http://dx.doi.org/" TargetMode="External"/><Relationship Id="rId91" Type="http://schemas.openxmlformats.org/officeDocument/2006/relationships/hyperlink" Target="http://www.webcitati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oleObject4.bin"/><Relationship Id="rId28" Type="http://schemas.openxmlformats.org/officeDocument/2006/relationships/image" Target="media/image11.wmf"/><Relationship Id="rId36" Type="http://schemas.openxmlformats.org/officeDocument/2006/relationships/image" Target="media/image14.wmf"/><Relationship Id="rId49" Type="http://schemas.openxmlformats.org/officeDocument/2006/relationships/oleObject" Target="embeddings/oleObject19.bin"/><Relationship Id="rId57" Type="http://schemas.openxmlformats.org/officeDocument/2006/relationships/image" Target="media/image24.png"/><Relationship Id="rId10" Type="http://schemas.microsoft.com/office/2011/relationships/commentsExtended" Target="commentsExtended.xml"/><Relationship Id="rId31" Type="http://schemas.openxmlformats.org/officeDocument/2006/relationships/oleObject" Target="embeddings/oleObject8.bin"/><Relationship Id="rId44" Type="http://schemas.openxmlformats.org/officeDocument/2006/relationships/oleObject" Target="embeddings/oleObject16.bin"/><Relationship Id="rId52" Type="http://schemas.openxmlformats.org/officeDocument/2006/relationships/image" Target="media/image21.wmf"/><Relationship Id="rId60" Type="http://schemas.openxmlformats.org/officeDocument/2006/relationships/oleObject" Target="embeddings/oleObject23.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7.png"/><Relationship Id="rId81" Type="http://schemas.openxmlformats.org/officeDocument/2006/relationships/image" Target="media/image40.jpeg"/><Relationship Id="rId86" Type="http://schemas.openxmlformats.org/officeDocument/2006/relationships/hyperlink" Target="http://tinyurl.com/consort-ehealth-v1-6"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hyperlink" Target="http://isbndb.com/"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hyperlink" Target="http://www.ncbi.nlm.nih.gov/entrez/query.fcgi?cmd=Retrieve&amp;db=PubMed&amp;list_uids=9062335&amp;dopt=Abstract" TargetMode="External"/><Relationship Id="rId61" Type="http://schemas.openxmlformats.org/officeDocument/2006/relationships/image" Target="media/image27.wmf"/><Relationship Id="rId82" Type="http://schemas.openxmlformats.org/officeDocument/2006/relationships/image" Target="media/image41.jpeg"/><Relationship Id="rId19" Type="http://schemas.openxmlformats.org/officeDocument/2006/relationships/image" Target="media/image5.png"/><Relationship Id="rId14" Type="http://schemas.openxmlformats.org/officeDocument/2006/relationships/oleObject" Target="embeddings/oleObject1.bin"/><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image" Target="media/image23.png"/><Relationship Id="rId7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E3953-ABE2-4EFB-AC72-A784A3A4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25</Pages>
  <Words>8912</Words>
  <Characters>50804</Characters>
  <Application>Microsoft Office Word</Application>
  <DocSecurity>0</DocSecurity>
  <Lines>423</Lines>
  <Paragraphs>119</Paragraphs>
  <ScaleCrop>false</ScaleCrop>
  <Company/>
  <LinksUpToDate>false</LinksUpToDate>
  <CharactersWithSpaces>59597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dell</cp:lastModifiedBy>
  <cp:revision>16</cp:revision>
  <dcterms:created xsi:type="dcterms:W3CDTF">2022-07-13T05:13:00Z</dcterms:created>
  <dcterms:modified xsi:type="dcterms:W3CDTF">2022-07-13T10:08:00Z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