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Peer Reference Automation</w:t>
      </w:r>
    </w:p>
    <w:p>
      <w:r>
        <w:rPr>
          <w:b/>
          <w:color w:val="595959"/>
          <w:sz w:val="28"/>
        </w:rPr>
        <w:t>Initial Research Brief &amp; Two-Phase Workflow</w:t>
      </w:r>
    </w:p>
    <w:p>
      <w:r>
        <w:rPr>
          <w:color w:val="6E6E6E"/>
          <w:sz w:val="18"/>
        </w:rPr>
        <w:t>Prepared for management discussion  |  October 2026</w:t>
      </w:r>
    </w:p>
    <w:p>
      <w:pPr>
        <w:pStyle w:val="Heading1"/>
      </w:pPr>
      <w:r>
        <w:t>1. Project Understanding</w:t>
      </w:r>
    </w:p>
    <w:p>
      <w:r>
        <w:rPr>
          <w:b/>
        </w:rPr>
        <w:t xml:space="preserve">Business need. </w:t>
      </w:r>
      <w:r>
        <w:t>Credentialing needs an electronic replacement for the current Skills Survey peer-reference process as credentialing services are brought back in-house. The stated target is to have a replacement available before December 31.</w:t>
      </w:r>
    </w:p>
    <w:p>
      <w:r>
        <w:rPr>
          <w:b/>
        </w:rPr>
        <w:t xml:space="preserve">Proposed direction. </w:t>
      </w:r>
      <w:r>
        <w:t>Use Microsoft Forms as the peer-facing questionnaire, Power Automate to orchestrate the workflow, SharePoint to retain workflow data and completed reference documents, and Symplr as the credentialing system of record.</w:t>
      </w:r>
    </w:p>
    <w:p>
      <w:pPr>
        <w:pStyle w:val="Heading1"/>
      </w:pPr>
      <w:r>
        <w:t>2. Key Concerns Raised by David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jc w:val="left"/>
            </w:pPr>
            <w:r/>
            <w:r>
              <w:rPr>
                <w:rFonts w:ascii="Aptos" w:hAnsi="Aptos"/>
                <w:b/>
                <w:color w:val="FFFFFF"/>
                <w:sz w:val="18"/>
              </w:rPr>
              <w:t>Concern</w:t>
            </w:r>
          </w:p>
        </w:tc>
        <w:tc>
          <w:tcPr>
            <w:tcW w:type="dxa" w:w="5040"/>
            <w:vAlign w:val="center"/>
            <w:shd w:fill="1F4E79"/>
          </w:tcPr>
          <w:p>
            <w:pPr>
              <w:jc w:val="left"/>
            </w:pPr>
            <w:r/>
            <w:r>
              <w:rPr>
                <w:rFonts w:ascii="Aptos" w:hAnsi="Aptos"/>
                <w:b/>
                <w:color w:val="FFFFFF"/>
                <w:sz w:val="18"/>
              </w:rPr>
              <w:t>What needs to be validated</w:t>
            </w:r>
          </w:p>
        </w:tc>
      </w:tr>
      <w:tr>
        <w:tc>
          <w:tcPr>
            <w:tcW w:type="dxa" w:w="5040"/>
            <w:vAlign w:val="center"/>
          </w:tcPr>
          <w:p>
            <w:pPr>
              <w:jc w:val="left"/>
            </w:pPr>
            <w:r/>
            <w:r>
              <w:rPr>
                <w:rFonts w:ascii="Aptos" w:hAnsi="Aptos"/>
                <w:b/>
                <w:sz w:val="18"/>
              </w:rPr>
              <w:t>Power Automate reliability</w:t>
            </w:r>
          </w:p>
        </w:tc>
        <w:tc>
          <w:tcPr>
            <w:tcW w:type="dxa" w:w="5040"/>
            <w:vAlign w:val="center"/>
          </w:tcPr>
          <w:p>
            <w:pPr>
              <w:jc w:val="left"/>
            </w:pPr>
            <w:r/>
            <w:r>
              <w:rPr>
                <w:rFonts w:ascii="Aptos" w:hAnsi="Aptos"/>
                <w:b w:val="0"/>
                <w:sz w:val="18"/>
              </w:rPr>
              <w:t>Previous Ardent integration experience was described as “flaky.” Reliability, monitoring and recovery need to be understood before relying on the workflow.</w:t>
            </w:r>
          </w:p>
        </w:tc>
      </w:tr>
      <w:tr>
        <w:tc>
          <w:tcPr>
            <w:tcW w:type="dxa" w:w="5040"/>
            <w:vAlign w:val="center"/>
          </w:tcPr>
          <w:p>
            <w:pPr>
              <w:jc w:val="left"/>
            </w:pPr>
            <w:r/>
            <w:r>
              <w:rPr>
                <w:rFonts w:ascii="Aptos" w:hAnsi="Aptos"/>
                <w:b/>
                <w:sz w:val="18"/>
              </w:rPr>
              <w:t>Patient-safety impact</w:t>
            </w:r>
          </w:p>
        </w:tc>
        <w:tc>
          <w:tcPr>
            <w:tcW w:type="dxa" w:w="5040"/>
            <w:vAlign w:val="center"/>
          </w:tcPr>
          <w:p>
            <w:pPr>
              <w:jc w:val="left"/>
            </w:pPr>
            <w:r/>
            <w:r>
              <w:rPr>
                <w:rFonts w:ascii="Aptos" w:hAnsi="Aptos"/>
                <w:b w:val="0"/>
                <w:sz w:val="18"/>
              </w:rPr>
              <w:t>If a failure in this process could have a patient-safety consequence, the tolerance for silent or missed automation failures must be very low.</w:t>
            </w:r>
          </w:p>
        </w:tc>
      </w:tr>
      <w:tr>
        <w:tc>
          <w:tcPr>
            <w:tcW w:type="dxa" w:w="5040"/>
            <w:vAlign w:val="center"/>
          </w:tcPr>
          <w:p>
            <w:pPr>
              <w:jc w:val="left"/>
            </w:pPr>
            <w:r/>
            <w:r>
              <w:rPr>
                <w:rFonts w:ascii="Aptos" w:hAnsi="Aptos"/>
                <w:b/>
                <w:sz w:val="18"/>
              </w:rPr>
              <w:t>Licensing / cost</w:t>
            </w:r>
          </w:p>
        </w:tc>
        <w:tc>
          <w:tcPr>
            <w:tcW w:type="dxa" w:w="5040"/>
            <w:vAlign w:val="center"/>
          </w:tcPr>
          <w:p>
            <w:pPr>
              <w:jc w:val="left"/>
            </w:pPr>
            <w:r/>
            <w:r>
              <w:rPr>
                <w:rFonts w:ascii="Aptos" w:hAnsi="Aptos"/>
                <w:b w:val="0"/>
                <w:sz w:val="18"/>
              </w:rPr>
              <w:t>Triggering from Symplr or calling APIs may require Premium Power Automate capabilities or additional Symplr licensing.</w:t>
            </w:r>
          </w:p>
        </w:tc>
      </w:tr>
      <w:tr>
        <w:tc>
          <w:tcPr>
            <w:tcW w:type="dxa" w:w="5040"/>
            <w:vAlign w:val="center"/>
          </w:tcPr>
          <w:p>
            <w:pPr>
              <w:jc w:val="left"/>
            </w:pPr>
            <w:r/>
            <w:r>
              <w:rPr>
                <w:rFonts w:ascii="Aptos" w:hAnsi="Aptos"/>
                <w:b/>
                <w:sz w:val="18"/>
              </w:rPr>
              <w:t>SharePoint design</w:t>
            </w:r>
          </w:p>
        </w:tc>
        <w:tc>
          <w:tcPr>
            <w:tcW w:type="dxa" w:w="5040"/>
            <w:vAlign w:val="center"/>
          </w:tcPr>
          <w:p>
            <w:pPr>
              <w:jc w:val="left"/>
            </w:pPr>
            <w:r/>
            <w:r>
              <w:rPr>
                <w:rFonts w:ascii="Aptos" w:hAnsi="Aptos"/>
                <w:b w:val="0"/>
                <w:sz w:val="18"/>
              </w:rPr>
              <w:t>Validate how completed documents will be retained. A document library is preferable to treating a SharePoint list as the PDF repository.</w:t>
            </w:r>
          </w:p>
        </w:tc>
      </w:tr>
      <w:tr>
        <w:tc>
          <w:tcPr>
            <w:tcW w:type="dxa" w:w="5040"/>
            <w:vAlign w:val="center"/>
          </w:tcPr>
          <w:p>
            <w:pPr>
              <w:jc w:val="left"/>
            </w:pPr>
            <w:r/>
            <w:r>
              <w:rPr>
                <w:rFonts w:ascii="Aptos" w:hAnsi="Aptos"/>
                <w:b/>
                <w:sz w:val="18"/>
              </w:rPr>
              <w:t>MSO notifications</w:t>
            </w:r>
          </w:p>
        </w:tc>
        <w:tc>
          <w:tcPr>
            <w:tcW w:type="dxa" w:w="5040"/>
            <w:vAlign w:val="center"/>
          </w:tcPr>
          <w:p>
            <w:pPr>
              <w:jc w:val="left"/>
            </w:pPr>
            <w:r/>
            <w:r>
              <w:rPr>
                <w:rFonts w:ascii="Aptos" w:hAnsi="Aptos"/>
                <w:b w:val="0"/>
                <w:sz w:val="18"/>
              </w:rPr>
              <w:t>Clarify whether notifications go to a maintained distribution list or require workflow-specific recipient management.</w:t>
            </w:r>
          </w:p>
        </w:tc>
      </w:tr>
      <w:tr>
        <w:tc>
          <w:tcPr>
            <w:tcW w:type="dxa" w:w="5040"/>
            <w:vAlign w:val="center"/>
          </w:tcPr>
          <w:p>
            <w:pPr>
              <w:jc w:val="left"/>
            </w:pPr>
            <w:r/>
            <w:r>
              <w:rPr>
                <w:rFonts w:ascii="Aptos" w:hAnsi="Aptos"/>
                <w:b/>
                <w:sz w:val="18"/>
              </w:rPr>
              <w:t>Symplr integration</w:t>
            </w:r>
          </w:p>
        </w:tc>
        <w:tc>
          <w:tcPr>
            <w:tcW w:type="dxa" w:w="5040"/>
            <w:vAlign w:val="center"/>
          </w:tcPr>
          <w:p>
            <w:pPr>
              <w:jc w:val="left"/>
            </w:pPr>
            <w:r/>
            <w:r>
              <w:rPr>
                <w:rFonts w:ascii="Aptos" w:hAnsi="Aptos"/>
                <w:b w:val="0"/>
                <w:sz w:val="18"/>
              </w:rPr>
              <w:t>Confirm which APIs/integration capabilities are available for document upload and checklist completion, and how they are authenticated/licensed.</w:t>
            </w:r>
          </w:p>
        </w:tc>
      </w:tr>
    </w:tbl>
    <w:p>
      <w:pPr>
        <w:pStyle w:val="Heading1"/>
      </w:pPr>
      <w:r>
        <w:t>3. Phase 1 — Minimum Viable Workflow</w:t>
      </w:r>
    </w:p>
    <w:p>
      <w:r>
        <w:t>Goal: meet the business deadline with the lowest integration risk. Do not make the initial release dependent on Symplr API availability.</w:t>
      </w:r>
    </w:p>
    <w:tbl>
      <w:tblPr>
        <w:tblW w:type="auto" w:w="0"/>
        <w:jc w:val="center"/>
        <w:tblLayout w:type="fixed"/>
        <w:tblLook w:firstColumn="1" w:firstRow="1" w:lastColumn="0" w:lastRow="0" w:noHBand="0" w:noVBand="1" w:val="04A0"/>
      </w:tblPr>
      <w:tblGrid>
        <w:gridCol w:w="1800"/>
        <w:gridCol w:w="461"/>
        <w:gridCol w:w="1800"/>
        <w:gridCol w:w="461"/>
        <w:gridCol w:w="1800"/>
        <w:gridCol w:w="461"/>
        <w:gridCol w:w="1800"/>
        <w:gridCol w:w="461"/>
        <w:gridCol w:w="1800"/>
      </w:tblGrid>
      <w:tr>
        <w:tc>
          <w:tcPr>
            <w:tcW w:type="dxa" w:w="1120"/>
            <w:shd w:fill="1F4E79"/>
            <w:vAlign w:val="center"/>
          </w:tcPr>
          <w:p>
            <w:pPr>
              <w:jc w:val="center"/>
            </w:pPr>
            <w:r/>
            <w:r>
              <w:rPr>
                <w:rFonts w:ascii="Aptos" w:hAnsi="Aptos"/>
                <w:b/>
                <w:color w:val="FFFFFF"/>
                <w:sz w:val="17"/>
              </w:rPr>
              <w:t>Credentialing</w:t>
              <w:br/>
              <w:t>Specialist</w:t>
            </w:r>
          </w:p>
        </w:tc>
        <w:tc>
          <w:tcPr>
            <w:tcW w:type="dxa" w:w="1120"/>
            <w:vAlign w:val="center"/>
          </w:tcPr>
          <w:p>
            <w:pPr>
              <w:jc w:val="center"/>
            </w:pPr>
            <w:r/>
            <w:r>
              <w:rPr>
                <w:rFonts w:ascii="Aptos" w:hAnsi="Aptos"/>
                <w:b/>
                <w:color w:val="595959"/>
                <w:sz w:val="28"/>
              </w:rPr>
              <w:t>→</w:t>
            </w:r>
          </w:p>
        </w:tc>
        <w:tc>
          <w:tcPr>
            <w:tcW w:type="dxa" w:w="1120"/>
            <w:shd w:fill="4472C4"/>
            <w:vAlign w:val="center"/>
          </w:tcPr>
          <w:p>
            <w:pPr>
              <w:jc w:val="center"/>
            </w:pPr>
            <w:r/>
            <w:r>
              <w:rPr>
                <w:rFonts w:ascii="Aptos" w:hAnsi="Aptos"/>
                <w:b/>
                <w:color w:val="FFFFFF"/>
                <w:sz w:val="17"/>
              </w:rPr>
              <w:t>M365 / SharePoint</w:t>
              <w:br/>
              <w:t>Request</w:t>
            </w:r>
          </w:p>
        </w:tc>
        <w:tc>
          <w:tcPr>
            <w:tcW w:type="dxa" w:w="1120"/>
            <w:vAlign w:val="center"/>
          </w:tcPr>
          <w:p>
            <w:pPr>
              <w:jc w:val="center"/>
            </w:pPr>
            <w:r/>
            <w:r>
              <w:rPr>
                <w:rFonts w:ascii="Aptos" w:hAnsi="Aptos"/>
                <w:b/>
                <w:color w:val="595959"/>
                <w:sz w:val="28"/>
              </w:rPr>
              <w:t>→</w:t>
            </w:r>
          </w:p>
        </w:tc>
        <w:tc>
          <w:tcPr>
            <w:tcW w:type="dxa" w:w="1120"/>
            <w:shd w:fill="5B9BD5"/>
            <w:vAlign w:val="center"/>
          </w:tcPr>
          <w:p>
            <w:pPr>
              <w:jc w:val="center"/>
            </w:pPr>
            <w:r/>
            <w:r>
              <w:rPr>
                <w:rFonts w:ascii="Aptos" w:hAnsi="Aptos"/>
                <w:b/>
                <w:color w:val="FFFFFF"/>
                <w:sz w:val="17"/>
              </w:rPr>
              <w:t>Power</w:t>
              <w:br/>
              <w:t>Automate</w:t>
            </w:r>
          </w:p>
        </w:tc>
        <w:tc>
          <w:tcPr>
            <w:tcW w:type="dxa" w:w="1120"/>
            <w:vAlign w:val="center"/>
          </w:tcPr>
          <w:p>
            <w:pPr>
              <w:jc w:val="center"/>
            </w:pPr>
            <w:r/>
            <w:r>
              <w:rPr>
                <w:rFonts w:ascii="Aptos" w:hAnsi="Aptos"/>
                <w:b/>
                <w:color w:val="595959"/>
                <w:sz w:val="28"/>
              </w:rPr>
              <w:t>→</w:t>
            </w:r>
          </w:p>
        </w:tc>
        <w:tc>
          <w:tcPr>
            <w:tcW w:type="dxa" w:w="1120"/>
            <w:shd w:fill="70AD47"/>
            <w:vAlign w:val="center"/>
          </w:tcPr>
          <w:p>
            <w:pPr>
              <w:jc w:val="center"/>
            </w:pPr>
            <w:r/>
            <w:r>
              <w:rPr>
                <w:rFonts w:ascii="Aptos" w:hAnsi="Aptos"/>
                <w:b/>
                <w:color w:val="FFFFFF"/>
                <w:sz w:val="17"/>
              </w:rPr>
              <w:t>Email to</w:t>
              <w:br/>
              <w:t>Peer</w:t>
            </w:r>
          </w:p>
        </w:tc>
        <w:tc>
          <w:tcPr>
            <w:tcW w:type="dxa" w:w="1120"/>
            <w:vAlign w:val="center"/>
          </w:tcPr>
          <w:p>
            <w:pPr>
              <w:jc w:val="center"/>
            </w:pPr>
            <w:r/>
            <w:r>
              <w:rPr>
                <w:rFonts w:ascii="Aptos" w:hAnsi="Aptos"/>
                <w:b/>
                <w:color w:val="595959"/>
                <w:sz w:val="28"/>
              </w:rPr>
              <w:t>→</w:t>
            </w:r>
          </w:p>
        </w:tc>
        <w:tc>
          <w:tcPr>
            <w:tcW w:type="dxa" w:w="1120"/>
            <w:shd w:fill="4472C4"/>
            <w:vAlign w:val="center"/>
          </w:tcPr>
          <w:p>
            <w:pPr>
              <w:jc w:val="center"/>
            </w:pPr>
            <w:r/>
            <w:r>
              <w:rPr>
                <w:rFonts w:ascii="Aptos" w:hAnsi="Aptos"/>
                <w:b/>
                <w:color w:val="FFFFFF"/>
                <w:sz w:val="17"/>
              </w:rPr>
              <w:t>Microsoft</w:t>
              <w:br/>
              <w:t>Forms</w:t>
            </w:r>
          </w:p>
        </w:tc>
      </w:tr>
    </w:tbl>
    <w:p>
      <w:pPr>
        <w:spacing w:after="40"/>
      </w:pPr>
    </w:p>
    <w:tbl>
      <w:tblPr>
        <w:tblW w:type="auto" w:w="0"/>
        <w:jc w:val="center"/>
        <w:tblLayout w:type="fixed"/>
        <w:tblLook w:firstColumn="1" w:firstRow="1" w:lastColumn="0" w:lastRow="0" w:noHBand="0" w:noVBand="1" w:val="04A0"/>
      </w:tblPr>
      <w:tblGrid>
        <w:gridCol w:w="1800"/>
        <w:gridCol w:w="461"/>
        <w:gridCol w:w="1800"/>
        <w:gridCol w:w="461"/>
        <w:gridCol w:w="1800"/>
        <w:gridCol w:w="461"/>
        <w:gridCol w:w="1800"/>
        <w:gridCol w:w="461"/>
        <w:gridCol w:w="1800"/>
      </w:tblGrid>
      <w:tr>
        <w:tc>
          <w:tcPr>
            <w:tcW w:type="dxa" w:w="1120"/>
            <w:shd w:fill="4472C4"/>
            <w:vAlign w:val="center"/>
          </w:tcPr>
          <w:p>
            <w:pPr>
              <w:jc w:val="center"/>
            </w:pPr>
            <w:r/>
            <w:r>
              <w:rPr>
                <w:rFonts w:ascii="Aptos" w:hAnsi="Aptos"/>
                <w:b/>
                <w:color w:val="FFFFFF"/>
                <w:sz w:val="17"/>
              </w:rPr>
              <w:t>Form</w:t>
              <w:br/>
              <w:t>Response</w:t>
            </w:r>
          </w:p>
        </w:tc>
        <w:tc>
          <w:tcPr>
            <w:tcW w:type="dxa" w:w="1120"/>
            <w:vAlign w:val="center"/>
          </w:tcPr>
          <w:p>
            <w:pPr>
              <w:jc w:val="center"/>
            </w:pPr>
            <w:r/>
            <w:r>
              <w:rPr>
                <w:rFonts w:ascii="Aptos" w:hAnsi="Aptos"/>
                <w:b/>
                <w:color w:val="595959"/>
                <w:sz w:val="28"/>
              </w:rPr>
              <w:t>→</w:t>
            </w:r>
          </w:p>
        </w:tc>
        <w:tc>
          <w:tcPr>
            <w:tcW w:type="dxa" w:w="1120"/>
            <w:shd w:fill="5B9BD5"/>
            <w:vAlign w:val="center"/>
          </w:tcPr>
          <w:p>
            <w:pPr>
              <w:jc w:val="center"/>
            </w:pPr>
            <w:r/>
            <w:r>
              <w:rPr>
                <w:rFonts w:ascii="Aptos" w:hAnsi="Aptos"/>
                <w:b/>
                <w:color w:val="FFFFFF"/>
                <w:sz w:val="17"/>
              </w:rPr>
              <w:t>Power</w:t>
              <w:br/>
              <w:t>Automate</w:t>
            </w:r>
          </w:p>
        </w:tc>
        <w:tc>
          <w:tcPr>
            <w:tcW w:type="dxa" w:w="1120"/>
            <w:vAlign w:val="center"/>
          </w:tcPr>
          <w:p>
            <w:pPr>
              <w:jc w:val="center"/>
            </w:pPr>
            <w:r/>
            <w:r>
              <w:rPr>
                <w:rFonts w:ascii="Aptos" w:hAnsi="Aptos"/>
                <w:b/>
                <w:color w:val="595959"/>
                <w:sz w:val="28"/>
              </w:rPr>
              <w:t>→</w:t>
            </w:r>
          </w:p>
        </w:tc>
        <w:tc>
          <w:tcPr>
            <w:tcW w:type="dxa" w:w="1120"/>
            <w:shd w:fill="8064A2"/>
            <w:vAlign w:val="center"/>
          </w:tcPr>
          <w:p>
            <w:pPr>
              <w:jc w:val="center"/>
            </w:pPr>
            <w:r/>
            <w:r>
              <w:rPr>
                <w:rFonts w:ascii="Aptos" w:hAnsi="Aptos"/>
                <w:b/>
                <w:color w:val="FFFFFF"/>
                <w:sz w:val="17"/>
              </w:rPr>
              <w:t>PDF / Archive</w:t>
              <w:br/>
              <w:t>+ Timestamp</w:t>
            </w:r>
          </w:p>
        </w:tc>
        <w:tc>
          <w:tcPr>
            <w:tcW w:type="dxa" w:w="1120"/>
            <w:vAlign w:val="center"/>
          </w:tcPr>
          <w:p>
            <w:pPr>
              <w:jc w:val="center"/>
            </w:pPr>
            <w:r/>
            <w:r>
              <w:rPr>
                <w:rFonts w:ascii="Aptos" w:hAnsi="Aptos"/>
                <w:b/>
                <w:color w:val="595959"/>
                <w:sz w:val="28"/>
              </w:rPr>
              <w:t>→</w:t>
            </w:r>
          </w:p>
        </w:tc>
        <w:tc>
          <w:tcPr>
            <w:tcW w:type="dxa" w:w="1120"/>
            <w:shd w:fill="1F4E79"/>
            <w:vAlign w:val="center"/>
          </w:tcPr>
          <w:p>
            <w:pPr>
              <w:jc w:val="center"/>
            </w:pPr>
            <w:r/>
            <w:r>
              <w:rPr>
                <w:rFonts w:ascii="Aptos" w:hAnsi="Aptos"/>
                <w:b/>
                <w:color w:val="FFFFFF"/>
                <w:sz w:val="17"/>
              </w:rPr>
              <w:t>SharePoint</w:t>
              <w:br/>
              <w:t>Library</w:t>
            </w:r>
          </w:p>
        </w:tc>
        <w:tc>
          <w:tcPr>
            <w:tcW w:type="dxa" w:w="1120"/>
            <w:vAlign w:val="center"/>
          </w:tcPr>
          <w:p>
            <w:pPr>
              <w:jc w:val="center"/>
            </w:pPr>
            <w:r/>
            <w:r>
              <w:rPr>
                <w:rFonts w:ascii="Aptos" w:hAnsi="Aptos"/>
                <w:b/>
                <w:color w:val="595959"/>
                <w:sz w:val="28"/>
              </w:rPr>
              <w:t>→</w:t>
            </w:r>
          </w:p>
        </w:tc>
        <w:tc>
          <w:tcPr>
            <w:tcW w:type="dxa" w:w="1120"/>
            <w:shd w:fill="70AD47"/>
            <w:vAlign w:val="center"/>
          </w:tcPr>
          <w:p>
            <w:pPr>
              <w:jc w:val="center"/>
            </w:pPr>
            <w:r/>
            <w:r>
              <w:rPr>
                <w:rFonts w:ascii="Aptos" w:hAnsi="Aptos"/>
                <w:b/>
                <w:color w:val="FFFFFF"/>
                <w:sz w:val="17"/>
              </w:rPr>
              <w:t>MSO</w:t>
              <w:br/>
              <w:t>Notification</w:t>
            </w:r>
          </w:p>
        </w:tc>
      </w:tr>
    </w:tbl>
    <w:p>
      <w:pPr>
        <w:jc w:val="center"/>
      </w:pPr>
      <w:r>
        <w:rPr>
          <w:b/>
          <w:sz w:val="19"/>
        </w:rPr>
        <w:t>↓  Credentialing Specialist manually uploads completed reference to Symplr and completes the applicable checklist step</w:t>
      </w:r>
    </w:p>
    <w:p>
      <w:r>
        <w:rPr>
          <w:b/>
        </w:rPr>
        <w:t xml:space="preserve">Why Phase 1 helps: </w:t>
      </w:r>
      <w:r>
        <w:t>It proves the Microsoft 365 workflow, mobile experience, audit trail, storage, notification and operational controls without making the December target dependent on an unverified Symplr integration.</w:t>
      </w:r>
    </w:p>
    <w:p>
      <w:pPr>
        <w:pStyle w:val="Heading1"/>
      </w:pPr>
      <w:r>
        <w:t>4. Phase 2 — Symplr Integrated Future State</w:t>
      </w:r>
    </w:p>
    <w:p>
      <w:r>
        <w:t>Goal: remove the remaining manual Symplr steps after API capability, security, licensing and supportability are confirmed.</w:t>
      </w:r>
    </w:p>
    <w:tbl>
      <w:tblPr>
        <w:tblW w:type="auto" w:w="0"/>
        <w:jc w:val="center"/>
        <w:tblLayout w:type="fixed"/>
        <w:tblLook w:firstColumn="1" w:firstRow="1" w:lastColumn="0" w:lastRow="0" w:noHBand="0" w:noVBand="1" w:val="04A0"/>
      </w:tblPr>
      <w:tblGrid>
        <w:gridCol w:w="1800"/>
        <w:gridCol w:w="461"/>
        <w:gridCol w:w="1800"/>
        <w:gridCol w:w="461"/>
        <w:gridCol w:w="1800"/>
        <w:gridCol w:w="461"/>
        <w:gridCol w:w="1800"/>
        <w:gridCol w:w="461"/>
        <w:gridCol w:w="1800"/>
      </w:tblGrid>
      <w:tr>
        <w:tc>
          <w:tcPr>
            <w:tcW w:type="dxa" w:w="1120"/>
            <w:shd w:fill="1F4E79"/>
            <w:vAlign w:val="center"/>
          </w:tcPr>
          <w:p>
            <w:pPr>
              <w:jc w:val="center"/>
            </w:pPr>
            <w:r/>
            <w:r>
              <w:rPr>
                <w:rFonts w:ascii="Aptos" w:hAnsi="Aptos"/>
                <w:b/>
                <w:color w:val="FFFFFF"/>
                <w:sz w:val="17"/>
              </w:rPr>
              <w:t>Symplr</w:t>
              <w:br/>
              <w:t>Provider</w:t>
            </w:r>
          </w:p>
        </w:tc>
        <w:tc>
          <w:tcPr>
            <w:tcW w:type="dxa" w:w="1120"/>
            <w:vAlign w:val="center"/>
          </w:tcPr>
          <w:p>
            <w:pPr>
              <w:jc w:val="center"/>
            </w:pPr>
            <w:r/>
            <w:r>
              <w:rPr>
                <w:rFonts w:ascii="Aptos" w:hAnsi="Aptos"/>
                <w:b/>
                <w:color w:val="595959"/>
                <w:sz w:val="28"/>
              </w:rPr>
              <w:t>→</w:t>
            </w:r>
          </w:p>
        </w:tc>
        <w:tc>
          <w:tcPr>
            <w:tcW w:type="dxa" w:w="1120"/>
            <w:shd w:fill="8064A2"/>
            <w:vAlign w:val="center"/>
          </w:tcPr>
          <w:p>
            <w:pPr>
              <w:jc w:val="center"/>
            </w:pPr>
            <w:r/>
            <w:r>
              <w:rPr>
                <w:rFonts w:ascii="Aptos" w:hAnsi="Aptos"/>
                <w:b/>
                <w:color w:val="FFFFFF"/>
                <w:sz w:val="17"/>
              </w:rPr>
              <w:t>API / Integration</w:t>
              <w:br/>
              <w:t>Trigger</w:t>
            </w:r>
          </w:p>
        </w:tc>
        <w:tc>
          <w:tcPr>
            <w:tcW w:type="dxa" w:w="1120"/>
            <w:vAlign w:val="center"/>
          </w:tcPr>
          <w:p>
            <w:pPr>
              <w:jc w:val="center"/>
            </w:pPr>
            <w:r/>
            <w:r>
              <w:rPr>
                <w:rFonts w:ascii="Aptos" w:hAnsi="Aptos"/>
                <w:b/>
                <w:color w:val="595959"/>
                <w:sz w:val="28"/>
              </w:rPr>
              <w:t>→</w:t>
            </w:r>
          </w:p>
        </w:tc>
        <w:tc>
          <w:tcPr>
            <w:tcW w:type="dxa" w:w="1120"/>
            <w:shd w:fill="5B9BD5"/>
            <w:vAlign w:val="center"/>
          </w:tcPr>
          <w:p>
            <w:pPr>
              <w:jc w:val="center"/>
            </w:pPr>
            <w:r/>
            <w:r>
              <w:rPr>
                <w:rFonts w:ascii="Aptos" w:hAnsi="Aptos"/>
                <w:b/>
                <w:color w:val="FFFFFF"/>
                <w:sz w:val="17"/>
              </w:rPr>
              <w:t>Power</w:t>
              <w:br/>
              <w:t>Automate</w:t>
            </w:r>
          </w:p>
        </w:tc>
        <w:tc>
          <w:tcPr>
            <w:tcW w:type="dxa" w:w="1120"/>
            <w:vAlign w:val="center"/>
          </w:tcPr>
          <w:p>
            <w:pPr>
              <w:jc w:val="center"/>
            </w:pPr>
            <w:r/>
            <w:r>
              <w:rPr>
                <w:rFonts w:ascii="Aptos" w:hAnsi="Aptos"/>
                <w:b/>
                <w:color w:val="595959"/>
                <w:sz w:val="28"/>
              </w:rPr>
              <w:t>→</w:t>
            </w:r>
          </w:p>
        </w:tc>
        <w:tc>
          <w:tcPr>
            <w:tcW w:type="dxa" w:w="1120"/>
            <w:shd w:fill="4472C4"/>
            <w:vAlign w:val="center"/>
          </w:tcPr>
          <w:p>
            <w:pPr>
              <w:jc w:val="center"/>
            </w:pPr>
            <w:r/>
            <w:r>
              <w:rPr>
                <w:rFonts w:ascii="Aptos" w:hAnsi="Aptos"/>
                <w:b/>
                <w:color w:val="FFFFFF"/>
                <w:sz w:val="17"/>
              </w:rPr>
              <w:t>Peer Reference</w:t>
              <w:br/>
              <w:t>Workflow</w:t>
            </w:r>
          </w:p>
        </w:tc>
        <w:tc>
          <w:tcPr>
            <w:tcW w:type="dxa" w:w="1120"/>
            <w:vAlign w:val="center"/>
          </w:tcPr>
          <w:p>
            <w:pPr>
              <w:jc w:val="center"/>
            </w:pPr>
            <w:r/>
            <w:r>
              <w:rPr>
                <w:rFonts w:ascii="Aptos" w:hAnsi="Aptos"/>
                <w:b/>
                <w:color w:val="595959"/>
                <w:sz w:val="28"/>
              </w:rPr>
              <w:t>→</w:t>
            </w:r>
          </w:p>
        </w:tc>
        <w:tc>
          <w:tcPr>
            <w:tcW w:type="dxa" w:w="1120"/>
            <w:shd w:fill="70AD47"/>
            <w:vAlign w:val="center"/>
          </w:tcPr>
          <w:p>
            <w:pPr>
              <w:jc w:val="center"/>
            </w:pPr>
            <w:r/>
            <w:r>
              <w:rPr>
                <w:rFonts w:ascii="Aptos" w:hAnsi="Aptos"/>
                <w:b/>
                <w:color w:val="FFFFFF"/>
                <w:sz w:val="17"/>
              </w:rPr>
              <w:t>Completed</w:t>
              <w:br/>
              <w:t>Reference</w:t>
            </w:r>
          </w:p>
        </w:tc>
      </w:tr>
    </w:tbl>
    <w:p>
      <w:pPr>
        <w:spacing w:after="40"/>
      </w:pPr>
    </w:p>
    <w:tbl>
      <w:tblPr>
        <w:tblW w:type="auto" w:w="0"/>
        <w:jc w:val="center"/>
        <w:tblLayout w:type="fixed"/>
        <w:tblLook w:firstColumn="1" w:firstRow="1" w:lastColumn="0" w:lastRow="0" w:noHBand="0" w:noVBand="1" w:val="04A0"/>
      </w:tblPr>
      <w:tblGrid>
        <w:gridCol w:w="1800"/>
        <w:gridCol w:w="461"/>
        <w:gridCol w:w="1800"/>
        <w:gridCol w:w="461"/>
        <w:gridCol w:w="1800"/>
        <w:gridCol w:w="461"/>
        <w:gridCol w:w="1800"/>
      </w:tblGrid>
      <w:tr>
        <w:tc>
          <w:tcPr>
            <w:tcW w:type="dxa" w:w="1440"/>
            <w:shd w:fill="8064A2"/>
            <w:vAlign w:val="center"/>
          </w:tcPr>
          <w:p>
            <w:pPr>
              <w:jc w:val="center"/>
            </w:pPr>
            <w:r/>
            <w:r>
              <w:rPr>
                <w:rFonts w:ascii="Aptos" w:hAnsi="Aptos"/>
                <w:b/>
                <w:color w:val="FFFFFF"/>
                <w:sz w:val="17"/>
              </w:rPr>
              <w:t>Symplr</w:t>
              <w:br/>
              <w:t>API</w:t>
            </w:r>
          </w:p>
        </w:tc>
        <w:tc>
          <w:tcPr>
            <w:tcW w:type="dxa" w:w="1440"/>
            <w:vAlign w:val="center"/>
          </w:tcPr>
          <w:p>
            <w:pPr>
              <w:jc w:val="center"/>
            </w:pPr>
            <w:r/>
            <w:r>
              <w:rPr>
                <w:rFonts w:ascii="Aptos" w:hAnsi="Aptos"/>
                <w:b/>
                <w:color w:val="595959"/>
                <w:sz w:val="28"/>
              </w:rPr>
              <w:t>→</w:t>
            </w:r>
          </w:p>
        </w:tc>
        <w:tc>
          <w:tcPr>
            <w:tcW w:type="dxa" w:w="1440"/>
            <w:shd w:fill="1F4E79"/>
            <w:vAlign w:val="center"/>
          </w:tcPr>
          <w:p>
            <w:pPr>
              <w:jc w:val="center"/>
            </w:pPr>
            <w:r/>
            <w:r>
              <w:rPr>
                <w:rFonts w:ascii="Aptos" w:hAnsi="Aptos"/>
                <w:b/>
                <w:color w:val="FFFFFF"/>
                <w:sz w:val="17"/>
              </w:rPr>
              <w:t>Upload Reference</w:t>
              <w:br/>
              <w:t>Document</w:t>
            </w:r>
          </w:p>
        </w:tc>
        <w:tc>
          <w:tcPr>
            <w:tcW w:type="dxa" w:w="1440"/>
            <w:vAlign w:val="center"/>
          </w:tcPr>
          <w:p>
            <w:pPr>
              <w:jc w:val="center"/>
            </w:pPr>
            <w:r/>
            <w:r>
              <w:rPr>
                <w:rFonts w:ascii="Aptos" w:hAnsi="Aptos"/>
                <w:b/>
                <w:color w:val="595959"/>
                <w:sz w:val="28"/>
              </w:rPr>
              <w:t>→</w:t>
            </w:r>
          </w:p>
        </w:tc>
        <w:tc>
          <w:tcPr>
            <w:tcW w:type="dxa" w:w="1440"/>
            <w:shd w:fill="4472C4"/>
            <w:vAlign w:val="center"/>
          </w:tcPr>
          <w:p>
            <w:pPr>
              <w:jc w:val="center"/>
            </w:pPr>
            <w:r/>
            <w:r>
              <w:rPr>
                <w:rFonts w:ascii="Aptos" w:hAnsi="Aptos"/>
                <w:b/>
                <w:color w:val="FFFFFF"/>
                <w:sz w:val="17"/>
              </w:rPr>
              <w:t>Update Checklist</w:t>
              <w:br/>
              <w:t>Status</w:t>
            </w:r>
          </w:p>
        </w:tc>
        <w:tc>
          <w:tcPr>
            <w:tcW w:type="dxa" w:w="1440"/>
            <w:vAlign w:val="center"/>
          </w:tcPr>
          <w:p>
            <w:pPr>
              <w:jc w:val="center"/>
            </w:pPr>
            <w:r/>
            <w:r>
              <w:rPr>
                <w:rFonts w:ascii="Aptos" w:hAnsi="Aptos"/>
                <w:b/>
                <w:color w:val="595959"/>
                <w:sz w:val="28"/>
              </w:rPr>
              <w:t>→</w:t>
            </w:r>
          </w:p>
        </w:tc>
        <w:tc>
          <w:tcPr>
            <w:tcW w:type="dxa" w:w="1440"/>
            <w:shd w:fill="C65911"/>
            <w:vAlign w:val="center"/>
          </w:tcPr>
          <w:p>
            <w:pPr>
              <w:jc w:val="center"/>
            </w:pPr>
            <w:r/>
            <w:r>
              <w:rPr>
                <w:rFonts w:ascii="Aptos" w:hAnsi="Aptos"/>
                <w:b/>
                <w:color w:val="FFFFFF"/>
                <w:sz w:val="17"/>
              </w:rPr>
              <w:t>Audit / Error</w:t>
              <w:br/>
              <w:t>Monitoring</w:t>
            </w:r>
          </w:p>
        </w:tc>
      </w:tr>
    </w:tbl>
    <w:p>
      <w:r>
        <w:rPr>
          <w:b/>
        </w:rPr>
        <w:t xml:space="preserve">Phase 2 is conditional. </w:t>
      </w:r>
      <w:r>
        <w:t>Before committing to it, confirm that Ardent’s Symplr environment exposes the required operations, that API access is licensed, and that the integration can meet security and reliability requirements.</w:t>
      </w:r>
    </w:p>
    <w:p>
      <w:pPr>
        <w:pStyle w:val="Heading1"/>
      </w:pPr>
      <w:r>
        <w:t>5. Research / POC Questions</w:t>
      </w:r>
    </w:p>
    <w:p>
      <w:pPr>
        <w:pStyle w:val="ListBullet"/>
      </w:pPr>
      <w:r>
        <w:t>What specifically failed or behaved inconsistently in the previous Power Automate integration?</w:t>
      </w:r>
    </w:p>
    <w:p>
      <w:pPr>
        <w:pStyle w:val="ListBullet"/>
      </w:pPr>
      <w:r>
        <w:t>Is manual upload of the completed reference into Symplr acceptable for the initial release?</w:t>
      </w:r>
    </w:p>
    <w:p>
      <w:pPr>
        <w:pStyle w:val="ListBullet"/>
      </w:pPr>
      <w:r>
        <w:t>Who owns/administers Symplr and can confirm API and integration capabilities?</w:t>
      </w:r>
    </w:p>
    <w:p>
      <w:pPr>
        <w:pStyle w:val="ListBullet"/>
      </w:pPr>
      <w:r>
        <w:t>Can Symplr accept document uploads and checklist updates through an API in Ardent’s environment?</w:t>
      </w:r>
    </w:p>
    <w:p>
      <w:pPr>
        <w:pStyle w:val="ListBullet"/>
      </w:pPr>
      <w:r>
        <w:t>What Power Automate and Symplr licensing would be required for direct integration?</w:t>
      </w:r>
    </w:p>
    <w:p>
      <w:pPr>
        <w:pStyle w:val="ListBullet"/>
      </w:pPr>
      <w:r>
        <w:t>Are peer reviewers external to Ardent, and what level of identity verification is required?</w:t>
      </w:r>
    </w:p>
    <w:p>
      <w:pPr>
        <w:pStyle w:val="ListBullet"/>
      </w:pPr>
      <w:r>
        <w:t>What retention, access-control and audit requirements apply to peer-reference records?</w:t>
      </w:r>
    </w:p>
    <w:p>
      <w:pPr>
        <w:pStyle w:val="ListBullet"/>
      </w:pPr>
      <w:r>
        <w:t>How should failures, retries, duplicate submissions and support notifications be handled?</w:t>
      </w:r>
    </w:p>
    <w:p>
      <w:pPr>
        <w:pStyle w:val="ListBullet"/>
      </w:pPr>
      <w:r>
        <w:t>Who should receive MSO notifications, and can an existing managed distribution list be used?</w:t>
      </w:r>
    </w:p>
    <w:p>
      <w:pPr>
        <w:pStyle w:val="ListBullet"/>
      </w:pPr>
      <w:r>
        <w:t>What is the required POC, UAT and production timeline ahead of December 31?</w:t>
      </w:r>
    </w:p>
    <w:p>
      <w:pPr>
        <w:pStyle w:val="Heading1"/>
      </w:pPr>
      <w:r>
        <w:t>6. Initial Recommendation</w:t>
      </w:r>
    </w:p>
    <w:tbl>
      <w:tblPr>
        <w:tblW w:type="auto" w:w="0"/>
        <w:jc w:val="center"/>
        <w:tblLook w:firstColumn="1" w:firstRow="1" w:lastColumn="0" w:lastRow="0" w:noHBand="0" w:noVBand="1" w:val="04A0"/>
      </w:tblPr>
      <w:tblGrid>
        <w:gridCol w:w="10080"/>
      </w:tblGrid>
      <w:tr>
        <w:tc>
          <w:tcPr>
            <w:tcW w:type="dxa" w:w="10080"/>
            <w:shd w:fill="EAF2F8"/>
          </w:tcPr>
          <w:p>
            <w:pPr>
              <w:jc w:val="left"/>
            </w:pPr>
            <w:r>
              <w:rPr>
                <w:b/>
                <w:sz w:val="21"/>
              </w:rPr>
              <w:t>Proceed with a small Microsoft 365 proof of concept while investigating Symplr integration in parallel. Use Phase 1 to validate Forms, Power Automate, SharePoint, security, auditability and operational reliability. If manual Symplr upload is acceptable, keep it as the initial path so the December deadline is not dependent on API work. Move to Phase 2 only after Symplr API capability, licensing and reliability have been confirmed.</w:t>
            </w:r>
          </w:p>
        </w:tc>
      </w:tr>
    </w:tbl>
    <w:p>
      <w:pPr>
        <w:pStyle w:val="Heading1"/>
      </w:pPr>
      <w:r>
        <w:t>7. Desired Outcome from the Meeting</w:t>
      </w:r>
    </w:p>
    <w:p>
      <w:r>
        <w:t>Leave the discussion with agreement on the Phase 1 scope, the acceptable level of manual Symplr handling, the Symplr technical/business owner, security requirements for external peer identity, and the timeline for a proof of concept.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Peer Reference Automation — Initial Research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