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Accomplishments Summary – Recent Weeks</w:t>
      </w:r>
    </w:p>
    <w:p>
      <w:pPr>
        <w:pStyle w:val="Heading2"/>
      </w:pPr>
      <w:r>
        <w:t>1. Role-Level Security (RLS) Documentation</w:t>
      </w:r>
    </w:p>
    <w:p>
      <w:pPr>
        <w:pStyle w:val="ListBullet"/>
      </w:pPr>
      <w:r>
        <w:t>Created a complete inventory of all data roles across the organization (Analysts, Developers, Data Engineers, Power BI Consumers, and Auditors).</w:t>
      </w:r>
    </w:p>
    <w:p>
      <w:pPr>
        <w:pStyle w:val="ListBullet"/>
      </w:pPr>
      <w:r>
        <w:t>Documented the purpose, permissions, and responsibilities for each role.</w:t>
      </w:r>
    </w:p>
    <w:p>
      <w:pPr>
        <w:pStyle w:val="ListBullet"/>
      </w:pPr>
      <w:r>
        <w:t>Outlined the required approval workflow and governance process for granting access.</w:t>
      </w:r>
    </w:p>
    <w:p>
      <w:pPr>
        <w:pStyle w:val="ListBullet"/>
      </w:pPr>
      <w:r>
        <w:t>Prepared the structure for table-, row-, and column-level security, pending final AD group alignment before full role mapping and implementation.</w:t>
      </w:r>
    </w:p>
    <w:p>
      <w:pPr>
        <w:pStyle w:val="Heading2"/>
      </w:pPr>
      <w:r>
        <w:t>2. Data Classification Matrix</w:t>
      </w:r>
    </w:p>
    <w:p>
      <w:pPr>
        <w:pStyle w:val="ListBullet"/>
      </w:pPr>
      <w:r>
        <w:t>Completed a full inventory of all TERA tables.</w:t>
      </w:r>
    </w:p>
    <w:p>
      <w:pPr>
        <w:pStyle w:val="ListBullet"/>
      </w:pPr>
      <w:r>
        <w:t>Identified and labeled all PHI/PII fields within each dataset.</w:t>
      </w:r>
    </w:p>
    <w:p>
      <w:pPr>
        <w:pStyle w:val="ListBullet"/>
      </w:pPr>
      <w:r>
        <w:t>Produced table-level summaries showing sensitive fields, business purpose, and recommended security tier (High / Medium / General).</w:t>
      </w:r>
    </w:p>
    <w:p>
      <w:pPr>
        <w:pStyle w:val="ListBullet"/>
      </w:pPr>
      <w:r>
        <w:t>Delivered a consolidated matrix that will guide masking, data governance, and Dev/Test compliance.</w:t>
      </w:r>
    </w:p>
    <w:p>
      <w:pPr>
        <w:pStyle w:val="Heading2"/>
      </w:pPr>
      <w:r>
        <w:t>3. HIPAA-Compliant Dev/Test Data Strategy</w:t>
      </w:r>
    </w:p>
    <w:p>
      <w:pPr>
        <w:pStyle w:val="ListBullet"/>
      </w:pPr>
      <w:r>
        <w:t>Developed a complete strategy for handling PHI/PII in non-production environments.</w:t>
      </w:r>
    </w:p>
    <w:p>
      <w:pPr>
        <w:pStyle w:val="ListBullet"/>
      </w:pPr>
      <w:r>
        <w:t>Defined de-identification and masking rules for all sensitive fields.</w:t>
      </w:r>
    </w:p>
    <w:p>
      <w:pPr>
        <w:pStyle w:val="ListBullet"/>
      </w:pPr>
      <w:r>
        <w:t>Ensured Dev/Test environments will use masked or de-identified data only, protecting developers from exposure to raw PHI.</w:t>
      </w:r>
    </w:p>
    <w:p>
      <w:pPr>
        <w:pStyle w:val="ListBullet"/>
      </w:pPr>
      <w:r>
        <w:t>Established guidelines for audit logging and environment segregation (no production PHI in non-prod).</w:t>
      </w:r>
    </w:p>
    <w:p>
      <w:pPr>
        <w:pStyle w:val="Heading2"/>
      </w:pPr>
      <w:r>
        <w:t>4. Secure-by-Design Implementation</w:t>
      </w:r>
    </w:p>
    <w:p>
      <w:pPr>
        <w:pStyle w:val="ListBullet"/>
      </w:pPr>
      <w:r>
        <w:t>Documented core security principles: least privilege and auditability.</w:t>
      </w:r>
    </w:p>
    <w:p>
      <w:pPr>
        <w:pStyle w:val="ListBullet"/>
      </w:pPr>
      <w:r>
        <w:t>Delivered a walkthrough demonstrating the planned security architecture, masking logic, and access controls.</w:t>
      </w:r>
    </w:p>
    <w:p>
      <w:pPr>
        <w:pStyle w:val="ListBullet"/>
      </w:pPr>
      <w:r>
        <w:t>Implemented centralized logging guidance, including audit trails for data access, permission changes, and sensitive operations.</w:t>
      </w:r>
    </w:p>
    <w:p>
      <w:pPr>
        <w:pStyle w:val="ListBullet"/>
      </w:pPr>
      <w:r>
        <w:t>Prepared the foundation for ongoing governance and compliance audits.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