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7E389" w14:textId="77777777" w:rsidR="009806FC" w:rsidRPr="009806FC" w:rsidRDefault="009806FC" w:rsidP="009806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06FC">
        <w:rPr>
          <w:rFonts w:ascii="Times New Roman" w:eastAsia="Times New Roman" w:hAnsi="Times New Roman" w:cs="Times New Roman"/>
          <w:b/>
          <w:bCs/>
          <w:kern w:val="36"/>
          <w:sz w:val="48"/>
          <w:szCs w:val="48"/>
        </w:rPr>
        <w:t>EXECUTIVE SUMMARY YOU CAN READ OUT LOUD</w:t>
      </w:r>
    </w:p>
    <w:p w14:paraId="7890D828" w14:textId="77777777" w:rsidR="009806FC" w:rsidRPr="009806FC" w:rsidRDefault="009806FC" w:rsidP="009806FC">
      <w:pPr>
        <w:spacing w:before="100" w:beforeAutospacing="1" w:after="100" w:afterAutospacing="1" w:line="240" w:lineRule="auto"/>
        <w:rPr>
          <w:rFonts w:ascii="Times New Roman" w:eastAsia="Times New Roman" w:hAnsi="Times New Roman" w:cs="Times New Roman"/>
          <w:sz w:val="24"/>
          <w:szCs w:val="24"/>
        </w:rPr>
      </w:pPr>
      <w:r w:rsidRPr="009806FC">
        <w:rPr>
          <w:rFonts w:ascii="Times New Roman" w:eastAsia="Times New Roman" w:hAnsi="Times New Roman" w:cs="Times New Roman"/>
          <w:sz w:val="24"/>
          <w:szCs w:val="24"/>
        </w:rPr>
        <w:t>“Our POC demonstrates that we can safely tokenize sensitive PII data across multiple systems while preserving format, usability, and reversibility.</w:t>
      </w:r>
      <w:r w:rsidRPr="009806FC">
        <w:rPr>
          <w:rFonts w:ascii="Times New Roman" w:eastAsia="Times New Roman" w:hAnsi="Times New Roman" w:cs="Times New Roman"/>
          <w:sz w:val="24"/>
          <w:szCs w:val="24"/>
        </w:rPr>
        <w:br/>
        <w:t>Tokenization protects PII in non-production environments, strengthens governance, and reduces risk exposure.</w:t>
      </w:r>
      <w:r w:rsidRPr="009806FC">
        <w:rPr>
          <w:rFonts w:ascii="Times New Roman" w:eastAsia="Times New Roman" w:hAnsi="Times New Roman" w:cs="Times New Roman"/>
          <w:sz w:val="24"/>
          <w:szCs w:val="24"/>
        </w:rPr>
        <w:br/>
        <w:t>The framework is reusable, scalable, and ready for integration into our ETL pipelines and provisioning processes.”</w:t>
      </w:r>
    </w:p>
    <w:p w14:paraId="2B4DE706" w14:textId="77777777" w:rsidR="009806FC" w:rsidRDefault="009806FC">
      <w:pPr>
        <w:pStyle w:val="Titre1"/>
      </w:pPr>
    </w:p>
    <w:p w14:paraId="53CF0CAE" w14:textId="77777777" w:rsidR="009806FC" w:rsidRDefault="009806FC">
      <w:pPr>
        <w:pStyle w:val="Titre1"/>
      </w:pPr>
    </w:p>
    <w:p w14:paraId="5F232E7E" w14:textId="77777777" w:rsidR="009806FC" w:rsidRDefault="009806FC">
      <w:pPr>
        <w:pStyle w:val="Titre1"/>
      </w:pPr>
    </w:p>
    <w:p w14:paraId="2CB6FB08" w14:textId="77777777" w:rsidR="009806FC" w:rsidRDefault="009806FC">
      <w:pPr>
        <w:pStyle w:val="Titre1"/>
      </w:pPr>
    </w:p>
    <w:p w14:paraId="7B32849A" w14:textId="63BB8A56" w:rsidR="0092049E" w:rsidRDefault="00000000">
      <w:pPr>
        <w:pStyle w:val="Titre1"/>
      </w:pPr>
      <w:r>
        <w:t>Technical Explanations for Tokenization POC</w:t>
      </w:r>
    </w:p>
    <w:p w14:paraId="5C160646" w14:textId="77777777" w:rsidR="0092049E" w:rsidRDefault="00000000">
      <w:pPr>
        <w:pStyle w:val="Titre2"/>
      </w:pPr>
      <w:r>
        <w:t>Deterministic hashing → ensures repeatable tokens</w:t>
      </w:r>
    </w:p>
    <w:p w14:paraId="53FB8EDC" w14:textId="77777777" w:rsidR="0092049E" w:rsidRDefault="00000000">
      <w:r>
        <w:t>In our design, tokenization is deterministic, meaning the same original value always produces the same token. We achieve this by using a stable function of the original value rather than a purely random value. This ensures consistency across systems and allows BI to group, join, and filter without exposing real PII.</w:t>
      </w:r>
    </w:p>
    <w:p w14:paraId="74A4692F" w14:textId="77777777" w:rsidR="0092049E" w:rsidRDefault="00000000">
      <w:pPr>
        <w:pStyle w:val="Titre2"/>
      </w:pPr>
      <w:r>
        <w:t>Why DOB needed a custom function</w:t>
      </w:r>
    </w:p>
    <w:p w14:paraId="6264130D" w14:textId="77777777" w:rsidR="0092049E" w:rsidRDefault="00000000">
      <w:r>
        <w:t>DOB is stored as a datetime data type, which requires valid date formats. Standard string tokenization generates characters that are not valid dates, causing SQL errors. Therefore, we created a custom DOB masking function that generates fake but valid dates while keeping determinism.</w:t>
      </w:r>
    </w:p>
    <w:p w14:paraId="343BD7FA" w14:textId="77777777" w:rsidR="0092049E" w:rsidRDefault="00000000">
      <w:pPr>
        <w:pStyle w:val="Titre2"/>
      </w:pPr>
      <w:r>
        <w:t>Why format preserving matters to BI</w:t>
      </w:r>
    </w:p>
    <w:p w14:paraId="76D96E21" w14:textId="77777777" w:rsidR="0092049E" w:rsidRDefault="00000000">
      <w:r>
        <w:t>Format-preserving tokenization means tokenized values still resemble their original structure (emails look like emails, phone numbers look like phone numbers, etc.). This preserves dashboard logic, validation rules, joins, and reporting functionality.</w:t>
      </w:r>
    </w:p>
    <w:p w14:paraId="0E62DFCD" w14:textId="77777777" w:rsidR="0092049E" w:rsidRDefault="00000000">
      <w:pPr>
        <w:pStyle w:val="Titre2"/>
      </w:pPr>
      <w:r>
        <w:lastRenderedPageBreak/>
        <w:t>How uniqueness collisions were resolved for large tables</w:t>
      </w:r>
    </w:p>
    <w:p w14:paraId="02308009" w14:textId="77777777" w:rsidR="0092049E" w:rsidRDefault="00000000">
      <w:r>
        <w:t>Originally, each row required a unique token, which caused collisions when token formats were limited. We resolved this by enforcing uniqueness per original value, not per row. This eliminated collisions and ensured consistent token reuse for identical values.</w:t>
      </w:r>
    </w:p>
    <w:p w14:paraId="19AC9477" w14:textId="77777777" w:rsidR="0092049E" w:rsidRDefault="00000000">
      <w:pPr>
        <w:pStyle w:val="Titre2"/>
      </w:pPr>
      <w:r>
        <w:t>Token_Map indexes</w:t>
      </w:r>
    </w:p>
    <w:p w14:paraId="0CC85FBE" w14:textId="77777777" w:rsidR="0092049E" w:rsidRDefault="00000000">
      <w:r>
        <w:t>Token_Map uses indexes to ensure fast lookups and reversibility. A unique index ensures one token per original value. Additional indexes support fast reverse lookups by token.</w:t>
      </w:r>
    </w:p>
    <w:p w14:paraId="7E0DC394" w14:textId="77777777" w:rsidR="0092049E" w:rsidRDefault="00000000">
      <w:pPr>
        <w:pStyle w:val="Titre2"/>
      </w:pPr>
      <w:r>
        <w:t>Performance considerations (cursor row-by-row vs set-based options)</w:t>
      </w:r>
    </w:p>
    <w:p w14:paraId="7114F083" w14:textId="77777777" w:rsidR="0092049E" w:rsidRDefault="00000000">
      <w:r>
        <w:t>The POC uses a cursor-based approach for clarity and precision. This ensures accurate row-by-row token generation. For large-scale production, set-based operations, batching, and off-hours execution can be used for performance optimization.</w:t>
      </w:r>
    </w:p>
    <w:p w14:paraId="4B5BB339" w14:textId="77777777" w:rsidR="0092049E" w:rsidRDefault="00000000">
      <w:pPr>
        <w:pStyle w:val="Titre2"/>
      </w:pPr>
      <w:r>
        <w:t>Role-based permissions for reversal</w:t>
      </w:r>
    </w:p>
    <w:p w14:paraId="17F75F43" w14:textId="77777777" w:rsidR="0092049E" w:rsidRDefault="00000000">
      <w:r>
        <w:t>Reversal privileges are restricted to a limited admin group following least privilege principles. Tokenization can be performed broadly, but reversal requires elevated permission. Auditing can be added to track who performs reversals and when.</w:t>
      </w:r>
    </w:p>
    <w:sectPr w:rsidR="009204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87072568">
    <w:abstractNumId w:val="8"/>
  </w:num>
  <w:num w:numId="2" w16cid:durableId="452868848">
    <w:abstractNumId w:val="6"/>
  </w:num>
  <w:num w:numId="3" w16cid:durableId="2127195748">
    <w:abstractNumId w:val="5"/>
  </w:num>
  <w:num w:numId="4" w16cid:durableId="894006349">
    <w:abstractNumId w:val="4"/>
  </w:num>
  <w:num w:numId="5" w16cid:durableId="1906988440">
    <w:abstractNumId w:val="7"/>
  </w:num>
  <w:num w:numId="6" w16cid:durableId="1572889148">
    <w:abstractNumId w:val="3"/>
  </w:num>
  <w:num w:numId="7" w16cid:durableId="308903773">
    <w:abstractNumId w:val="2"/>
  </w:num>
  <w:num w:numId="8" w16cid:durableId="1187673620">
    <w:abstractNumId w:val="1"/>
  </w:num>
  <w:num w:numId="9" w16cid:durableId="1072848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049E"/>
    <w:rsid w:val="009806FC"/>
    <w:rsid w:val="00AA1D8D"/>
    <w:rsid w:val="00B47730"/>
    <w:rsid w:val="00CB0664"/>
    <w:rsid w:val="00E371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E777A"/>
  <w14:defaultImageDpi w14:val="300"/>
  <w15:docId w15:val="{1EF55FBD-0FFC-47F2-9C31-2777AB88E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333</Words>
  <Characters>2202</Characters>
  <Application>Microsoft Office Word</Application>
  <DocSecurity>0</DocSecurity>
  <Lines>34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serge tchuenteu</cp:lastModifiedBy>
  <cp:revision>2</cp:revision>
  <dcterms:created xsi:type="dcterms:W3CDTF">2013-12-23T23:15:00Z</dcterms:created>
  <dcterms:modified xsi:type="dcterms:W3CDTF">2025-11-20T21:24:00Z</dcterms:modified>
  <cp:category/>
</cp:coreProperties>
</file>