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E4DE" w14:textId="77777777" w:rsidR="00742297" w:rsidRDefault="00967B12">
      <w:pPr>
        <w:pStyle w:val="Titre1"/>
      </w:pPr>
      <w:r>
        <w:t>Role-Based Access Control (RBAC) Framework – Updated</w:t>
      </w:r>
    </w:p>
    <w:p w14:paraId="4A47E3CD" w14:textId="77777777" w:rsidR="00742297" w:rsidRDefault="00967B12">
      <w:pPr>
        <w:pStyle w:val="Titre2"/>
      </w:pPr>
      <w:r>
        <w:t>1. PHI Sensitivity Classification</w:t>
      </w:r>
    </w:p>
    <w:p w14:paraId="42FB106E" w14:textId="77777777" w:rsidR="00742297" w:rsidRDefault="00967B12">
      <w:r>
        <w:t>General PHI: encounter number, age, diagnosis, visit-level fields.</w:t>
      </w:r>
    </w:p>
    <w:p w14:paraId="34B22773" w14:textId="77777777" w:rsidR="00742297" w:rsidRDefault="00967B12">
      <w:r>
        <w:t>Highly Sensitive PHI: SSN, full DOB, full name, financial info, mental health notes.</w:t>
      </w:r>
    </w:p>
    <w:p w14:paraId="31A0384D" w14:textId="77777777" w:rsidR="00742297" w:rsidRDefault="00967B12">
      <w:r>
        <w:t>General PHI available in masked form; HS-PHI restricted to approved roles only.</w:t>
      </w:r>
    </w:p>
    <w:p w14:paraId="6A9CAD6C" w14:textId="77777777" w:rsidR="00742297" w:rsidRDefault="00967B12">
      <w:pPr>
        <w:pStyle w:val="Titre2"/>
      </w:pPr>
      <w:r>
        <w:t>2. Roles Overview</w:t>
      </w:r>
    </w:p>
    <w:p w14:paraId="17B60511" w14:textId="77777777" w:rsidR="00742297" w:rsidRDefault="00967B12">
      <w:r>
        <w:t>Analysts: read-only curated datasets; no HS-PHI.</w:t>
      </w:r>
    </w:p>
    <w:p w14:paraId="3CED282E" w14:textId="77777777" w:rsidR="00742297" w:rsidRDefault="00967B12">
      <w:r>
        <w:t>Analyst‑Lite: aggregated views only; no patient-level details.</w:t>
      </w:r>
    </w:p>
    <w:p w14:paraId="712B3FBB" w14:textId="77777777" w:rsidR="00742297" w:rsidRDefault="00967B12">
      <w:r>
        <w:t>Developers: tokenized data in Dev/Test; governed access in Prod.</w:t>
      </w:r>
    </w:p>
    <w:p w14:paraId="2338CCAA" w14:textId="77777777" w:rsidR="00742297" w:rsidRDefault="00967B12">
      <w:r>
        <w:t>Power BI Users: semantic model access only.</w:t>
      </w:r>
    </w:p>
    <w:p w14:paraId="5510669B" w14:textId="77777777" w:rsidR="00742297" w:rsidRDefault="00967B12">
      <w:r>
        <w:t>Data Stewards: metadata, classification, approval workflow.</w:t>
      </w:r>
    </w:p>
    <w:p w14:paraId="713D21C5" w14:textId="77777777" w:rsidR="00742297" w:rsidRDefault="00967B12">
      <w:r>
        <w:t>Auditors: case-by-case access for compliance reviews.</w:t>
      </w:r>
    </w:p>
    <w:p w14:paraId="51457E1F" w14:textId="77777777" w:rsidR="00742297" w:rsidRDefault="00967B12">
      <w:pPr>
        <w:pStyle w:val="Titre2"/>
      </w:pPr>
      <w:r>
        <w:t>3. Tokenization and Masking (Dev/Test)</w:t>
      </w:r>
    </w:p>
    <w:p w14:paraId="72045954" w14:textId="77777777" w:rsidR="00742297" w:rsidRDefault="00967B12">
      <w:r>
        <w:t>No real PHI/PII in Dev/Test.</w:t>
      </w:r>
    </w:p>
    <w:p w14:paraId="2BE3E533" w14:textId="77777777" w:rsidR="00742297" w:rsidRDefault="00967B12">
      <w:r>
        <w:t>Use tokenized MRN, encounter, names, SSN.</w:t>
      </w:r>
    </w:p>
    <w:p w14:paraId="60DCAEC4" w14:textId="77777777" w:rsidR="00742297" w:rsidRDefault="00967B12">
      <w:r>
        <w:t>DOB shifted/generalized.</w:t>
      </w:r>
    </w:p>
    <w:p w14:paraId="0D297BDC" w14:textId="77777777" w:rsidR="00742297" w:rsidRDefault="00967B12">
      <w:r>
        <w:t>Maintains referential integrity without risk.</w:t>
      </w:r>
    </w:p>
    <w:p w14:paraId="0B81548F" w14:textId="77777777" w:rsidR="00742297" w:rsidRDefault="00967B12">
      <w:pPr>
        <w:pStyle w:val="Titre2"/>
      </w:pPr>
      <w:r>
        <w:t>4. Production RLS/CLS Model</w:t>
      </w:r>
    </w:p>
    <w:p w14:paraId="7B9596D0" w14:textId="77777777" w:rsidR="00742297" w:rsidRDefault="00967B12">
      <w:r>
        <w:t>Table-level control, row-level security, column masking on PHI fields.</w:t>
      </w:r>
    </w:p>
    <w:p w14:paraId="34C7917D" w14:textId="77777777" w:rsidR="00742297" w:rsidRDefault="00967B12">
      <w:r>
        <w:t>Least-privilege enforced through AD groups.</w:t>
      </w:r>
    </w:p>
    <w:p w14:paraId="67253FD9" w14:textId="77777777" w:rsidR="00742297" w:rsidRDefault="00967B12">
      <w:r>
        <w:t>Analyst-Lite restricted to aggregation-level views.</w:t>
      </w:r>
    </w:p>
    <w:p w14:paraId="1B0F6710" w14:textId="77777777" w:rsidR="00742297" w:rsidRDefault="00967B12">
      <w:pPr>
        <w:pStyle w:val="Titre2"/>
      </w:pPr>
      <w:r>
        <w:t>5. Epic Access Clarification</w:t>
      </w:r>
    </w:p>
    <w:p w14:paraId="38F194A0" w14:textId="77777777" w:rsidR="00742297" w:rsidRDefault="00967B12">
      <w:r>
        <w:t>Epic roles are broader; warehouse RBAC must be more restrictive.</w:t>
      </w:r>
    </w:p>
    <w:p w14:paraId="26DF805D" w14:textId="77777777" w:rsidR="00742297" w:rsidRDefault="00967B12">
      <w:r>
        <w:t>Access in DB and BI layers controlled independently from Epic.</w:t>
      </w:r>
    </w:p>
    <w:p w14:paraId="674C3923" w14:textId="77777777" w:rsidR="00742297" w:rsidRDefault="00967B12">
      <w:pPr>
        <w:pStyle w:val="Titre2"/>
      </w:pPr>
      <w:r>
        <w:t>6. Power BI Security</w:t>
      </w:r>
    </w:p>
    <w:p w14:paraId="7238ED3F" w14:textId="77777777" w:rsidR="00742297" w:rsidRDefault="00967B12">
      <w:r>
        <w:t>Primary enforcement at DB level (RLS/CLS).</w:t>
      </w:r>
    </w:p>
    <w:p w14:paraId="0CF27B8E" w14:textId="77777777" w:rsidR="00742297" w:rsidRDefault="00967B12">
      <w:r>
        <w:t>Secondary reinforcement in Power BI for department/facility filters.</w:t>
      </w:r>
    </w:p>
    <w:p w14:paraId="4D7ABF31" w14:textId="77777777" w:rsidR="00742297" w:rsidRDefault="00967B12">
      <w:pPr>
        <w:pStyle w:val="Titre2"/>
      </w:pPr>
      <w:r>
        <w:lastRenderedPageBreak/>
        <w:t>7. Access Request &amp; Governance Workflow</w:t>
      </w:r>
    </w:p>
    <w:p w14:paraId="79059503" w14:textId="77777777" w:rsidR="00742297" w:rsidRDefault="00967B12">
      <w:r>
        <w:t>User → Manager → Data Steward → Security → DBA Provisioning → Audit Logging → Quarterly Review.</w:t>
      </w:r>
    </w:p>
    <w:p w14:paraId="3D7E2AFB" w14:textId="77777777" w:rsidR="00967B12" w:rsidRDefault="00967B12"/>
    <w:p w14:paraId="3C93F30F" w14:textId="77777777" w:rsidR="00967B12" w:rsidRDefault="00967B12"/>
    <w:p w14:paraId="4C71DE69" w14:textId="77777777" w:rsidR="00967B12" w:rsidRPr="00967B12" w:rsidRDefault="00967B12" w:rsidP="00967B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B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Short Version (if you prefer to send a brief reply)</w:t>
      </w:r>
    </w:p>
    <w:p w14:paraId="476E3AEF" w14:textId="77777777" w:rsidR="00967B12" w:rsidRPr="00967B12" w:rsidRDefault="00967B12" w:rsidP="0096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B12">
        <w:rPr>
          <w:rFonts w:ascii="Times New Roman" w:eastAsia="Times New Roman" w:hAnsi="Times New Roman" w:cs="Times New Roman"/>
          <w:sz w:val="24"/>
          <w:szCs w:val="24"/>
        </w:rPr>
        <w:t>These are great points — here’s how we can address them:</w:t>
      </w:r>
    </w:p>
    <w:p w14:paraId="6AD7C607" w14:textId="77777777" w:rsidR="00967B12" w:rsidRPr="00967B12" w:rsidRDefault="00967B12" w:rsidP="0096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B12">
        <w:rPr>
          <w:rFonts w:ascii="Times New Roman" w:eastAsia="Times New Roman" w:hAnsi="Times New Roman" w:cs="Times New Roman"/>
          <w:b/>
          <w:bCs/>
          <w:sz w:val="24"/>
          <w:szCs w:val="24"/>
        </w:rPr>
        <w:t>1. Senior-level users:</w:t>
      </w:r>
      <w:r w:rsidRPr="00967B12">
        <w:rPr>
          <w:rFonts w:ascii="Times New Roman" w:eastAsia="Times New Roman" w:hAnsi="Times New Roman" w:cs="Times New Roman"/>
          <w:sz w:val="24"/>
          <w:szCs w:val="24"/>
        </w:rPr>
        <w:t xml:space="preserve"> We can create an “Analyst-Lite” role that provides aggregated data without patient-level PHI so leadership can see trends without overexposure.</w:t>
      </w:r>
    </w:p>
    <w:p w14:paraId="72D4E743" w14:textId="77777777" w:rsidR="00967B12" w:rsidRPr="00967B12" w:rsidRDefault="00967B12" w:rsidP="0096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B12">
        <w:rPr>
          <w:rFonts w:ascii="Times New Roman" w:eastAsia="Times New Roman" w:hAnsi="Times New Roman" w:cs="Times New Roman"/>
          <w:b/>
          <w:bCs/>
          <w:sz w:val="24"/>
          <w:szCs w:val="24"/>
        </w:rPr>
        <w:t>2. PHI in Dev/Test:</w:t>
      </w:r>
      <w:r w:rsidRPr="00967B12">
        <w:rPr>
          <w:rFonts w:ascii="Times New Roman" w:eastAsia="Times New Roman" w:hAnsi="Times New Roman" w:cs="Times New Roman"/>
          <w:sz w:val="24"/>
          <w:szCs w:val="24"/>
        </w:rPr>
        <w:t xml:space="preserve"> Developers and analysts won’t need real PHI. We’ll use tokenized and masked data so they can still validate encounter logic without exposing identities.</w:t>
      </w:r>
    </w:p>
    <w:p w14:paraId="6CB8E4C1" w14:textId="77777777" w:rsidR="00967B12" w:rsidRPr="00967B12" w:rsidRDefault="00967B12" w:rsidP="0096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B12">
        <w:rPr>
          <w:rFonts w:ascii="Times New Roman" w:eastAsia="Times New Roman" w:hAnsi="Times New Roman" w:cs="Times New Roman"/>
          <w:b/>
          <w:bCs/>
          <w:sz w:val="24"/>
          <w:szCs w:val="24"/>
        </w:rPr>
        <w:t>3. Power BI Security:</w:t>
      </w:r>
      <w:r w:rsidRPr="00967B12">
        <w:rPr>
          <w:rFonts w:ascii="Times New Roman" w:eastAsia="Times New Roman" w:hAnsi="Times New Roman" w:cs="Times New Roman"/>
          <w:sz w:val="24"/>
          <w:szCs w:val="24"/>
        </w:rPr>
        <w:t xml:space="preserve"> The primary security layer will be database RLS/CLS. Power BI RLS will be used only for report-level filtering, not PHI protection.</w:t>
      </w:r>
    </w:p>
    <w:p w14:paraId="0C2CC437" w14:textId="77777777" w:rsidR="00967B12" w:rsidRPr="00967B12" w:rsidRDefault="00967B12" w:rsidP="0096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B12">
        <w:rPr>
          <w:rFonts w:ascii="Times New Roman" w:eastAsia="Times New Roman" w:hAnsi="Times New Roman" w:cs="Times New Roman"/>
          <w:sz w:val="24"/>
          <w:szCs w:val="24"/>
        </w:rPr>
        <w:t xml:space="preserve">I’ll incorporate these refinements into the RBAC </w:t>
      </w:r>
      <w:proofErr w:type="gramStart"/>
      <w:r w:rsidRPr="00967B12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gramEnd"/>
      <w:r w:rsidRPr="00967B12">
        <w:rPr>
          <w:rFonts w:ascii="Times New Roman" w:eastAsia="Times New Roman" w:hAnsi="Times New Roman" w:cs="Times New Roman"/>
          <w:sz w:val="24"/>
          <w:szCs w:val="24"/>
        </w:rPr>
        <w:t xml:space="preserve"> so everything stays aligned with HIPAA and </w:t>
      </w:r>
      <w:proofErr w:type="gramStart"/>
      <w:r w:rsidRPr="00967B12">
        <w:rPr>
          <w:rFonts w:ascii="Times New Roman" w:eastAsia="Times New Roman" w:hAnsi="Times New Roman" w:cs="Times New Roman"/>
          <w:sz w:val="24"/>
          <w:szCs w:val="24"/>
        </w:rPr>
        <w:t>least-privilege</w:t>
      </w:r>
      <w:proofErr w:type="gramEnd"/>
      <w:r w:rsidRPr="00967B12">
        <w:rPr>
          <w:rFonts w:ascii="Times New Roman" w:eastAsia="Times New Roman" w:hAnsi="Times New Roman" w:cs="Times New Roman"/>
          <w:sz w:val="24"/>
          <w:szCs w:val="24"/>
        </w:rPr>
        <w:t xml:space="preserve"> access.</w:t>
      </w:r>
    </w:p>
    <w:p w14:paraId="45AF7EFC" w14:textId="77777777" w:rsidR="00967B12" w:rsidRDefault="00967B12"/>
    <w:p w14:paraId="2D99BA6D" w14:textId="77777777" w:rsidR="00967B12" w:rsidRDefault="00967B12"/>
    <w:p w14:paraId="54476B40" w14:textId="77777777" w:rsidR="00967B12" w:rsidRDefault="00967B12" w:rsidP="00967B12">
      <w:pPr>
        <w:pStyle w:val="NormalWeb"/>
      </w:pPr>
      <w:r>
        <w:t xml:space="preserve">Thank you for bringing this up — you’re </w:t>
      </w:r>
      <w:proofErr w:type="gramStart"/>
      <w:r>
        <w:t>absolutely right</w:t>
      </w:r>
      <w:proofErr w:type="gramEnd"/>
      <w:r>
        <w:t>. We should distinguish between General PHI and Highly Sensitive PHI.</w:t>
      </w:r>
    </w:p>
    <w:p w14:paraId="52EA5D6D" w14:textId="77777777" w:rsidR="00967B12" w:rsidRDefault="00967B12" w:rsidP="00967B12">
      <w:pPr>
        <w:pStyle w:val="NormalWeb"/>
      </w:pPr>
      <w:r>
        <w:t>My proposal is to keep General PHI available to Analysts in a masked/controlled format, but restrict Highly Sensitive PHI (SSN, DOB, full patient name, etc.) behind elevated access with justification and approvals.</w:t>
      </w:r>
    </w:p>
    <w:p w14:paraId="040EFD03" w14:textId="77777777" w:rsidR="00967B12" w:rsidRDefault="00967B12" w:rsidP="00967B12">
      <w:pPr>
        <w:pStyle w:val="NormalWeb"/>
      </w:pPr>
      <w:r>
        <w:t>Regarding Epic access, that's exactly why we must implement stronger RLS, CLS, tokenization, and minimum-necessary controls in our data environment — to ensure we are more restrictive than the EMR, not less.</w:t>
      </w:r>
    </w:p>
    <w:p w14:paraId="4E0D0A78" w14:textId="77777777" w:rsidR="00967B12" w:rsidRDefault="00967B12" w:rsidP="00967B12">
      <w:pPr>
        <w:pStyle w:val="NormalWeb"/>
      </w:pPr>
      <w:r>
        <w:t xml:space="preserve">I’ll incorporate these distinctions into the RBAC </w:t>
      </w:r>
      <w:proofErr w:type="gramStart"/>
      <w:r>
        <w:t>framework</w:t>
      </w:r>
      <w:proofErr w:type="gramEnd"/>
      <w:r>
        <w:t xml:space="preserve"> so the model is clear, enforceable, and consistent.</w:t>
      </w:r>
    </w:p>
    <w:p w14:paraId="10833788" w14:textId="77777777" w:rsidR="00967B12" w:rsidRDefault="00967B12"/>
    <w:p w14:paraId="3F6FFB67" w14:textId="77777777" w:rsidR="00967B12" w:rsidRDefault="00967B12"/>
    <w:sectPr w:rsidR="00967B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916858">
    <w:abstractNumId w:val="8"/>
  </w:num>
  <w:num w:numId="2" w16cid:durableId="1131096855">
    <w:abstractNumId w:val="6"/>
  </w:num>
  <w:num w:numId="3" w16cid:durableId="2062092105">
    <w:abstractNumId w:val="5"/>
  </w:num>
  <w:num w:numId="4" w16cid:durableId="440761328">
    <w:abstractNumId w:val="4"/>
  </w:num>
  <w:num w:numId="5" w16cid:durableId="1211571299">
    <w:abstractNumId w:val="7"/>
  </w:num>
  <w:num w:numId="6" w16cid:durableId="1351763511">
    <w:abstractNumId w:val="3"/>
  </w:num>
  <w:num w:numId="7" w16cid:durableId="102002425">
    <w:abstractNumId w:val="2"/>
  </w:num>
  <w:num w:numId="8" w16cid:durableId="1020860168">
    <w:abstractNumId w:val="1"/>
  </w:num>
  <w:num w:numId="9" w16cid:durableId="178371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4321"/>
    <w:rsid w:val="00326F90"/>
    <w:rsid w:val="00742297"/>
    <w:rsid w:val="00967B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9B4354"/>
  <w14:defaultImageDpi w14:val="300"/>
  <w15:docId w15:val="{7CF3F830-697E-4DA9-AB55-7D0FCB5C5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67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385</Words>
  <Characters>2481</Characters>
  <Application>Microsoft Office Word</Application>
  <DocSecurity>0</DocSecurity>
  <Lines>63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 tchuenteu</cp:lastModifiedBy>
  <cp:revision>2</cp:revision>
  <dcterms:created xsi:type="dcterms:W3CDTF">2025-11-14T01:57:00Z</dcterms:created>
  <dcterms:modified xsi:type="dcterms:W3CDTF">2025-11-14T01:57:00Z</dcterms:modified>
  <cp:category/>
</cp:coreProperties>
</file>