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package/2006/relationships/metadata/core-properties" Target="docProps/core.xml" />
    <Relationship Id="rId4" Type="http://schemas.openxmlformats.org/officeDocument/2006/relationships/extended-properties" Target="docProps/app.xml" />
    <Relationship Id="rId1" Type="http://schemas.openxmlformats.org/officeDocument/2006/relationships/officeDocument" Target="word/document.xml" />
    <Relationship Id="rId2" Type="http://schemas.openxmlformats.org/package/2006/relationships/metadata/thumbnail" Target="docProps/thumbnail.jpeg" />
    <Relationship Id="rId5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02A43"/>
          <w:sz w:val="60"/>
        </w:rPr>
        <w:t>金融分析工具</w:t>
      </w:r>
    </w:p>
    <w:p>
      <w:pPr>
        <w:jc w:val="center"/>
      </w:pPr>
      <w:r>
        <w:rPr>
          <w:b/>
          <w:color w:val="1F5E8C"/>
          <w:sz w:val="42"/>
        </w:rPr>
        <w:t>股票还原（Stock Fact Layer）MVP 技术设计</w:t>
      </w:r>
    </w:p>
    <w:p>
      <w:pPr>
        <w:spacing w:before="360"/>
        <w:jc w:val="center"/>
      </w:pPr>
      <w:r>
        <w:rPr>
          <w:color w:val="506478"/>
          <w:sz w:val="22"/>
        </w:rPr>
        <w:t>TradingView 类股票事实能力 + 为后续股票根因分析提供可信数据底座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版本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v0.1</w:t>
            </w:r>
          </w:p>
        </w:tc>
      </w:tr>
      <w:tr>
        <w:tc>
          <w:tcPr>
            <w:tcW w:type="dxa" w:w="5040"/>
            <w:shd w:fill="E8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范围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MVP 1 — 股票还原</w:t>
            </w:r>
          </w:p>
        </w:tc>
      </w:tr>
      <w:tr>
        <w:tc>
          <w:tcPr>
            <w:tcW w:type="dxa" w:w="5040"/>
            <w:shd w:fill="E8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技术栈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Next.js + Java 21 / Spring Boot 3 + PostgreSQL + Redis</w:t>
            </w:r>
          </w:p>
        </w:tc>
      </w:tr>
      <w:tr>
        <w:tc>
          <w:tcPr>
            <w:tcW w:type="dxa" w:w="5040"/>
            <w:shd w:fill="E8F1F8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原则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页面业务数值禁止硬编码；所有事实可追溯到真实数据源</w:t>
            </w:r>
          </w:p>
        </w:tc>
      </w:tr>
    </w:tbl>
    <w:p>
      <w:r>
        <w:br w:type="page"/>
      </w:r>
    </w:p>
    <w:p>
      <w:pPr>
        <w:pStyle w:val="Heading1"/>
      </w:pPr>
      <w:r>
        <w:t>1. 项目目标与本阶段边界</w:t>
      </w:r>
    </w:p>
    <w:p>
      <w:r>
        <w:t>第一个功能不是“股票分析”，而是先把一只股票在市场中的客观事实还原出来。它对应 TradingView 一类产品的基础股票页面能力，是后续 Price Driver / Root Cause 分析的可信输入层。</w:t>
      </w:r>
    </w:p>
    <w:p>
      <w:pPr>
        <w:pStyle w:val="ListBullet"/>
      </w:pPr>
      <w:r>
        <w:t>事实层只展示可验证数据，不生成投资判断。</w:t>
      </w:r>
    </w:p>
    <w:p>
      <w:pPr>
        <w:pStyle w:val="ListBullet"/>
      </w:pPr>
      <w:r>
        <w:t>行情、财务、公司事件必须来自真实源；技术指标允许本地计算，但必须能够追溯到输入行情。</w:t>
      </w:r>
    </w:p>
    <w:p>
      <w:pPr>
        <w:pStyle w:val="ListBullet"/>
      </w:pPr>
      <w:r>
        <w:t>AI 不得补全缺失数字。数据缺失时返回 unavailable / stale / estimated，而不是猜测。</w:t>
      </w:r>
    </w:p>
    <w:p>
      <w:pPr>
        <w:pStyle w:val="ListBullet"/>
      </w:pPr>
      <w:r>
        <w:t>第一版以美股/美股 ETF 为主，验证标的：NVDA、VOO、QQQ、SNXX、HSBC、GOOGL、KO、ORCL、AMZN。</w:t>
      </w:r>
    </w:p>
    <w:p>
      <w:pPr>
        <w:pStyle w:val="Heading2"/>
      </w:pPr>
      <w:r>
        <w:t>1.1 MVP 页面范围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第一版内容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是否事实层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Watchlist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自选股、最新价、涨跌幅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Stock Header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Ticker、公司名、交易所、币种、最新价、时间戳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Chart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OHLCV K 线、分时、成交量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Technical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MA20/50/200、RSI14、MACD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计算事实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Key Statistics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52周高低、成交量、平均成交量、市值等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Financial Snapshot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营收、净利润、EPS、毛利率、FCF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Valuation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P/E、Forward P/E、P/S、EV/EBITDA 等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混合：源数据+计算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财报、除息、分红、拆股、股东大会等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Company Profile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公司描述、行业、官网、IR 链接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是</w:t>
            </w:r>
          </w:p>
        </w:tc>
      </w:tr>
    </w:tbl>
    <w:p/>
    <w:p>
      <w:pPr>
        <w:pStyle w:val="Heading2"/>
      </w:pPr>
      <w:r>
        <w:t>1.2 明确不在本次范围</w:t>
      </w:r>
    </w:p>
    <w:p>
      <w:pPr>
        <w:pStyle w:val="ListBullet"/>
      </w:pPr>
      <w:r>
        <w:t>AI 股票价格根因归因、新闻语义判断、因子权重评分。</w:t>
      </w:r>
    </w:p>
    <w:p>
      <w:pPr>
        <w:pStyle w:val="ListBullet"/>
      </w:pPr>
      <w:r>
        <w:t>自动交易、下单、组合优化。</w:t>
      </w:r>
    </w:p>
    <w:p>
      <w:pPr>
        <w:pStyle w:val="ListBullet"/>
      </w:pPr>
      <w:r>
        <w:t>Tick 级高频行情与专业 Level 2 order book。</w:t>
      </w:r>
    </w:p>
    <w:p>
      <w:pPr>
        <w:pStyle w:val="ListBullet"/>
      </w:pPr>
      <w:r>
        <w:t>自研完整 TradingView 图表引擎；MVP 使用 Lightweight Charts 或等价组件。</w:t>
      </w:r>
    </w:p>
    <w:p>
      <w:pPr>
        <w:pStyle w:val="Heading1"/>
      </w:pPr>
      <w:r>
        <w:t>2. 总体架构</w:t>
      </w:r>
    </w:p>
    <w:p>
      <w:pPr>
        <w:pStyle w:val="CodeBlock"/>
        <w:spacing w:after="120"/>
      </w:pPr>
      <w:r>
        <w:t>Browser / Next.js</w:t>
        <w:br/>
      </w:r>
      <w:r>
        <w:t xml:space="preserve">        |</w:t>
        <w:br/>
      </w:r>
      <w:r>
        <w:t xml:space="preserve">        v</w:t>
        <w:br/>
      </w:r>
      <w:r>
        <w:t>Stock API (Spring Boot)</w:t>
        <w:br/>
      </w:r>
      <w:r>
        <w:t xml:space="preserve">        |</w:t>
        <w:br/>
      </w:r>
      <w:r>
        <w:t xml:space="preserve">        +-- QuoteService -------- MarketDataProvider</w:t>
        <w:br/>
      </w:r>
      <w:r>
        <w:t xml:space="preserve">        +-- BarService ---------- MarketDataProvider</w:t>
        <w:br/>
      </w:r>
      <w:r>
        <w:t xml:space="preserve">        +-- IndicatorService ---- Local Calculation</w:t>
        <w:br/>
      </w:r>
      <w:r>
        <w:t xml:space="preserve">        +-- ProfileService ------ ReferenceDataProvider</w:t>
        <w:br/>
      </w:r>
      <w:r>
        <w:t xml:space="preserve">        +-- FinancialService ---- FinancialDataProvider / SEC</w:t>
        <w:br/>
      </w:r>
      <w:r>
        <w:t xml:space="preserve">        +-- EventService -------- EventProvider / Company IR</w:t>
        <w:br/>
      </w:r>
      <w:r>
        <w:t xml:space="preserve">        |</w:t>
        <w:br/>
      </w:r>
      <w:r>
        <w:t xml:space="preserve">        +-- PostgreSQL (historical/cache)</w:t>
        <w:br/>
      </w:r>
      <w:r>
        <w:t xml:space="preserve">        +-- Redis (hot quote/cache)</w:t>
      </w:r>
    </w:p>
    <w:p>
      <w:r>
        <w:t>Provider 必须通过适配器隔离。前端永远不直接依赖 Polygon、Finnhub、Twelve Data 等供应商字段，从而可以后续切换或组合多个数据源。</w:t>
      </w:r>
    </w:p>
    <w:p>
      <w:pPr>
        <w:pStyle w:val="Heading1"/>
      </w:pPr>
      <w:r>
        <w:t>3. 数据真实性契约（最重要）</w:t>
      </w:r>
    </w:p>
    <w:p>
      <w:r>
        <w:t>所有 Stock Fact DTO 都必须携带来源和时间语义。不要只返回 value。</w:t>
      </w:r>
    </w:p>
    <w:p>
      <w:pPr>
        <w:pStyle w:val="CodeBlock"/>
        <w:spacing w:after="120"/>
      </w:pPr>
      <w:r>
        <w:t>public record FactValue&lt;T&gt;(</w:t>
        <w:br/>
      </w:r>
      <w:r>
        <w:t xml:space="preserve">    T value,</w:t>
        <w:br/>
      </w:r>
      <w:r>
        <w:t xml:space="preserve">    String source,       // POLYGON / SEC / COMPANY_IR / CALCULATED...</w:t>
        <w:br/>
      </w:r>
      <w:r>
        <w:t xml:space="preserve">    Instant asOfTime,</w:t>
        <w:br/>
      </w:r>
      <w:r>
        <w:t xml:space="preserve">    FactStatus status,   // LIVE / DELAYED / EOD / STALE / ESTIMATED / UNAVAILABLE</w:t>
        <w:br/>
      </w:r>
      <w:r>
        <w:t xml:space="preserve">    String provenance    // 可选：原始 endpoint / filing accession / calculation rule</w:t>
        <w:br/>
      </w:r>
      <w:r>
        <w:t>) {}</w:t>
      </w:r>
    </w:p>
    <w:p>
      <w:pPr>
        <w:pStyle w:val="Heading2"/>
      </w:pPr>
      <w:r>
        <w:t>3.1 数据状态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LIVE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实时或供应商定义的实时数据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DELAYED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明确延迟行情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EOD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最近交易日收盘数据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STALE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超过预设 freshness threshold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ESTIMATED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第三方/公司未确认的事件日期或预期值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无法获取，前端必须明确展示缺失</w:t>
            </w:r>
          </w:p>
        </w:tc>
      </w:tr>
    </w:tbl>
    <w:p/>
    <w:p>
      <w:pPr>
        <w:pStyle w:val="Heading2"/>
      </w:pPr>
      <w:r>
        <w:t>3.2 禁止事项</w:t>
      </w:r>
    </w:p>
    <w:p>
      <w:pPr>
        <w:pStyle w:val="ListBullet"/>
      </w:pPr>
      <w:r>
        <w:t>禁止在 React 页面、Java Controller、JSON fixture 中硬编码 NVDA 的业务数值。</w:t>
      </w:r>
    </w:p>
    <w:p>
      <w:pPr>
        <w:pStyle w:val="ListBullet"/>
      </w:pPr>
      <w:r>
        <w:t>禁止在 Provider 请求失败时使用“看起来合理”的默认值。</w:t>
      </w:r>
    </w:p>
    <w:p>
      <w:pPr>
        <w:pStyle w:val="ListBullet"/>
      </w:pPr>
      <w:r>
        <w:t>禁止把 estimated earnings date 显示成 confirmed。</w:t>
      </w:r>
    </w:p>
    <w:p>
      <w:pPr>
        <w:pStyle w:val="ListBullet"/>
      </w:pPr>
      <w:r>
        <w:t>禁止用 AI 推断财务数值、价格、MA、RSI。</w:t>
      </w:r>
    </w:p>
    <w:p>
      <w:pPr>
        <w:pStyle w:val="Heading1"/>
      </w:pPr>
      <w:r>
        <w:t>4. 股票事实层所需数据源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252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所需数据</w:t>
            </w:r>
          </w:p>
        </w:tc>
        <w:tc>
          <w:tcPr>
            <w:tcW w:type="dxa" w:w="252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首选类型</w:t>
            </w:r>
          </w:p>
        </w:tc>
        <w:tc>
          <w:tcPr>
            <w:tcW w:type="dxa" w:w="252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实现策略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Quote / OHLCV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最新价、OHLCV、Volume、历史 bars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商业行情 API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先实现 MarketDataProvider；真实供应商通过配置切换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Reference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Ticker、交易所、公司名、币种、Sector/Industry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行情/Reference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Provider 获取并缓存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Financials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三大报表、季度/年度、TTM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SEC + 标准化供应商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MVP 可先用供应商标准化财报，保留 SEC 校验接口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Events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Earnings、Dividend、Split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公司 IR + 事件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日期要记录 confirmed/estimated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Consensus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EPS/Revenue estimate、Forward metrics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商业估值/分析师数据源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如供应商授权支持则接；缺失就不显示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Ownership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机构、Insider、Short interest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SEC/Nasdaq/FINRA/商业源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MVP 可延后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Market Reference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指数、VIX、利率等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行情 + FRED 等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根因模块前置数据，股票还原阶段只保留接口</w:t>
            </w:r>
          </w:p>
        </w:tc>
      </w:tr>
    </w:tbl>
    <w:p/>
    <w:p>
      <w:r>
        <w:t>供应商选择不要写死在领域层。实际落地时可以在 Polygon / Finnhub / Twelve Data / FMP 等中选择一到两个做 MVP，并根据授权、延迟、历史深度、成本和商用条款确定最终组合。Yahoo Finance 不建议作为正式生产事实源。</w:t>
      </w:r>
    </w:p>
    <w:p>
      <w:pPr>
        <w:pStyle w:val="Heading1"/>
      </w:pPr>
      <w:r>
        <w:t>5. 核心数据模型</w:t>
      </w:r>
    </w:p>
    <w:p>
      <w:pPr>
        <w:pStyle w:val="CodeBlock"/>
        <w:spacing w:after="120"/>
      </w:pPr>
      <w:r>
        <w:t>stock_instrument</w:t>
        <w:br/>
      </w:r>
      <w:r>
        <w:t>- id</w:t>
        <w:br/>
      </w:r>
      <w:r>
        <w:t>- symbol</w:t>
        <w:br/>
      </w:r>
      <w:r>
        <w:t>- asset_type          // EQUITY / ETF / LEVERAGED_ETF / ADR</w:t>
        <w:br/>
      </w:r>
      <w:r>
        <w:t>- exchange</w:t>
        <w:br/>
      </w:r>
      <w:r>
        <w:t>- currency</w:t>
        <w:br/>
      </w:r>
      <w:r>
        <w:t>- name</w:t>
        <w:br/>
      </w:r>
      <w:r>
        <w:t>- sector</w:t>
        <w:br/>
      </w:r>
      <w:r>
        <w:t>- industry</w:t>
        <w:br/>
      </w:r>
      <w:r>
        <w:t>- provider_symbol</w:t>
        <w:br/>
      </w:r>
      <w:r>
        <w:t>- active</w:t>
        <w:br/>
      </w:r>
      <w:r>
        <w:br/>
      </w:r>
      <w:r>
        <w:t>stock_bar</w:t>
        <w:br/>
      </w:r>
      <w:r>
        <w:t>- instrument_id</w:t>
        <w:br/>
      </w:r>
      <w:r>
        <w:t>- interval            // 1m / 5m / 1h / 1d / 1w</w:t>
        <w:br/>
      </w:r>
      <w:r>
        <w:t>- bar_time</w:t>
        <w:br/>
      </w:r>
      <w:r>
        <w:t>- open</w:t>
        <w:br/>
      </w:r>
      <w:r>
        <w:t>- high</w:t>
        <w:br/>
      </w:r>
      <w:r>
        <w:t>- low</w:t>
        <w:br/>
      </w:r>
      <w:r>
        <w:t>- close</w:t>
        <w:br/>
      </w:r>
      <w:r>
        <w:t>- adjusted_close</w:t>
        <w:br/>
      </w:r>
      <w:r>
        <w:t>- volume</w:t>
        <w:br/>
      </w:r>
      <w:r>
        <w:t>- source</w:t>
        <w:br/>
      </w:r>
      <w:r>
        <w:t>- as_of_time</w:t>
        <w:br/>
      </w:r>
      <w:r>
        <w:br/>
      </w:r>
      <w:r>
        <w:t>stock_event</w:t>
        <w:br/>
      </w:r>
      <w:r>
        <w:t>- instrument_id</w:t>
        <w:br/>
      </w:r>
      <w:r>
        <w:t>- event_type          // EARNINGS / DIVIDEND / SPLIT / SHAREHOLDER_MEETING...</w:t>
        <w:br/>
      </w:r>
      <w:r>
        <w:t>- event_time</w:t>
        <w:br/>
      </w:r>
      <w:r>
        <w:t>- date_confidence     // CONFIRMED / ESTIMATED</w:t>
        <w:br/>
      </w:r>
      <w:r>
        <w:t>- title</w:t>
        <w:br/>
      </w:r>
      <w:r>
        <w:t>- source</w:t>
        <w:br/>
      </w:r>
      <w:r>
        <w:t>- source_url</w:t>
        <w:br/>
      </w:r>
      <w:r>
        <w:t>- payload_json</w:t>
        <w:br/>
      </w:r>
      <w:r>
        <w:br/>
      </w:r>
      <w:r>
        <w:t>financial_fact</w:t>
        <w:br/>
      </w:r>
      <w:r>
        <w:t>- instrument_id</w:t>
        <w:br/>
      </w:r>
      <w:r>
        <w:t>- fiscal_period</w:t>
        <w:br/>
      </w:r>
      <w:r>
        <w:t>- metric_code</w:t>
        <w:br/>
      </w:r>
      <w:r>
        <w:t>- value</w:t>
        <w:br/>
      </w:r>
      <w:r>
        <w:t>- unit</w:t>
        <w:br/>
      </w:r>
      <w:r>
        <w:t>- source</w:t>
        <w:br/>
      </w:r>
      <w:r>
        <w:t>- filing_ref</w:t>
        <w:br/>
      </w:r>
      <w:r>
        <w:t>- as_of_time</w:t>
      </w:r>
    </w:p>
    <w:p>
      <w:pPr>
        <w:pStyle w:val="Heading2"/>
      </w:pPr>
      <w:r>
        <w:t>5.1 技术指标不建议永久存主表</w:t>
      </w:r>
    </w:p>
    <w:p>
      <w:r>
        <w:t>MA/RSI/MACD 可按 bars 计算并做缓存。计算结果必须保存 calculationVersion 和 inputAsOfTime，避免行情修订后结果无法追溯。</w:t>
      </w:r>
    </w:p>
    <w:p>
      <w:pPr>
        <w:pStyle w:val="Heading1"/>
      </w:pPr>
      <w:r>
        <w:t>6. REST API 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股票聚合 Header/Profile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/api/v1/stocks/{symbol}/quote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最新行情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/api/v1/stocks/{symbol}/bars?interval=1d&amp;range=1y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K线数据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/api/v1/stocks/{symbol}/technicals?interval=1d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技术指标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/api/v1/stocks/{symbol}/statistics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Key Statistics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/api/v1/stocks/{symbol}/financials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财务摘要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/api/v1/stocks/{symbol}/valuation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估值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/api/v1/stocks/{symbol}/events?from=&amp;to=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事件日历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GET /api/v1/watchlist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自选列表</w:t>
            </w:r>
          </w:p>
        </w:tc>
      </w:tr>
    </w:tbl>
    <w:p/>
    <w:p>
      <w:pPr>
        <w:pStyle w:val="CodeBlock"/>
        <w:spacing w:after="120"/>
      </w:pPr>
      <w:r>
        <w:t>GET /api/v1/stocks/NVDA/quote</w:t>
        <w:br/>
      </w:r>
      <w:r>
        <w:t>{</w:t>
        <w:br/>
      </w:r>
      <w:r>
        <w:t xml:space="preserve">  "symbol": "NVDA",</w:t>
        <w:br/>
      </w:r>
      <w:r>
        <w:t xml:space="preserve">  "price": {</w:t>
        <w:br/>
      </w:r>
      <w:r>
        <w:t xml:space="preserve">    "value": 0,</w:t>
        <w:br/>
      </w:r>
      <w:r>
        <w:t xml:space="preserve">    "source": "&lt;provider&gt;",</w:t>
        <w:br/>
      </w:r>
      <w:r>
        <w:t xml:space="preserve">    "asOfTime": "&lt;timestamp&gt;",</w:t>
        <w:br/>
      </w:r>
      <w:r>
        <w:t xml:space="preserve">    "status": "LIVE|DELAYED|EOD"</w:t>
        <w:br/>
      </w:r>
      <w:r>
        <w:t xml:space="preserve">  },</w:t>
        <w:br/>
      </w:r>
      <w:r>
        <w:t xml:space="preserve">  "change": { ... },</w:t>
        <w:br/>
      </w:r>
      <w:r>
        <w:t xml:space="preserve">  "volume": { ... }</w:t>
        <w:br/>
      </w:r>
      <w:r>
        <w:t>}</w:t>
        <w:br/>
      </w:r>
      <w:r>
        <w:br/>
      </w:r>
      <w:r>
        <w:t>注意：文档中的 0 只是 schema placeholder，不是业务默认值；运行时不得返回伪造默认值。</w:t>
      </w:r>
    </w:p>
    <w:p>
      <w:pPr>
        <w:pStyle w:val="Heading1"/>
      </w:pPr>
      <w:r>
        <w:t>7. Java 后端工程结构</w:t>
      </w:r>
    </w:p>
    <w:p>
      <w:pPr>
        <w:pStyle w:val="CodeBlock"/>
        <w:spacing w:after="120"/>
      </w:pPr>
      <w:r>
        <w:t>backend/</w:t>
        <w:br/>
      </w:r>
      <w:r>
        <w:t xml:space="preserve">  pom.xml</w:t>
        <w:br/>
      </w:r>
      <w:r>
        <w:t xml:space="preserve">  src/main/java/com/example/stock/</w:t>
        <w:br/>
      </w:r>
      <w:r>
        <w:t xml:space="preserve">    api/</w:t>
        <w:br/>
      </w:r>
      <w:r>
        <w:t xml:space="preserve">      StockController.java</w:t>
        <w:br/>
      </w:r>
      <w:r>
        <w:t xml:space="preserve">      WatchlistController.java</w:t>
        <w:br/>
      </w:r>
      <w:r>
        <w:t xml:space="preserve">    domain/</w:t>
        <w:br/>
      </w:r>
      <w:r>
        <w:t xml:space="preserve">      Instrument.java</w:t>
        <w:br/>
      </w:r>
      <w:r>
        <w:t xml:space="preserve">      Quote.java</w:t>
        <w:br/>
      </w:r>
      <w:r>
        <w:t xml:space="preserve">      Bar.java</w:t>
        <w:br/>
      </w:r>
      <w:r>
        <w:t xml:space="preserve">      StockEvent.java</w:t>
        <w:br/>
      </w:r>
      <w:r>
        <w:t xml:space="preserve">      FinancialFact.java</w:t>
        <w:br/>
      </w:r>
      <w:r>
        <w:t xml:space="preserve">    application/</w:t>
        <w:br/>
      </w:r>
      <w:r>
        <w:t xml:space="preserve">      StockQueryService.java</w:t>
        <w:br/>
      </w:r>
      <w:r>
        <w:t xml:space="preserve">      IndicatorService.java</w:t>
        <w:br/>
      </w:r>
      <w:r>
        <w:t xml:space="preserve">      EventQueryService.java</w:t>
        <w:br/>
      </w:r>
      <w:r>
        <w:t xml:space="preserve">    provider/</w:t>
        <w:br/>
      </w:r>
      <w:r>
        <w:t xml:space="preserve">      MarketDataProvider.java</w:t>
        <w:br/>
      </w:r>
      <w:r>
        <w:t xml:space="preserve">      FinancialDataProvider.java</w:t>
        <w:br/>
      </w:r>
      <w:r>
        <w:t xml:space="preserve">      EventDataProvider.java</w:t>
        <w:br/>
      </w:r>
      <w:r>
        <w:t xml:space="preserve">      impl/</w:t>
        <w:br/>
      </w:r>
      <w:r>
        <w:t xml:space="preserve">        &lt;Vendor&gt;MarketDataProvider.java</w:t>
        <w:br/>
      </w:r>
      <w:r>
        <w:t xml:space="preserve">    persistence/</w:t>
        <w:br/>
      </w:r>
      <w:r>
        <w:t xml:space="preserve">      entity/</w:t>
        <w:br/>
      </w:r>
      <w:r>
        <w:t xml:space="preserve">      repository/</w:t>
        <w:br/>
      </w:r>
      <w:r>
        <w:t xml:space="preserve">    config/</w:t>
        <w:br/>
      </w:r>
      <w:r>
        <w:t xml:space="preserve">      ProviderProperties.java</w:t>
      </w:r>
    </w:p>
    <w:p>
      <w:pPr>
        <w:pStyle w:val="CodeBlock"/>
        <w:spacing w:after="120"/>
      </w:pPr>
      <w:r>
        <w:t>public interface MarketDataProvider {</w:t>
        <w:br/>
      </w:r>
      <w:r>
        <w:t xml:space="preserve">    Quote getQuote(Instrument instrument);</w:t>
        <w:br/>
      </w:r>
      <w:r>
        <w:t xml:space="preserve">    List&lt;Bar&gt; getBars(Instrument instrument, BarInterval interval,</w:t>
        <w:br/>
      </w:r>
      <w:r>
        <w:t xml:space="preserve">                      Instant from, Instant to);</w:t>
        <w:br/>
      </w:r>
      <w:r>
        <w:t>}</w:t>
      </w:r>
    </w:p>
    <w:p>
      <w:pPr>
        <w:pStyle w:val="Heading2"/>
      </w:pPr>
      <w:r>
        <w:t>7.1 Provider 失败策略</w:t>
      </w:r>
    </w:p>
    <w:p>
      <w:pPr>
        <w:pStyle w:val="ListBullet"/>
      </w:pPr>
      <w:r>
        <w:t>实时调用失败：若缓存仍在 freshness threshold 内，可返回缓存并标记 DELAYED/STALE。</w:t>
      </w:r>
    </w:p>
    <w:p>
      <w:pPr>
        <w:pStyle w:val="ListBullet"/>
      </w:pPr>
      <w:r>
        <w:t>无缓存：返回明确错误或 FactStatus.UNAVAILABLE。</w:t>
      </w:r>
    </w:p>
    <w:p>
      <w:pPr>
        <w:pStyle w:val="ListBullet"/>
      </w:pPr>
      <w:r>
        <w:t>严禁 fallback 到随机值、fixture 值或 AI 生成值。</w:t>
      </w:r>
    </w:p>
    <w:p>
      <w:pPr>
        <w:pStyle w:val="Heading1"/>
      </w:pPr>
      <w:r>
        <w:t>8. Next.js 前端结构与页面</w:t>
      </w:r>
    </w:p>
    <w:p>
      <w:pPr>
        <w:pStyle w:val="CodeBlock"/>
        <w:spacing w:after="120"/>
      </w:pPr>
      <w:r>
        <w:t>frontend/</w:t>
        <w:br/>
      </w:r>
      <w:r>
        <w:t xml:space="preserve">  app/</w:t>
        <w:br/>
      </w:r>
      <w:r>
        <w:t xml:space="preserve">    stocks/[symbol]/page.tsx</w:t>
        <w:br/>
      </w:r>
      <w:r>
        <w:t xml:space="preserve">  components/</w:t>
        <w:br/>
      </w:r>
      <w:r>
        <w:t xml:space="preserve">    watchlist/Watchlist.tsx</w:t>
        <w:br/>
      </w:r>
      <w:r>
        <w:t xml:space="preserve">    stock/StockHeader.tsx</w:t>
        <w:br/>
      </w:r>
      <w:r>
        <w:t xml:space="preserve">    chart/PriceChart.tsx</w:t>
        <w:br/>
      </w:r>
      <w:r>
        <w:t xml:space="preserve">    chart/VolumePane.tsx</w:t>
        <w:br/>
      </w:r>
      <w:r>
        <w:t xml:space="preserve">    stock/KeyStatistics.tsx</w:t>
        <w:br/>
      </w:r>
      <w:r>
        <w:t xml:space="preserve">    stock/TechnicalIndicators.tsx</w:t>
        <w:br/>
      </w:r>
      <w:r>
        <w:t xml:space="preserve">    stock/FinancialHighlights.tsx</w:t>
        <w:br/>
      </w:r>
      <w:r>
        <w:t xml:space="preserve">    stock/ValuationPanel.tsx</w:t>
        <w:br/>
      </w:r>
      <w:r>
        <w:t xml:space="preserve">    stock/UpcomingEvents.tsx</w:t>
        <w:br/>
      </w:r>
      <w:r>
        <w:t xml:space="preserve">    stock/CompanyProfile.tsx</w:t>
        <w:br/>
      </w:r>
      <w:r>
        <w:t xml:space="preserve">  lib/api/</w:t>
        <w:br/>
      </w:r>
      <w:r>
        <w:t xml:space="preserve">    stockClient.ts</w:t>
        <w:br/>
      </w:r>
      <w:r>
        <w:t xml:space="preserve">  types/</w:t>
        <w:br/>
      </w:r>
      <w:r>
        <w:t xml:space="preserve">    stock.ts</w:t>
      </w:r>
    </w:p>
    <w:p>
      <w:r>
        <w:t>图表组件负责显示，不负责发明数据。OHLCV 从后端 bars API 获取；MA 等可以后端计算后返回，也可前端计算用于视觉叠加，但事实面板统一以服务端计算为准。</w:t>
      </w:r>
    </w:p>
    <w:p>
      <w:pPr>
        <w:pStyle w:val="Heading1"/>
      </w:pPr>
      <w:r>
        <w:t>9. MVP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A1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NVDA 页面可加载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Header、K线、成交量、指标、事件均来自 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无硬编码事实值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代码搜索不到 NVDA 业务数值常量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A3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可追溯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关键数字可看到 source / asOfTime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技术指标可复算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MA20/50/200 由相同 OHLCV 可复算一致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A5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供应商故障可识别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缺失显示 unavailable/stale，不展示伪值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资产类型兼容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VOO/QQQ/股票/ADR/杠杆 ETF 可以走统一 Instrument 模型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A7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测试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Provider contract、indicator calculation、controller 至少有自动化测试</w:t>
            </w:r>
          </w:p>
        </w:tc>
      </w:tr>
    </w:tbl>
    <w:p/>
    <w:p>
      <w:pPr>
        <w:pStyle w:val="Heading1"/>
      </w:pPr>
      <w:r>
        <w:t>10. 使用 Codex 开发：推荐工作方式</w:t>
      </w:r>
    </w:p>
    <w:p>
      <w:r>
        <w:t>截至 2026 年，Codex 可在终端、IDE 和 Web/桌面环境中使用。对于这个项目，最推荐“本地 Git 仓库 + Codex CLI/IDE”模式，因为它能直接阅读、修改、运行并测试你的代码。</w:t>
      </w:r>
    </w:p>
    <w:p>
      <w:pPr>
        <w:pStyle w:val="Heading2"/>
      </w:pPr>
      <w:r>
        <w:t>10.1 安装并启动</w:t>
      </w:r>
    </w:p>
    <w:p>
      <w:pPr>
        <w:pStyle w:val="CodeBlock"/>
        <w:spacing w:after="120"/>
      </w:pPr>
      <w:r>
        <w:t># Node/npm 已安装的情况下</w:t>
        <w:br/>
      </w:r>
      <w:r>
        <w:t>npm i -g @openai/codex</w:t>
        <w:br/>
      </w:r>
      <w:r>
        <w:br/>
      </w:r>
      <w:r>
        <w:t># 创建项目目录</w:t>
        <w:br/>
      </w:r>
      <w:r>
        <w:t>mkdir stock-analysis &amp;&amp; cd stock-analysis</w:t>
        <w:br/>
      </w:r>
      <w:r>
        <w:t>git init</w:t>
        <w:br/>
      </w:r>
      <w:r>
        <w:br/>
      </w:r>
      <w:r>
        <w:t># 启动 Codex</w:t>
        <w:br/>
      </w:r>
      <w:r>
        <w:t>codex</w:t>
      </w:r>
    </w:p>
    <w:p>
      <w:r>
        <w:t>首次启动按提示使用 ChatGPT 账户登录。也可以使用 Codex IDE 扩展。Codex 官方当前支持在终端中直接进入项目目录运行，并允许在执行过程中继续 steer/queue 任务。</w:t>
      </w:r>
    </w:p>
    <w:p>
      <w:pPr>
        <w:pStyle w:val="Heading2"/>
      </w:pPr>
      <w:r>
        <w:t>10.2 先创建 AGENTS.md</w:t>
      </w:r>
    </w:p>
    <w:p>
      <w:r>
        <w:t>建议第一步让 Codex 执行 /init 生成 AGENTS.md，再替换/补充为本项目规则。AGENTS.md 是整个项目开发质量的关键。</w:t>
      </w:r>
    </w:p>
    <w:p>
      <w:pPr>
        <w:pStyle w:val="CodeBlock"/>
        <w:spacing w:after="120"/>
      </w:pPr>
      <w:r>
        <w:t># AGENTS.md 核心规则示例</w:t>
        <w:br/>
      </w:r>
      <w:r>
        <w:br/>
      </w:r>
      <w:r>
        <w:t>## Product goal</w:t>
        <w:br/>
      </w:r>
      <w:r>
        <w:t>Build Stock Fact Layer first: TradingView-like factual stock page.</w:t>
        <w:br/>
      </w:r>
      <w:r>
        <w:t>Do not implement root-cause/AI attribution yet.</w:t>
        <w:br/>
      </w:r>
      <w:r>
        <w:br/>
      </w:r>
      <w:r>
        <w:t>## Truthfulness</w:t>
        <w:br/>
      </w:r>
      <w:r>
        <w:t>- Never hard-code market/financial/business numeric values.</w:t>
        <w:br/>
      </w:r>
      <w:r>
        <w:t>- Never invent fallback values.</w:t>
        <w:br/>
      </w:r>
      <w:r>
        <w:t>- Every external fact must carry source + asOfTime + status.</w:t>
        <w:br/>
      </w:r>
      <w:r>
        <w:t>- Missing data must be explicit UNAVAILABLE/STALE/ESTIMATED.</w:t>
        <w:br/>
      </w:r>
      <w:r>
        <w:br/>
      </w:r>
      <w:r>
        <w:t>## Stack</w:t>
        <w:br/>
      </w:r>
      <w:r>
        <w:t>- Java 21 + Spring Boot 3</w:t>
        <w:br/>
      </w:r>
      <w:r>
        <w:t>- Next.js + TypeScript</w:t>
        <w:br/>
      </w:r>
      <w:r>
        <w:t>- PostgreSQL + Redis</w:t>
        <w:br/>
      </w:r>
      <w:r>
        <w:t>- TradingView Lightweight Charts (or equivalent)</w:t>
        <w:br/>
      </w:r>
      <w:r>
        <w:br/>
      </w:r>
      <w:r>
        <w:t>## Engineering</w:t>
        <w:br/>
      </w:r>
      <w:r>
        <w:t>- Provider adapters isolate vendors.</w:t>
        <w:br/>
      </w:r>
      <w:r>
        <w:t>- Controllers must not contain provider-specific logic.</w:t>
        <w:br/>
      </w:r>
      <w:r>
        <w:t>- Add tests for every indicator formula and provider mapping.</w:t>
        <w:br/>
      </w:r>
      <w:r>
        <w:t>- Run tests/build before considering a task complete.</w:t>
      </w:r>
    </w:p>
    <w:p>
      <w:pPr>
        <w:pStyle w:val="Heading1"/>
      </w:pPr>
      <w:r>
        <w:t>11. Codex 分阶段提示词（直接复制使用）</w:t>
      </w:r>
    </w:p>
    <w:p>
      <w:pPr>
        <w:pStyle w:val="Heading2"/>
      </w:pPr>
      <w:r>
        <w:t>阶段 0：只搭骨架，不接假数据</w:t>
      </w:r>
    </w:p>
    <w:p>
      <w:pPr>
        <w:pStyle w:val="CodeBlock"/>
        <w:spacing w:after="120"/>
      </w:pPr>
      <w:r>
        <w:t>Read AGENTS.md and this technical specification first.</w:t>
        <w:br/>
      </w:r>
      <w:r>
        <w:t>Create a monorepo with /backend and /frontend.</w:t>
        <w:br/>
      </w:r>
      <w:r>
        <w:t>Backend: Java 21 + Spring Boot 3 + Maven.</w:t>
        <w:br/>
      </w:r>
      <w:r>
        <w:t>Frontend: Next.js + TypeScript.</w:t>
        <w:br/>
      </w:r>
      <w:r>
        <w:t>Add PostgreSQL/Redis docker-compose configuration.</w:t>
        <w:br/>
      </w:r>
      <w:r>
        <w:t>Do not implement any hard-coded stock prices or financial values.</w:t>
        <w:br/>
      </w:r>
      <w:r>
        <w:t>Create domain types, provider interfaces, REST API skeletons, validation, and tests.</w:t>
        <w:br/>
      </w:r>
      <w:r>
        <w:t>Run backend and frontend builds and fix all errors.</w:t>
        <w:br/>
      </w:r>
      <w:r>
        <w:t>At the end, summarize created files and remaining TODOs.</w:t>
      </w:r>
    </w:p>
    <w:p>
      <w:pPr>
        <w:pStyle w:val="Heading2"/>
      </w:pPr>
      <w:r>
        <w:t>阶段 1：行情 Provider</w:t>
      </w:r>
    </w:p>
    <w:p>
      <w:pPr>
        <w:pStyle w:val="CodeBlock"/>
        <w:spacing w:after="120"/>
      </w:pPr>
      <w:r>
        <w:t>Implement the MarketDataProvider abstraction and one real market-data provider.</w:t>
        <w:br/>
      </w:r>
      <w:r>
        <w:t>Requirements:</w:t>
        <w:br/>
      </w:r>
      <w:r>
        <w:t>1. API key only from environment variables; never commit secrets.</w:t>
        <w:br/>
      </w:r>
      <w:r>
        <w:t>2. Implement quote and historical OHLCV bars.</w:t>
        <w:br/>
      </w:r>
      <w:r>
        <w:t>3. Map vendor payloads into vendor-neutral domain models.</w:t>
        <w:br/>
      </w:r>
      <w:r>
        <w:t>4. Every value must carry source/asOfTime/status.</w:t>
        <w:br/>
      </w:r>
      <w:r>
        <w:t>5. On provider failure, do not fabricate values.</w:t>
        <w:br/>
      </w:r>
      <w:r>
        <w:t>6. Add contract tests using recorded/mock HTTP responses, not hard-coded UI values.</w:t>
        <w:br/>
      </w:r>
      <w:r>
        <w:t>7. Add GET /api/v1/stocks/{symbol}/quote and /bars.</w:t>
        <w:br/>
      </w:r>
      <w:r>
        <w:t>8. Demonstrate with NVDA and print the raw source timestamp in the test output.</w:t>
        <w:br/>
      </w:r>
      <w:r>
        <w:t>Run tests.</w:t>
      </w:r>
    </w:p>
    <w:p>
      <w:pPr>
        <w:pStyle w:val="Heading2"/>
      </w:pPr>
      <w:r>
        <w:t>阶段 2：技术指标</w:t>
      </w:r>
    </w:p>
    <w:p>
      <w:pPr>
        <w:pStyle w:val="CodeBlock"/>
        <w:spacing w:after="120"/>
      </w:pPr>
      <w:r>
        <w:t>Implement server-side technical indicators using historical bars:</w:t>
        <w:br/>
      </w:r>
      <w:r>
        <w:t>- MA20, MA50, MA200</w:t>
        <w:br/>
      </w:r>
      <w:r>
        <w:t>- RSI14</w:t>
        <w:br/>
      </w:r>
      <w:r>
        <w:t>- MACD(12,26,9)</w:t>
        <w:br/>
      </w:r>
      <w:r>
        <w:t>Do not fetch indicator values from AI or hard-code them.</w:t>
        <w:br/>
      </w:r>
      <w:r>
        <w:t>Each indicator result must include calculationVersion and inputAsOfTime.</w:t>
        <w:br/>
      </w:r>
      <w:r>
        <w:t>Add deterministic unit tests with small synthetic sequences where expected results are mathematically asserted.</w:t>
        <w:br/>
      </w:r>
      <w:r>
        <w:t>Expose GET /api/v1/stocks/{symbol}/technicals.</w:t>
      </w:r>
    </w:p>
    <w:p>
      <w:pPr>
        <w:pStyle w:val="Heading2"/>
      </w:pPr>
      <w:r>
        <w:t>阶段 3：股票详情页</w:t>
      </w:r>
    </w:p>
    <w:p>
      <w:pPr>
        <w:pStyle w:val="CodeBlock"/>
        <w:spacing w:after="120"/>
      </w:pPr>
      <w:r>
        <w:t>Build the stock detail page matching the provided finance dashboard design.</w:t>
        <w:br/>
      </w:r>
      <w:r>
        <w:t>Use only backend APIs for business data.</w:t>
        <w:br/>
      </w:r>
      <w:r>
        <w:t>Sections:</w:t>
        <w:br/>
      </w:r>
      <w:r>
        <w:t>- watchlist</w:t>
        <w:br/>
      </w:r>
      <w:r>
        <w:t>- stock header</w:t>
        <w:br/>
      </w:r>
      <w:r>
        <w:t>- OHLCV candlestick/line chart + volume</w:t>
        <w:br/>
      </w:r>
      <w:r>
        <w:t>- MA20/50/200 overlays</w:t>
        <w:br/>
      </w:r>
      <w:r>
        <w:t>- key statistics</w:t>
        <w:br/>
      </w:r>
      <w:r>
        <w:t>- technical indicators</w:t>
        <w:br/>
      </w:r>
      <w:r>
        <w:t>- financial highlights</w:t>
        <w:br/>
      </w:r>
      <w:r>
        <w:t>- valuation</w:t>
        <w:br/>
      </w:r>
      <w:r>
        <w:t>- upcoming events</w:t>
        <w:br/>
      </w:r>
      <w:r>
        <w:t>- company profile</w:t>
        <w:br/>
      </w:r>
      <w:r>
        <w:t>Every fact panel must show an as-of timestamp/source on hover or detail view.</w:t>
        <w:br/>
      </w:r>
      <w:r>
        <w:t>Never put placeholder market values into production components.</w:t>
        <w:br/>
      </w:r>
      <w:r>
        <w:t>If an endpoint is unavailable, render an explicit unavailable state.</w:t>
      </w:r>
    </w:p>
    <w:p>
      <w:pPr>
        <w:pStyle w:val="Heading2"/>
      </w:pPr>
      <w:r>
        <w:t>阶段 4：财务与事件</w:t>
      </w:r>
    </w:p>
    <w:p>
      <w:pPr>
        <w:pStyle w:val="CodeBlock"/>
        <w:spacing w:after="120"/>
      </w:pPr>
      <w:r>
        <w:t>Implement FinancialDataProvider and EventDataProvider.</w:t>
        <w:br/>
      </w:r>
      <w:r>
        <w:t>For US companies, preserve SEC/company-IR provenance where available.</w:t>
        <w:br/>
      </w:r>
      <w:r>
        <w:t>For earnings dates, model CONFIRMED vs ESTIMATED explicitly.</w:t>
        <w:br/>
      </w:r>
      <w:r>
        <w:t>Implement quarterly/annual financial snapshot and upcoming earnings/dividend/split events.</w:t>
        <w:br/>
      </w:r>
      <w:r>
        <w:t>Do not infer missing EPS/revenue estimates.</w:t>
        <w:br/>
      </w:r>
      <w:r>
        <w:t>Add API tests and UI states for confirmed, estimated, stale, and unavailable data.</w:t>
      </w:r>
    </w:p>
    <w:p>
      <w:pPr>
        <w:pStyle w:val="Heading1"/>
      </w:pPr>
      <w:r>
        <w:t>12. 你实际每天怎么用 Codex</w:t>
      </w:r>
    </w:p>
    <w:p>
      <w:pPr>
        <w:pStyle w:val="ListNumber"/>
      </w:pPr>
      <w:r>
        <w:t>打开项目目录，先 git status，确保知道当前工作区状态。</w:t>
      </w:r>
    </w:p>
    <w:p>
      <w:pPr>
        <w:pStyle w:val="ListNumber"/>
      </w:pPr>
      <w:r>
        <w:t>运行 codex；第一句话要求“Read AGENTS.md first, inspect current code, then continue task X”。</w:t>
      </w:r>
    </w:p>
    <w:p>
      <w:pPr>
        <w:pStyle w:val="ListNumber"/>
      </w:pPr>
      <w:r>
        <w:t>一次只给一个可验收任务，例如“完成 MarketDataProvider + tests”，不要一口气让它做完整金融终端。</w:t>
      </w:r>
    </w:p>
    <w:p>
      <w:pPr>
        <w:pStyle w:val="ListNumber"/>
      </w:pPr>
      <w:r>
        <w:t>Codex 修改后要求它运行 mvn test / npm test / npm run build。</w:t>
      </w:r>
    </w:p>
    <w:p>
      <w:pPr>
        <w:pStyle w:val="ListNumber"/>
      </w:pPr>
      <w:r>
        <w:t>你检查 diff：特别关注硬编码数字、API key、时间戳、错误 fallback。</w:t>
      </w:r>
    </w:p>
    <w:p>
      <w:pPr>
        <w:pStyle w:val="ListNumber"/>
      </w:pPr>
      <w:r>
        <w:t>通过后提交 Git；下一阶段再继续。</w:t>
      </w:r>
    </w:p>
    <w:p>
      <w:pPr>
        <w:pStyle w:val="ListNumber"/>
      </w:pPr>
      <w:r>
        <w:t>当方向不对时直接 steer：“停止 UI 优化，先修复数据 provenance；所有 facts 必须有 source/asOfTime。”</w:t>
      </w:r>
    </w:p>
    <w:p>
      <w:pPr>
        <w:pStyle w:val="Heading2"/>
      </w:pPr>
      <w:r>
        <w:t>12.1 推荐任务粒度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好任务</w:t>
            </w:r>
          </w:p>
        </w:tc>
        <w:tc>
          <w:tcPr>
            <w:tcW w:type="dxa" w:w="504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不推荐任务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实现 quote + bars provider，并写测试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把整个股票系统做完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实现 MA20/50/200 并验证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做 TradingView 一样的全部指标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完成 NVDA 页 Header+Chart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把所有 9 个股票都做完整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实现 earnings confirmed/estimated 状态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帮我自动分析所有新闻</w:t>
            </w:r>
          </w:p>
        </w:tc>
      </w:tr>
    </w:tbl>
    <w:p/>
    <w:p>
      <w:pPr>
        <w:pStyle w:val="Heading1"/>
      </w:pPr>
      <w:r>
        <w:t>13. API Key 与配置</w:t>
      </w:r>
    </w:p>
    <w:p>
      <w:pPr>
        <w:pStyle w:val="CodeBlock"/>
        <w:spacing w:after="120"/>
      </w:pPr>
      <w:r>
        <w:t># .env / shell environment</w:t>
        <w:br/>
      </w:r>
      <w:r>
        <w:t>MARKET_DATA_API_KEY=...</w:t>
        <w:br/>
      </w:r>
      <w:r>
        <w:br/>
      </w:r>
      <w:r>
        <w:t># application.yml 只引用环境变量</w:t>
        <w:br/>
      </w:r>
      <w:r>
        <w:t>providers:</w:t>
        <w:br/>
      </w:r>
      <w:r>
        <w:t xml:space="preserve">  market:</w:t>
        <w:br/>
      </w:r>
      <w:r>
        <w:t xml:space="preserve">    api-key: ${MARKET_DATA_API_KEY}</w:t>
      </w:r>
    </w:p>
    <w:p>
      <w:pPr>
        <w:pStyle w:val="ListBullet"/>
      </w:pPr>
      <w:r>
        <w:t>.env、application-local.yml、真实 API key 必须加入 .gitignore。</w:t>
      </w:r>
    </w:p>
    <w:p>
      <w:pPr>
        <w:pStyle w:val="ListBullet"/>
      </w:pPr>
      <w:r>
        <w:t>不要把 key 粘进 Codex 提示词；让 Codex 读取环境变量名即可。</w:t>
      </w:r>
    </w:p>
    <w:p>
      <w:pPr>
        <w:pStyle w:val="ListBullet"/>
      </w:pPr>
      <w:r>
        <w:t>Provider 日志不得输出完整 Authorization header。</w:t>
      </w:r>
    </w:p>
    <w:p>
      <w:pPr>
        <w:pStyle w:val="Heading1"/>
      </w:pPr>
      <w:r>
        <w:t>14. 第一轮开发建议（可直接执行）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shd w:fill="17324D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完成定义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初始化 monorepo + AGENTS.md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前后端可 build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Instrument / FactValue / Provider domain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领域模型测试通过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真实行情 Provider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NVDA quote + 1Y daily bars 可返回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IndicatorService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MA/RSI/MACD 单测通过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NVDA 页面 Header + Chart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浏览器显示真实行情 + 时间戳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Key Statistics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基于真实字段显示，无字段则 unavailable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Financials + Events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至少能展示最近财务与下一事件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VOO/QQQ/SNXX/HSBC 验证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7"/>
              </w:rPr>
              <w:t>统一 Instrument 模型不崩</w:t>
            </w:r>
          </w:p>
        </w:tc>
      </w:tr>
    </w:tbl>
    <w:p/>
    <w:p>
      <w:pPr>
        <w:pStyle w:val="Heading1"/>
      </w:pPr>
      <w:r>
        <w:t>15. 第一条建议交给 Codex 的完整任务</w:t>
      </w:r>
    </w:p>
    <w:p>
      <w:pPr>
        <w:pStyle w:val="CodeBlock"/>
        <w:spacing w:after="120"/>
      </w:pPr>
      <w:r>
        <w:t>Read AGENTS.md first.</w:t>
        <w:br/>
      </w:r>
      <w:r>
        <w:t>We are building an investment analysis tool, but this task is ONLY the Stock Fact Layer MVP.</w:t>
        <w:br/>
      </w:r>
      <w:r>
        <w:br/>
      </w:r>
      <w:r>
        <w:t>Goal:</w:t>
        <w:br/>
      </w:r>
      <w:r>
        <w:t>Create a runnable monorepo skeleton for a TradingView-like factual stock page.</w:t>
        <w:br/>
      </w:r>
      <w:r>
        <w:br/>
      </w:r>
      <w:r>
        <w:t>Stack:</w:t>
        <w:br/>
      </w:r>
      <w:r>
        <w:t>- backend: Java 21, Spring Boot 3, Maven</w:t>
        <w:br/>
      </w:r>
      <w:r>
        <w:t>- frontend: Next.js, TypeScript</w:t>
        <w:br/>
      </w:r>
      <w:r>
        <w:t>- PostgreSQL + Redis via docker-compose</w:t>
        <w:br/>
      </w:r>
      <w:r>
        <w:br/>
      </w:r>
      <w:r>
        <w:t>Rules:</w:t>
        <w:br/>
      </w:r>
      <w:r>
        <w:t>- NEVER hard-code real stock prices, financial metrics, earnings dates, or indicators in production code.</w:t>
        <w:br/>
      </w:r>
      <w:r>
        <w:t>- NEVER fabricate missing data.</w:t>
        <w:br/>
      </w:r>
      <w:r>
        <w:t>- Define FactValue&lt;T&gt; with value, source, asOfTime, status, provenance.</w:t>
        <w:br/>
      </w:r>
      <w:r>
        <w:t>- Define Instrument, Quote, Bar, StockEvent, FinancialFact.</w:t>
        <w:br/>
      </w:r>
      <w:r>
        <w:t>- Define provider interfaces: MarketDataProvider, FinancialDataProvider, EventDataProvider.</w:t>
        <w:br/>
      </w:r>
      <w:r>
        <w:t>- Create REST endpoint skeletons for quote, bars, technicals, financials, valuation, events.</w:t>
        <w:br/>
      </w:r>
      <w:r>
        <w:t>- Create frontend route /stocks/[symbol] with empty/unavailable states only; do not add fake numbers.</w:t>
        <w:br/>
      </w:r>
      <w:r>
        <w:t>- Add AGENTS.md rules and README development instructions.</w:t>
        <w:br/>
      </w:r>
      <w:r>
        <w:t>- Add tests for domain validation.</w:t>
        <w:br/>
      </w:r>
      <w:r>
        <w:t>- Run mvn test and npm build/test as applicable and fix all issues.</w:t>
        <w:br/>
      </w:r>
      <w:r>
        <w:br/>
      </w:r>
      <w:r>
        <w:t>Do not implement root-cause analysis yet.</w:t>
        <w:br/>
      </w:r>
      <w:r>
        <w:t>At completion, show the file tree, test results, and the next recommended task.</w:t>
      </w:r>
    </w:p>
    <w:p>
      <w:pPr>
        <w:pStyle w:val="Heading1"/>
      </w:pPr>
      <w:r>
        <w:t>16. Codex 使用参考（当前官方能力）</w:t>
      </w:r>
    </w:p>
    <w:p>
      <w:r>
        <w:t>OpenAI 当前官方资料确认：Codex 可通过 CLI、IDE extension、Web/桌面环境使用；CLI 可用 npm 安装，进入项目目录运行 codex 并登录 ChatGPT；项目初始化可使用 /init 生成 AGENTS.md；运行过程中可继续 steering/queue 后续指令。具体界面和功能会更新，以 OpenAI Developers / Help Center 的最新 Codex 文档为准。</w:t>
      </w:r>
    </w:p>
    <w:p>
      <w:pPr>
        <w:pStyle w:val="ListBullet"/>
      </w:pPr>
      <w:r>
        <w:t>OpenAI Developers — Codex</w:t>
      </w:r>
    </w:p>
    <w:p>
      <w:pPr>
        <w:pStyle w:val="ListBullet"/>
      </w:pPr>
      <w:r>
        <w:t>OpenAI Help Center — Using Codex with your ChatGPT plan</w:t>
      </w:r>
    </w:p>
    <w:p>
      <w:pPr>
        <w:pStyle w:val="ListBullet"/>
      </w:pPr>
      <w:r>
        <w:t>OpenAI — Codex product page / CLI installation</w:t>
      </w:r>
    </w:p>
    <w:p>
      <w:pPr>
        <w:pStyle w:val="Heading1"/>
      </w:pPr>
      <w:r>
        <w:t>附录 A：后续根因分析与本阶段接口边界</w:t>
      </w:r>
    </w:p>
    <w:p>
      <w:r>
        <w:t>后续 Stock Intelligence 层只消费事实层，不修改事实。建议事件/行情都输出 immutable snapshot，由根因层构建 Driver → Evidence → Expectation Change → Price Impact。这样事实和推理可以独立审计。</w:t>
      </w:r>
    </w:p>
    <w:p>
      <w:pPr>
        <w:pStyle w:val="CodeBlock"/>
        <w:spacing w:after="120"/>
      </w:pPr>
      <w:r>
        <w:t>Stock Fact Layer</w:t>
        <w:br/>
      </w:r>
      <w:r>
        <w:t xml:space="preserve">  -&gt; Quote / Bars / Financials / Events / Reference</w:t>
        <w:br/>
      </w:r>
      <w:r>
        <w:t xml:space="preserve">  -&gt; immutable factual snapshots</w:t>
        <w:br/>
      </w:r>
      <w:r>
        <w:br/>
      </w:r>
      <w:r>
        <w:t>Stock Intelligence Layer (later)</w:t>
        <w:br/>
      </w:r>
      <w:r>
        <w:t xml:space="preserve">  -&gt; Driver Profile</w:t>
        <w:br/>
      </w:r>
      <w:r>
        <w:t xml:space="preserve">  -&gt; Event Evidence</w:t>
        <w:br/>
      </w:r>
      <w:r>
        <w:t xml:space="preserve">  -&gt; Attribution</w:t>
        <w:br/>
      </w:r>
      <w:r>
        <w:t xml:space="preserve">  -&gt; Explanation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技术设计 &amp; Codex 开发指南  |  v0.1  |  2026-10-10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E82"/>
        <w:sz w:val="16"/>
      </w:rPr>
      <w:t>金融分析工具 · 股票还原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4E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59" w:right="259"/>
      <w:shd w:fill="F0F4F8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金融分析工具：股票还原 MVP 技术设计与 Codex 开发指南</dc:title>
  <dc:subject>Stock Fact Layer MVP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fileWhereFroms" pid="2" fmtid="{D5CDD505-2E9C-101B-9397-08002B2CF9AE}">
    <vt:lpwstr>X7pvHeV8CWyUNR+Hgqm2xKkLEfGbqa4HyD07t5KA6BxlOvayxVqncWN7ESMjDSf7cxmtK4d9y2R0XcaPVNhb/n06soRqrEAq0M1mMS0NevV8FoPHHRteXS1Yh/ju8ZPFWSRoeZpOO5GDQo1TIZ48ug==</vt:lpwstr>
  </property>
</Properties>
</file>