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D0D1" w14:textId="77777777" w:rsidR="00E04283" w:rsidRDefault="00E04283">
      <w:r>
        <w:t>4. B2C Pricing Logic</w:t>
      </w:r>
    </w:p>
    <w:p w14:paraId="7302BE9C" w14:textId="77777777" w:rsidR="00E04283" w:rsidRDefault="00E04283">
      <w:r>
        <w:t xml:space="preserve"> * Base Fee: Apply a fixed charge of $2.50 to every B2C order.</w:t>
      </w:r>
    </w:p>
    <w:p w14:paraId="4B575AF6" w14:textId="77777777" w:rsidR="00E04283" w:rsidRDefault="00E04283">
      <w:r>
        <w:t xml:space="preserve"> * Unit Picks:</w:t>
      </w:r>
    </w:p>
    <w:p w14:paraId="7149659B" w14:textId="6E5FECF8" w:rsidR="00E04283" w:rsidRDefault="00E04283">
      <w:r>
        <w:t xml:space="preserve">   * Unique SKU Count: Count the distinct SKUs listed in the “SKU/Quantity” column. Each unique SKU code (e.g., ABO-012) represents one unit pick, regardless of the quantity in parentheses.</w:t>
      </w:r>
    </w:p>
    <w:p w14:paraId="27CBEE23" w14:textId="2E41BE07" w:rsidR="00E04283" w:rsidRDefault="00E04283">
      <w:r>
        <w:t xml:space="preserve">   * Quantity Sum: Sum the individual quantities associated with each SKU, as indicated within the parentheses in the “SKU/Quantity” column.</w:t>
      </w:r>
    </w:p>
    <w:p w14:paraId="557B6DBC" w14:textId="77777777" w:rsidR="00E04283" w:rsidRDefault="00E04283">
      <w:r>
        <w:t xml:space="preserve">   * Verification: Compare the unique SKU count and the total quantity sum.  The higher of the two values represents the actual number of unit picks for billing purposes.</w:t>
      </w:r>
    </w:p>
    <w:p w14:paraId="7B2DA7E6" w14:textId="77777777" w:rsidR="00E04283" w:rsidRDefault="00E04283">
      <w:r>
        <w:t xml:space="preserve">   * Charge: Multiply the verified number of unit picks by the unit pick price ($0.25 per unit).</w:t>
      </w:r>
    </w:p>
    <w:p w14:paraId="218F2442" w14:textId="77777777" w:rsidR="00E04283" w:rsidRDefault="00E04283">
      <w:r>
        <w:t xml:space="preserve"> * Case Picks:</w:t>
      </w:r>
    </w:p>
    <w:p w14:paraId="0B6EBBA4" w14:textId="73BF062E" w:rsidR="00E04283" w:rsidRDefault="00E04283">
      <w:r>
        <w:t xml:space="preserve">   * SKU List Reference: Obtain the client-specific SKU list, which contains a mapping of each SKU code to its corresponding Labeling Unit (e.g., “Case”, “Each”, “Unit”) and Labeling Quantity (e.g., 12 units per case).</w:t>
      </w:r>
    </w:p>
    <w:p w14:paraId="322136E1" w14:textId="77777777" w:rsidR="00E04283" w:rsidRDefault="00E04283">
      <w:r>
        <w:t xml:space="preserve">   * Calculation:</w:t>
      </w:r>
    </w:p>
    <w:p w14:paraId="3F432756" w14:textId="0F78189B" w:rsidR="00E04283" w:rsidRDefault="00E04283">
      <w:r>
        <w:t xml:space="preserve">     * Iterate through each SKU in the “SKU/Quantity” column of the order.</w:t>
      </w:r>
    </w:p>
    <w:p w14:paraId="0E48E0AB" w14:textId="77777777" w:rsidR="00E04283" w:rsidRDefault="00E04283">
      <w:r>
        <w:t xml:space="preserve">     * Look up the corresponding Labeling Unit and Labeling Quantity for that SKU from the client-specific SKU list.</w:t>
      </w:r>
    </w:p>
    <w:p w14:paraId="1CDFAC1B" w14:textId="52C98196" w:rsidR="00E04283" w:rsidRDefault="00E04283">
      <w:r>
        <w:t xml:space="preserve">     * If the Labeling Unit is “Case,” divide the quantity listed in the “SKU/Quantity” column by the Labeling Quantity. Round any fractional results up to the nearest whole number to get the number of case picks for that SKU.</w:t>
      </w:r>
    </w:p>
    <w:p w14:paraId="4BDA5330" w14:textId="39E069AC" w:rsidR="00E04283" w:rsidRDefault="00E04283">
      <w:r>
        <w:t xml:space="preserve">     * If the Labeling Unit is NOT “Case,” the SKU does not contribute to the case pick count.</w:t>
      </w:r>
    </w:p>
    <w:p w14:paraId="11B627F1" w14:textId="77777777" w:rsidR="00E04283" w:rsidRDefault="00E04283">
      <w:r>
        <w:t xml:space="preserve">   * Total Charge: Sum the case pick counts for all SKUs in the order and multiply by the case pick price ($0.53 per case).</w:t>
      </w:r>
    </w:p>
    <w:p w14:paraId="1426F151" w14:textId="77777777" w:rsidR="00E04283" w:rsidRDefault="00E04283">
      <w:r>
        <w:t xml:space="preserve"> * </w:t>
      </w:r>
      <w:proofErr w:type="spellStart"/>
      <w:r>
        <w:t>Matcha</w:t>
      </w:r>
      <w:proofErr w:type="spellEnd"/>
      <w:r>
        <w:t xml:space="preserve"> Tea Charge:</w:t>
      </w:r>
    </w:p>
    <w:p w14:paraId="35045CB6" w14:textId="77777777" w:rsidR="00E04283" w:rsidRDefault="00E04283">
      <w:r>
        <w:t xml:space="preserve">   * </w:t>
      </w:r>
      <w:proofErr w:type="spellStart"/>
      <w:r>
        <w:t>Matcha</w:t>
      </w:r>
      <w:proofErr w:type="spellEnd"/>
      <w:r>
        <w:t xml:space="preserve"> SKU Identification: Reference a predefined list of </w:t>
      </w:r>
      <w:proofErr w:type="spellStart"/>
      <w:r>
        <w:t>matcha</w:t>
      </w:r>
      <w:proofErr w:type="spellEnd"/>
      <w:r>
        <w:t xml:space="preserve"> tea SKUs.</w:t>
      </w:r>
    </w:p>
    <w:p w14:paraId="03657302" w14:textId="77777777" w:rsidR="00E04283" w:rsidRDefault="00E04283">
      <w:r>
        <w:t xml:space="preserve">   * Calculation:</w:t>
      </w:r>
    </w:p>
    <w:p w14:paraId="65F9D2BD" w14:textId="7995CA88" w:rsidR="00E04283" w:rsidRDefault="00E04283">
      <w:r>
        <w:t xml:space="preserve">     * Iterate through the SKUs in the “SKU/Quantity” column.</w:t>
      </w:r>
    </w:p>
    <w:p w14:paraId="3C1693A6" w14:textId="77777777" w:rsidR="00E04283" w:rsidRDefault="00E04283">
      <w:r>
        <w:lastRenderedPageBreak/>
        <w:t xml:space="preserve">     * If an SKU matches a </w:t>
      </w:r>
      <w:proofErr w:type="spellStart"/>
      <w:r>
        <w:t>matcha</w:t>
      </w:r>
      <w:proofErr w:type="spellEnd"/>
      <w:r>
        <w:t xml:space="preserve"> tea SKU from the list, multiply its quantity (in parentheses) by the </w:t>
      </w:r>
      <w:proofErr w:type="spellStart"/>
      <w:r>
        <w:t>matcha</w:t>
      </w:r>
      <w:proofErr w:type="spellEnd"/>
      <w:r>
        <w:t xml:space="preserve"> tea price ($0.26).</w:t>
      </w:r>
    </w:p>
    <w:p w14:paraId="492B0BDD" w14:textId="77777777" w:rsidR="00E04283" w:rsidRDefault="00E04283">
      <w:r>
        <w:t xml:space="preserve">   * Total Charge: Sum the </w:t>
      </w:r>
      <w:proofErr w:type="spellStart"/>
      <w:r>
        <w:t>matcha</w:t>
      </w:r>
      <w:proofErr w:type="spellEnd"/>
      <w:r>
        <w:t xml:space="preserve"> tea charges for all relevant SKUs and add this to the overall order cost.</w:t>
      </w:r>
    </w:p>
    <w:p w14:paraId="1372FED8" w14:textId="77777777" w:rsidR="00E04283" w:rsidRDefault="00E04283">
      <w:r>
        <w:t xml:space="preserve"> * Insert Charge:</w:t>
      </w:r>
    </w:p>
    <w:p w14:paraId="3DA76AFA" w14:textId="77777777" w:rsidR="00E04283" w:rsidRDefault="00E04283">
      <w:r>
        <w:t xml:space="preserve">   * Insert-Triggering SKUs: Reference a predefined list of SKUs that trigger the need for inserts.</w:t>
      </w:r>
    </w:p>
    <w:p w14:paraId="5ABFCFBC" w14:textId="77777777" w:rsidR="00E04283" w:rsidRDefault="00E04283">
      <w:r>
        <w:t xml:space="preserve">   * Calculation:</w:t>
      </w:r>
    </w:p>
    <w:p w14:paraId="0B91541D" w14:textId="074E98A5" w:rsidR="00E04283" w:rsidRDefault="00E04283">
      <w:r>
        <w:t xml:space="preserve">     * Identify all unique insert-triggering SKUs present in the “SKU/Quantity” column.</w:t>
      </w:r>
    </w:p>
    <w:p w14:paraId="615496D4" w14:textId="77777777" w:rsidR="00E04283" w:rsidRDefault="00E04283">
      <w:r>
        <w:t xml:space="preserve">     * If the order contains two or more unique insert-triggering SKUs, the insert value is set to 2.</w:t>
      </w:r>
    </w:p>
    <w:p w14:paraId="052B28FF" w14:textId="77777777" w:rsidR="00E04283" w:rsidRDefault="00E04283">
      <w:r>
        <w:t xml:space="preserve">     * If the order contains only one unique insert-triggering SKU, the insert value is set to 1.</w:t>
      </w:r>
    </w:p>
    <w:p w14:paraId="63D07A47" w14:textId="77777777" w:rsidR="00E04283" w:rsidRDefault="00E04283">
      <w:r>
        <w:t xml:space="preserve">   * Total Charge: Multiply the insert value by the insert charge per unit (e.g., $0.07).</w:t>
      </w:r>
    </w:p>
    <w:p w14:paraId="4FEFE61C" w14:textId="77777777" w:rsidR="00E04283" w:rsidRDefault="00E04283">
      <w:r>
        <w:t xml:space="preserve"> * Flat Boxes:</w:t>
      </w:r>
    </w:p>
    <w:p w14:paraId="415BA4BA" w14:textId="01CA6FF3" w:rsidR="00E04283" w:rsidRDefault="00E04283">
      <w:r>
        <w:t xml:space="preserve">   * Case-Only SKU Exclusion: Reference the list of “case-only” SKUs (SKUs that should not incur a flat box charge when shipped as a full case).</w:t>
      </w:r>
    </w:p>
    <w:p w14:paraId="73CB4444" w14:textId="77777777" w:rsidR="00E04283" w:rsidRDefault="00E04283">
      <w:r>
        <w:t xml:space="preserve">   * Flat Box Determination Logic:</w:t>
      </w:r>
    </w:p>
    <w:p w14:paraId="5806D698" w14:textId="537103DE" w:rsidR="00E04283" w:rsidRDefault="00E04283">
      <w:r>
        <w:t xml:space="preserve">     * If the order contains ONLY “case-only” SKUs, no flat box charge applies (skip the following steps).</w:t>
      </w:r>
    </w:p>
    <w:p w14:paraId="196362A8" w14:textId="77777777" w:rsidR="00E04283" w:rsidRDefault="00E04283">
      <w:r>
        <w:t xml:space="preserve">     * Otherwise, sum the number of cases in the order. Use the following table to determine the number of flat boxes needed:</w:t>
      </w:r>
    </w:p>
    <w:p w14:paraId="14CC8DEB" w14:textId="77777777" w:rsidR="00E04283" w:rsidRDefault="00E04283">
      <w:r>
        <w:t xml:space="preserve">       | Case | Flat Box |</w:t>
      </w:r>
    </w:p>
    <w:tbl>
      <w:tblPr>
        <w:tblStyle w:val="TableGrid"/>
        <w:tblW w:w="0" w:type="auto"/>
        <w:tblInd w:w="369" w:type="dxa"/>
        <w:tblLook w:val="0000" w:firstRow="0" w:lastRow="0" w:firstColumn="0" w:lastColumn="0" w:noHBand="0" w:noVBand="0"/>
      </w:tblPr>
      <w:tblGrid>
        <w:gridCol w:w="562"/>
        <w:gridCol w:w="885"/>
      </w:tblGrid>
      <w:tr w:rsidR="00E04283" w14:paraId="246D9ADF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</w:tcPr>
          <w:p w14:paraId="2497720A" w14:textId="77777777" w:rsidR="00E04283" w:rsidRDefault="00E04283"/>
        </w:tc>
        <w:tc>
          <w:tcPr>
            <w:tcW w:w="885" w:type="dxa"/>
          </w:tcPr>
          <w:p w14:paraId="60FEA786" w14:textId="77777777" w:rsidR="00E04283" w:rsidRDefault="00E04283"/>
        </w:tc>
      </w:tr>
    </w:tbl>
    <w:p w14:paraId="230DD8A1" w14:textId="77777777" w:rsidR="00E04283" w:rsidRDefault="00E04283">
      <w:r>
        <w:t xml:space="preserve">       | 1    | 1        |</w:t>
      </w:r>
    </w:p>
    <w:p w14:paraId="653C54A7" w14:textId="77777777" w:rsidR="00E04283" w:rsidRDefault="00E04283">
      <w:r>
        <w:t xml:space="preserve">       | 2    | 2        |</w:t>
      </w:r>
    </w:p>
    <w:p w14:paraId="56888566" w14:textId="77777777" w:rsidR="00E04283" w:rsidRDefault="00E04283">
      <w:r>
        <w:t xml:space="preserve">       | 3    | 2        |</w:t>
      </w:r>
    </w:p>
    <w:p w14:paraId="4E728820" w14:textId="77777777" w:rsidR="00E04283" w:rsidRDefault="00E04283">
      <w:r>
        <w:t xml:space="preserve">       | 4    | 2        |</w:t>
      </w:r>
    </w:p>
    <w:p w14:paraId="1ADD06F3" w14:textId="77777777" w:rsidR="00E04283" w:rsidRDefault="00E04283">
      <w:r>
        <w:t xml:space="preserve">       | 5    | 3        |</w:t>
      </w:r>
    </w:p>
    <w:p w14:paraId="2C604B28" w14:textId="77777777" w:rsidR="00E04283" w:rsidRDefault="00E04283">
      <w:r>
        <w:lastRenderedPageBreak/>
        <w:t xml:space="preserve">       | 6    | 3        |</w:t>
      </w:r>
    </w:p>
    <w:p w14:paraId="052FFDD3" w14:textId="77777777" w:rsidR="00E04283" w:rsidRDefault="00E04283">
      <w:r>
        <w:t xml:space="preserve">       | 7    | 4        |</w:t>
      </w:r>
    </w:p>
    <w:p w14:paraId="1D293549" w14:textId="77777777" w:rsidR="00E04283" w:rsidRDefault="00E04283">
      <w:r>
        <w:t xml:space="preserve">       | 8    | 4        |</w:t>
      </w:r>
    </w:p>
    <w:p w14:paraId="50EDFCBF" w14:textId="77777777" w:rsidR="00E04283" w:rsidRDefault="00E04283">
      <w:r>
        <w:t xml:space="preserve">     * If the total number of cases exceeds the values in the table, extrapolate the pattern (e.g., 9 cases would require 5 flat boxes).</w:t>
      </w:r>
    </w:p>
    <w:p w14:paraId="55061350" w14:textId="77777777" w:rsidR="00E04283" w:rsidRDefault="00E04283">
      <w:r>
        <w:t xml:space="preserve">   * Charge: Multiply the calculated number of flat boxes by the flat box price ($0.85).</w:t>
      </w:r>
    </w:p>
    <w:p w14:paraId="651FBB6D" w14:textId="77777777" w:rsidR="00E04283" w:rsidRDefault="00E04283">
      <w:r>
        <w:t xml:space="preserve"> * Rush Order:</w:t>
      </w:r>
    </w:p>
    <w:p w14:paraId="0D663CDC" w14:textId="77777777" w:rsidR="00E04283" w:rsidRDefault="00E04283">
      <w:r>
        <w:t xml:space="preserve">   * Pending clarification on how to identify rush orders in the data.</w:t>
      </w:r>
    </w:p>
    <w:p w14:paraId="26398BDB" w14:textId="77777777" w:rsidR="00E04283" w:rsidRDefault="00E04283">
      <w:r>
        <w:t>5. B2B Pricing Logic</w:t>
      </w:r>
    </w:p>
    <w:p w14:paraId="08B7126D" w14:textId="77777777" w:rsidR="00E04283" w:rsidRDefault="00E04283">
      <w:r>
        <w:t xml:space="preserve"> * Base Fee: [Insert the specific dollar value for the B2B base fee here.]</w:t>
      </w:r>
    </w:p>
    <w:p w14:paraId="724A861C" w14:textId="77777777" w:rsidR="00E04283" w:rsidRDefault="00E04283">
      <w:r>
        <w:t xml:space="preserve"> * Unit &amp; Case Picks: Apply the same logic as in the B2C calculation for unit and case picks, using the corresponding B2B unit pick price (e.g., $0.35) and case pick price (e.g., $0.65) from the </w:t>
      </w:r>
      <w:proofErr w:type="spellStart"/>
      <w:r>
        <w:t>Abokichi</w:t>
      </w:r>
      <w:proofErr w:type="spellEnd"/>
      <w:r>
        <w:t xml:space="preserve"> B2B pricing table.</w:t>
      </w:r>
    </w:p>
    <w:p w14:paraId="3007C7F3" w14:textId="77777777" w:rsidR="00E04283" w:rsidRDefault="00E04283">
      <w:r>
        <w:t xml:space="preserve"> * Pallet Charges:</w:t>
      </w:r>
    </w:p>
    <w:p w14:paraId="358E7EC8" w14:textId="59024BEC" w:rsidR="00E04283" w:rsidRDefault="00E04283">
      <w:r>
        <w:t xml:space="preserve">   * Prior to processing the order data, present the user with a dialog box asking: “Are there any orders to be entered manually?”</w:t>
      </w:r>
    </w:p>
    <w:p w14:paraId="36A29FC4" w14:textId="0145B16F" w:rsidR="00E04283" w:rsidRDefault="00E04283">
      <w:r>
        <w:t xml:space="preserve">   * If the user selects “Yes”:</w:t>
      </w:r>
    </w:p>
    <w:p w14:paraId="17D7E544" w14:textId="77777777" w:rsidR="00E04283" w:rsidRDefault="00E04283">
      <w:r>
        <w:t xml:space="preserve">     * Display a form where the user can enter transaction IDs for manual entry.</w:t>
      </w:r>
    </w:p>
    <w:p w14:paraId="50832AFB" w14:textId="665D3F08" w:rsidR="00E04283" w:rsidRDefault="00E04283">
      <w:r>
        <w:t xml:space="preserve">     * Include a “+” button to allow adding multiple transaction IDs.</w:t>
      </w:r>
    </w:p>
    <w:p w14:paraId="5314D1C0" w14:textId="77777777" w:rsidR="00E04283" w:rsidRDefault="00E04283">
      <w:r>
        <w:t xml:space="preserve">     * Store the entered transaction IDs for later reference.</w:t>
      </w:r>
    </w:p>
    <w:p w14:paraId="60BF822C" w14:textId="06FAD573" w:rsidR="00E04283" w:rsidRDefault="00E04283">
      <w:r>
        <w:t xml:space="preserve">   * If the user selects “No”:</w:t>
      </w:r>
    </w:p>
    <w:p w14:paraId="2DF1C081" w14:textId="77777777" w:rsidR="00E04283" w:rsidRDefault="00E04283">
      <w:r>
        <w:t xml:space="preserve">     * Proceed with the automatic B2B pricing logic.</w:t>
      </w:r>
    </w:p>
    <w:p w14:paraId="2E72EBA2" w14:textId="77777777" w:rsidR="00E04283" w:rsidRDefault="00E04283">
      <w:r>
        <w:t xml:space="preserve">   * During automatic pricing, skip any orders whose transaction IDs were entered manually. The user will handle these orders separately.</w:t>
      </w:r>
    </w:p>
    <w:p w14:paraId="09C6665E" w14:textId="77777777" w:rsidR="00E04283" w:rsidRDefault="00E04283">
      <w:r>
        <w:t xml:space="preserve"> * B2B Special Rule (</w:t>
      </w:r>
      <w:proofErr w:type="spellStart"/>
      <w:r>
        <w:t>Rabbex</w:t>
      </w:r>
      <w:proofErr w:type="spellEnd"/>
      <w:r>
        <w:t>):</w:t>
      </w:r>
    </w:p>
    <w:p w14:paraId="1B51E6B0" w14:textId="77777777" w:rsidR="00E04283" w:rsidRDefault="00E04283">
      <w:r>
        <w:t xml:space="preserve">   * Conditions:</w:t>
      </w:r>
    </w:p>
    <w:p w14:paraId="300BACCE" w14:textId="60975E9F" w:rsidR="00E04283" w:rsidRDefault="00E04283">
      <w:r>
        <w:t xml:space="preserve">     * The Carrier column value is exactly “</w:t>
      </w:r>
      <w:proofErr w:type="spellStart"/>
      <w:r>
        <w:t>Rabbex</w:t>
      </w:r>
      <w:proofErr w:type="spellEnd"/>
      <w:r>
        <w:t>”.</w:t>
      </w:r>
    </w:p>
    <w:p w14:paraId="4AF11D86" w14:textId="77777777" w:rsidR="00E04283" w:rsidRDefault="00E04283">
      <w:r>
        <w:lastRenderedPageBreak/>
        <w:t xml:space="preserve">     * The order contains only case picks (no unit picks, as determined from the SKU/Quantity column and the SKU list).</w:t>
      </w:r>
    </w:p>
    <w:p w14:paraId="1F066A7C" w14:textId="77777777" w:rsidR="00E04283" w:rsidRDefault="00E04283">
      <w:r>
        <w:t xml:space="preserve">   * Logic:</w:t>
      </w:r>
    </w:p>
    <w:p w14:paraId="542FD17D" w14:textId="77777777" w:rsidR="00E04283" w:rsidRDefault="00E04283">
      <w:r>
        <w:t xml:space="preserve">     * Charge the B2B base order fee.</w:t>
      </w:r>
    </w:p>
    <w:p w14:paraId="49849C53" w14:textId="77777777" w:rsidR="00E04283" w:rsidRDefault="00E04283">
      <w:r>
        <w:t xml:space="preserve">     * The first six case picks are free.</w:t>
      </w:r>
    </w:p>
    <w:p w14:paraId="7F6DF5EA" w14:textId="77777777" w:rsidR="00E04283" w:rsidRDefault="00E04283">
      <w:r>
        <w:t xml:space="preserve">     * For any case picks beyond the first six, charge the regular B2B case pick price (e.g., $0.65).</w:t>
      </w:r>
    </w:p>
    <w:p w14:paraId="38800313" w14:textId="77777777" w:rsidR="00E04283" w:rsidRDefault="00E04283">
      <w:r>
        <w:t>6. Output</w:t>
      </w:r>
    </w:p>
    <w:p w14:paraId="2202CD7D" w14:textId="77777777" w:rsidR="00E04283" w:rsidRDefault="00E04283">
      <w:r>
        <w:t xml:space="preserve"> * Create separate client-specific worksheets for B2B and B2C orders.</w:t>
      </w:r>
    </w:p>
    <w:p w14:paraId="6092093A" w14:textId="77777777" w:rsidR="00E04283" w:rsidRDefault="00E04283">
      <w:r>
        <w:t xml:space="preserve"> * Output the following information for each order onto the appropriate worksheet:</w:t>
      </w:r>
    </w:p>
    <w:p w14:paraId="5D78E796" w14:textId="77777777" w:rsidR="00E04283" w:rsidRDefault="00E04283">
      <w:r>
        <w:t xml:space="preserve">   * Transaction ID</w:t>
      </w:r>
    </w:p>
    <w:p w14:paraId="02594674" w14:textId="77777777" w:rsidR="00E04283" w:rsidRDefault="00E04283">
      <w:r>
        <w:t xml:space="preserve">   * Order Type (B2B or B2C)</w:t>
      </w:r>
    </w:p>
    <w:p w14:paraId="35F08544" w14:textId="77777777" w:rsidR="00E04283" w:rsidRDefault="00E04283">
      <w:r>
        <w:t xml:space="preserve">   * Base Fee</w:t>
      </w:r>
    </w:p>
    <w:p w14:paraId="6735533A" w14:textId="77777777" w:rsidR="00E04283" w:rsidRDefault="00E04283">
      <w:r>
        <w:t xml:space="preserve">   * Unit Picks (and charge)</w:t>
      </w:r>
    </w:p>
    <w:p w14:paraId="03C6BA88" w14:textId="77777777" w:rsidR="00E04283" w:rsidRDefault="00E04283">
      <w:r>
        <w:t xml:space="preserve">   * Case Picks (and charge)</w:t>
      </w:r>
    </w:p>
    <w:p w14:paraId="79EE9A71" w14:textId="77777777" w:rsidR="00E04283" w:rsidRDefault="00E04283">
      <w:r>
        <w:t xml:space="preserve">   * </w:t>
      </w:r>
      <w:proofErr w:type="spellStart"/>
      <w:r>
        <w:t>Matcha</w:t>
      </w:r>
      <w:proofErr w:type="spellEnd"/>
      <w:r>
        <w:t xml:space="preserve"> Tea Charge (if applicable)</w:t>
      </w:r>
    </w:p>
    <w:p w14:paraId="51A7D33E" w14:textId="77777777" w:rsidR="00E04283" w:rsidRDefault="00E04283">
      <w:r>
        <w:t xml:space="preserve">   * Insert Charge (if applicable)</w:t>
      </w:r>
    </w:p>
    <w:p w14:paraId="2E5FC478" w14:textId="77777777" w:rsidR="00E04283" w:rsidRDefault="00E04283">
      <w:r>
        <w:t xml:space="preserve">   * Flat Box Charge (if applicable)</w:t>
      </w:r>
    </w:p>
    <w:p w14:paraId="2B010C5B" w14:textId="77777777" w:rsidR="00E04283" w:rsidRDefault="00E04283">
      <w:r>
        <w:t xml:space="preserve">   * Rush Order Charge (if applicable)</w:t>
      </w:r>
    </w:p>
    <w:p w14:paraId="6243D3F3" w14:textId="77777777" w:rsidR="00E04283" w:rsidRDefault="00E04283">
      <w:r>
        <w:t xml:space="preserve">   * Total Cost</w:t>
      </w:r>
    </w:p>
    <w:p w14:paraId="5F2709C3" w14:textId="77777777" w:rsidR="00E04283" w:rsidRDefault="00E04283">
      <w:r>
        <w:t>Next Steps</w:t>
      </w:r>
    </w:p>
    <w:p w14:paraId="77AE5AAC" w14:textId="77777777" w:rsidR="00E04283" w:rsidRDefault="00E04283">
      <w:r>
        <w:t xml:space="preserve"> * Implement a mechanism to handle manual entry and pricing of pallet orders.</w:t>
      </w:r>
    </w:p>
    <w:p w14:paraId="76D97AB5" w14:textId="77777777" w:rsidR="00E04283" w:rsidRDefault="00E04283">
      <w:r>
        <w:t xml:space="preserve"> * Develop comprehensive testing to validate the pricing calculations for various scenarios.</w:t>
      </w:r>
    </w:p>
    <w:p w14:paraId="1045661F" w14:textId="77777777" w:rsidR="00E04283" w:rsidRDefault="00E04283">
      <w:r>
        <w:t xml:space="preserve"> * Create user documentation with detailed instructions on using the program, interpreting outputs, and troubleshooting potential errors.</w:t>
      </w:r>
    </w:p>
    <w:p w14:paraId="516B6A2F" w14:textId="77777777" w:rsidR="00E04283" w:rsidRDefault="00E04283"/>
    <w:p w14:paraId="4F3859FE" w14:textId="77777777" w:rsidR="00C03412" w:rsidRDefault="00C03412"/>
    <w:sectPr w:rsidR="00C03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12"/>
    <w:rsid w:val="00870AD9"/>
    <w:rsid w:val="00C03412"/>
    <w:rsid w:val="00E0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250C1"/>
  <w15:chartTrackingRefBased/>
  <w15:docId w15:val="{6B480FB2-639D-1F42-A7D9-A9F7A812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4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hassan</dc:creator>
  <cp:keywords/>
  <dc:description/>
  <cp:lastModifiedBy>sadiq hassan</cp:lastModifiedBy>
  <cp:revision>2</cp:revision>
  <dcterms:created xsi:type="dcterms:W3CDTF">2024-05-12T15:39:00Z</dcterms:created>
  <dcterms:modified xsi:type="dcterms:W3CDTF">2024-05-12T15:40:00Z</dcterms:modified>
</cp:coreProperties>
</file>