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Tasks</w:t>
      </w:r>
    </w:p>
    <w:p w:rsidR="00000000" w:rsidDel="00000000" w:rsidP="00000000" w:rsidRDefault="00000000" w:rsidRPr="00000000" w14:paraId="00000002">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sheet - 2 pages (technology, data set, findings)</w:t>
      </w:r>
    </w:p>
    <w:p w:rsidR="00000000" w:rsidDel="00000000" w:rsidP="00000000" w:rsidRDefault="00000000" w:rsidRPr="00000000" w14:paraId="00000003">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Strong hypothesis, research, conclusion - viability, relevance, or usefulness of the technology. </w:t>
      </w:r>
    </w:p>
    <w:p w:rsidR="00000000" w:rsidDel="00000000" w:rsidP="00000000" w:rsidRDefault="00000000" w:rsidRPr="00000000" w14:paraId="00000004">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 and Primary research.</w:t>
      </w:r>
    </w:p>
    <w:p w:rsidR="00000000" w:rsidDel="00000000" w:rsidP="00000000" w:rsidRDefault="00000000" w:rsidRPr="00000000" w14:paraId="00000005">
      <w:pPr>
        <w:numPr>
          <w:ilvl w:val="0"/>
          <w:numId w:val="8"/>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a Python or SQL tool, technique, or library that we didn't study in class.</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Evaluation</w:t>
      </w:r>
    </w:p>
    <w:p w:rsidR="00000000" w:rsidDel="00000000" w:rsidP="00000000" w:rsidRDefault="00000000" w:rsidRPr="00000000" w14:paraId="00000008">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Novelty - Avoid similar topics.</w:t>
      </w:r>
    </w:p>
    <w:p w:rsidR="00000000" w:rsidDel="00000000" w:rsidP="00000000" w:rsidRDefault="00000000" w:rsidRPr="00000000" w14:paraId="00000009">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Business Value - why an organization should adopt the technology</w:t>
      </w:r>
    </w:p>
    <w:p w:rsidR="00000000" w:rsidDel="00000000" w:rsidP="00000000" w:rsidRDefault="00000000" w:rsidRPr="00000000" w14:paraId="0000000A">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Briefing - short and to-the-point</w:t>
      </w:r>
    </w:p>
    <w:p w:rsidR="00000000" w:rsidDel="00000000" w:rsidP="00000000" w:rsidRDefault="00000000" w:rsidRPr="00000000" w14:paraId="0000000B">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Handout - eye-catching and informative</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preference - Business value over Novelty.</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 - </w:t>
      </w:r>
      <w:hyperlink r:id="rId6">
        <w:r w:rsidDel="00000000" w:rsidR="00000000" w:rsidRPr="00000000">
          <w:rPr>
            <w:rFonts w:ascii="Calibri" w:cs="Calibri" w:eastAsia="Calibri" w:hAnsi="Calibri"/>
            <w:color w:val="1155cc"/>
            <w:sz w:val="20"/>
            <w:szCs w:val="20"/>
            <w:u w:val="single"/>
            <w:rtl w:val="0"/>
          </w:rPr>
          <w:t xml:space="preserve">https://www.gartner.com/document/3996980?ref=solrAll&amp;refval=308220451</w:t>
        </w:r>
      </w:hyperlink>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Topic - "Don't have enough data? Small and wide data has your back!" (using Python)</w:t>
      </w:r>
    </w:p>
    <w:p w:rsidR="00000000" w:rsidDel="00000000" w:rsidP="00000000" w:rsidRDefault="00000000" w:rsidRPr="00000000" w14:paraId="00000010">
      <w:pPr>
        <w:ind w:left="0" w:firstLine="0"/>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Sample Flyer</w:t>
      </w:r>
    </w:p>
    <w:p w:rsidR="00000000" w:rsidDel="00000000" w:rsidP="00000000" w:rsidRDefault="00000000" w:rsidRPr="00000000" w14:paraId="00000011">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867301" cy="259099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67301" cy="259099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Good article highlighting different techniques</w:t>
      </w:r>
    </w:p>
    <w:p w:rsidR="00000000" w:rsidDel="00000000" w:rsidP="00000000" w:rsidRDefault="00000000" w:rsidRPr="00000000" w14:paraId="00000014">
      <w:pPr>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https://searchenterpriseai.techtarget.com/feature/Using-small-data-sets-for-machine-learning-models-sees-growth</w:t>
        </w:r>
      </w:hyperlink>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Datasets relevant to small and wide data</w:t>
      </w:r>
    </w:p>
    <w:p w:rsidR="00000000" w:rsidDel="00000000" w:rsidP="00000000" w:rsidRDefault="00000000" w:rsidRPr="00000000" w14:paraId="00000017">
      <w:pPr>
        <w:numPr>
          <w:ilvl w:val="0"/>
          <w:numId w:val="4"/>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NYC Vehicle collisions and crashes (this would have a great visual appeal - I recollect seeing something similar in an NYT blog a while ago {NYT has amazing visualisations}) - </w:t>
      </w:r>
      <w:hyperlink r:id="rId9">
        <w:r w:rsidDel="00000000" w:rsidR="00000000" w:rsidRPr="00000000">
          <w:rPr>
            <w:rFonts w:ascii="Calibri" w:cs="Calibri" w:eastAsia="Calibri" w:hAnsi="Calibri"/>
            <w:color w:val="1155cc"/>
            <w:sz w:val="20"/>
            <w:szCs w:val="20"/>
            <w:u w:val="single"/>
            <w:rtl w:val="0"/>
          </w:rPr>
          <w:t xml:space="preserve">https://data.cityofnewyork.us/Public-Safety/Motor-Vehicle-Collisions-Crashes/h9gi-nx95</w:t>
        </w:r>
      </w:hyperlink>
      <w:r w:rsidDel="00000000" w:rsidR="00000000" w:rsidRPr="00000000">
        <w:rPr>
          <w:rtl w:val="0"/>
        </w:rPr>
      </w:r>
    </w:p>
    <w:p w:rsidR="00000000" w:rsidDel="00000000" w:rsidP="00000000" w:rsidRDefault="00000000" w:rsidRPr="00000000" w14:paraId="00000018">
      <w:pPr>
        <w:numPr>
          <w:ilvl w:val="0"/>
          <w:numId w:val="4"/>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NYC Payroll data - </w:t>
      </w:r>
      <w:hyperlink r:id="rId10">
        <w:r w:rsidDel="00000000" w:rsidR="00000000" w:rsidRPr="00000000">
          <w:rPr>
            <w:rFonts w:ascii="Calibri" w:cs="Calibri" w:eastAsia="Calibri" w:hAnsi="Calibri"/>
            <w:color w:val="1155cc"/>
            <w:sz w:val="20"/>
            <w:szCs w:val="20"/>
            <w:u w:val="single"/>
            <w:rtl w:val="0"/>
          </w:rPr>
          <w:t xml:space="preserve">https://data.cityofnewyork.us/City-Government/Citywide-Payroll-Data-Fiscal-Year-/k397-673e</w:t>
        </w:r>
      </w:hyperlink>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below two datasets are quite comprehensive and have been presented as a web page instead of a single table (so we can cherry pick our data of interest), these are far more preferable for presentation but I'm unsure if we could consider it as small data (although we can reduce the data points for our purpose) it’s quite wide for sure.</w:t>
      </w:r>
      <w:r w:rsidDel="00000000" w:rsidR="00000000" w:rsidRPr="00000000">
        <w:rPr>
          <w:rtl w:val="0"/>
        </w:rPr>
      </w:r>
    </w:p>
    <w:p w:rsidR="00000000" w:rsidDel="00000000" w:rsidP="00000000" w:rsidRDefault="00000000" w:rsidRPr="00000000" w14:paraId="0000001A">
      <w:pPr>
        <w:numPr>
          <w:ilvl w:val="0"/>
          <w:numId w:val="4"/>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NBA - </w:t>
      </w:r>
      <w:hyperlink r:id="rId11">
        <w:r w:rsidDel="00000000" w:rsidR="00000000" w:rsidRPr="00000000">
          <w:rPr>
            <w:rFonts w:ascii="Calibri" w:cs="Calibri" w:eastAsia="Calibri" w:hAnsi="Calibri"/>
            <w:color w:val="1155cc"/>
            <w:sz w:val="20"/>
            <w:szCs w:val="20"/>
            <w:u w:val="single"/>
            <w:rtl w:val="0"/>
          </w:rPr>
          <w:t xml:space="preserve">https://www.basketball-reference.com/</w:t>
        </w:r>
      </w:hyperlink>
      <w:r w:rsidDel="00000000" w:rsidR="00000000" w:rsidRPr="00000000">
        <w:rPr>
          <w:rtl w:val="0"/>
        </w:rPr>
      </w:r>
    </w:p>
    <w:p w:rsidR="00000000" w:rsidDel="00000000" w:rsidP="00000000" w:rsidRDefault="00000000" w:rsidRPr="00000000" w14:paraId="0000001B">
      <w:pPr>
        <w:numPr>
          <w:ilvl w:val="0"/>
          <w:numId w:val="4"/>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MLB - </w:t>
      </w:r>
      <w:hyperlink r:id="rId12">
        <w:r w:rsidDel="00000000" w:rsidR="00000000" w:rsidRPr="00000000">
          <w:rPr>
            <w:rFonts w:ascii="Calibri" w:cs="Calibri" w:eastAsia="Calibri" w:hAnsi="Calibri"/>
            <w:color w:val="1155cc"/>
            <w:sz w:val="20"/>
            <w:szCs w:val="20"/>
            <w:u w:val="single"/>
            <w:rtl w:val="0"/>
          </w:rPr>
          <w:t xml:space="preserve">https://www.baseball-reference.com/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Ideas for visuals in our flyer</w:t>
      </w:r>
    </w:p>
    <w:p w:rsidR="00000000" w:rsidDel="00000000" w:rsidP="00000000" w:rsidRDefault="00000000" w:rsidRPr="00000000" w14:paraId="0000001E">
      <w:pPr>
        <w:numPr>
          <w:ilvl w:val="0"/>
          <w:numId w:val="1"/>
        </w:numPr>
        <w:ind w:left="720" w:hanging="360"/>
        <w:rPr>
          <w:rFonts w:ascii="Calibri" w:cs="Calibri" w:eastAsia="Calibri" w:hAnsi="Calibri"/>
          <w:sz w:val="20"/>
          <w:szCs w:val="20"/>
          <w:u w:val="none"/>
        </w:rPr>
      </w:pPr>
      <w:hyperlink r:id="rId13">
        <w:r w:rsidDel="00000000" w:rsidR="00000000" w:rsidRPr="00000000">
          <w:rPr>
            <w:rFonts w:ascii="Calibri" w:cs="Calibri" w:eastAsia="Calibri" w:hAnsi="Calibri"/>
            <w:color w:val="1155cc"/>
            <w:sz w:val="20"/>
            <w:szCs w:val="20"/>
            <w:u w:val="single"/>
            <w:rtl w:val="0"/>
          </w:rPr>
          <w:t xml:space="preserve">https://www.pinterest.com/skystage/nyt/</w:t>
        </w:r>
      </w:hyperlink>
      <w:r w:rsidDel="00000000" w:rsidR="00000000" w:rsidRPr="00000000">
        <w:rPr>
          <w:rtl w:val="0"/>
        </w:rPr>
      </w:r>
    </w:p>
    <w:p w:rsidR="00000000" w:rsidDel="00000000" w:rsidP="00000000" w:rsidRDefault="00000000" w:rsidRPr="00000000" w14:paraId="0000001F">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traffic collision data can be represented in some form of the below visuals.</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919413" cy="162074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19413" cy="1620741"/>
                    </a:xfrm>
                    <a:prstGeom prst="rect"/>
                    <a:ln/>
                  </pic:spPr>
                </pic:pic>
              </a:graphicData>
            </a:graphic>
          </wp:inline>
        </w:drawing>
      </w:r>
      <w:r w:rsidDel="00000000" w:rsidR="00000000" w:rsidRPr="00000000">
        <w:rPr>
          <w:rFonts w:ascii="Calibri" w:cs="Calibri" w:eastAsia="Calibri" w:hAnsi="Calibri"/>
          <w:sz w:val="20"/>
          <w:szCs w:val="20"/>
        </w:rPr>
        <w:drawing>
          <wp:inline distB="114300" distT="114300" distL="114300" distR="114300">
            <wp:extent cx="2700268" cy="1636778"/>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00268" cy="16367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 relevant for presentation/flyer - </w:t>
      </w:r>
    </w:p>
    <w:p w:rsidR="00000000" w:rsidDel="00000000" w:rsidP="00000000" w:rsidRDefault="00000000" w:rsidRPr="00000000" w14:paraId="00000023">
      <w:pPr>
        <w:numPr>
          <w:ilvl w:val="0"/>
          <w:numId w:val="7"/>
        </w:numPr>
        <w:ind w:left="720" w:hanging="360"/>
        <w:rPr>
          <w:rFonts w:ascii="Calibri" w:cs="Calibri" w:eastAsia="Calibri" w:hAnsi="Calibri"/>
          <w:sz w:val="20"/>
          <w:szCs w:val="20"/>
          <w:u w:val="none"/>
        </w:rPr>
      </w:pPr>
      <w:hyperlink r:id="rId16">
        <w:r w:rsidDel="00000000" w:rsidR="00000000" w:rsidRPr="00000000">
          <w:rPr>
            <w:rFonts w:ascii="Calibri" w:cs="Calibri" w:eastAsia="Calibri" w:hAnsi="Calibri"/>
            <w:color w:val="1155cc"/>
            <w:sz w:val="20"/>
            <w:szCs w:val="20"/>
            <w:u w:val="single"/>
            <w:rtl w:val="0"/>
          </w:rPr>
          <w:t xml:space="preserve">https://www.gartner.com/en/newsroom/press-releases/2021-05-19-gartner-says-70-percent-of-organizations-will-shift-their-focus-from-big-to-small-and-wide-data-by-2025</w:t>
        </w:r>
      </w:hyperlink>
      <w:r w:rsidDel="00000000" w:rsidR="00000000" w:rsidRPr="00000000">
        <w:rPr>
          <w:rtl w:val="0"/>
        </w:rPr>
      </w:r>
    </w:p>
    <w:p w:rsidR="00000000" w:rsidDel="00000000" w:rsidP="00000000" w:rsidRDefault="00000000" w:rsidRPr="00000000" w14:paraId="00000024">
      <w:pPr>
        <w:numPr>
          <w:ilvl w:val="0"/>
          <w:numId w:val="7"/>
        </w:numPr>
        <w:ind w:left="720" w:hanging="360"/>
        <w:rPr>
          <w:rFonts w:ascii="Calibri" w:cs="Calibri" w:eastAsia="Calibri" w:hAnsi="Calibri"/>
          <w:sz w:val="20"/>
          <w:szCs w:val="20"/>
          <w:u w:val="none"/>
        </w:rPr>
      </w:pPr>
      <w:hyperlink r:id="rId17">
        <w:r w:rsidDel="00000000" w:rsidR="00000000" w:rsidRPr="00000000">
          <w:rPr>
            <w:rFonts w:ascii="Calibri" w:cs="Calibri" w:eastAsia="Calibri" w:hAnsi="Calibri"/>
            <w:color w:val="1155cc"/>
            <w:sz w:val="20"/>
            <w:szCs w:val="20"/>
            <w:u w:val="single"/>
            <w:rtl w:val="0"/>
          </w:rPr>
          <w:t xml:space="preserve">https://www.researchgate.net/publication/282158923_Small_data_in_the_era_of_big_data</w:t>
        </w:r>
      </w:hyperlink>
      <w:r w:rsidDel="00000000" w:rsidR="00000000" w:rsidRPr="00000000">
        <w:rPr>
          <w:rtl w:val="0"/>
        </w:rPr>
      </w:r>
    </w:p>
    <w:p w:rsidR="00000000" w:rsidDel="00000000" w:rsidP="00000000" w:rsidRDefault="00000000" w:rsidRPr="00000000" w14:paraId="00000025">
      <w:pPr>
        <w:numPr>
          <w:ilvl w:val="0"/>
          <w:numId w:val="7"/>
        </w:numPr>
        <w:ind w:left="720" w:hanging="360"/>
        <w:rPr>
          <w:rFonts w:ascii="Calibri" w:cs="Calibri" w:eastAsia="Calibri" w:hAnsi="Calibri"/>
          <w:sz w:val="20"/>
          <w:szCs w:val="20"/>
          <w:u w:val="none"/>
        </w:rPr>
      </w:pPr>
      <w:hyperlink r:id="rId18">
        <w:r w:rsidDel="00000000" w:rsidR="00000000" w:rsidRPr="00000000">
          <w:rPr>
            <w:rFonts w:ascii="Calibri" w:cs="Calibri" w:eastAsia="Calibri" w:hAnsi="Calibri"/>
            <w:color w:val="1155cc"/>
            <w:sz w:val="20"/>
            <w:szCs w:val="20"/>
            <w:u w:val="single"/>
            <w:rtl w:val="0"/>
          </w:rPr>
          <w:t xml:space="preserve">https://www.gartner.com/document/3996980?ref=solrAll&amp;refval=308920332</w:t>
        </w:r>
      </w:hyperlink>
      <w:r w:rsidDel="00000000" w:rsidR="00000000" w:rsidRPr="00000000">
        <w:rPr>
          <w:rtl w:val="0"/>
        </w:rPr>
      </w:r>
    </w:p>
    <w:p w:rsidR="00000000" w:rsidDel="00000000" w:rsidP="00000000" w:rsidRDefault="00000000" w:rsidRPr="00000000" w14:paraId="00000026">
      <w:pPr>
        <w:numPr>
          <w:ilvl w:val="0"/>
          <w:numId w:val="7"/>
        </w:numPr>
        <w:ind w:left="720" w:hanging="360"/>
        <w:rPr>
          <w:rFonts w:ascii="Calibri" w:cs="Calibri" w:eastAsia="Calibri" w:hAnsi="Calibri"/>
          <w:sz w:val="20"/>
          <w:szCs w:val="20"/>
          <w:u w:val="none"/>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 of Small and wide data</w:t>
      </w:r>
    </w:p>
    <w:p w:rsidR="00000000" w:rsidDel="00000000" w:rsidP="00000000" w:rsidRDefault="00000000" w:rsidRPr="00000000" w14:paraId="00000029">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Fast, easy, and cheaper</w:t>
      </w:r>
    </w:p>
    <w:p w:rsidR="00000000" w:rsidDel="00000000" w:rsidP="00000000" w:rsidRDefault="00000000" w:rsidRPr="00000000" w14:paraId="0000002A">
      <w:pPr>
        <w:numPr>
          <w:ilvl w:val="0"/>
          <w:numId w:val="6"/>
        </w:numPr>
        <w:ind w:left="720" w:hanging="360"/>
        <w:rPr>
          <w:rFonts w:ascii="Calibri" w:cs="Calibri" w:eastAsia="Calibri" w:hAnsi="Calibri"/>
          <w:sz w:val="20"/>
          <w:szCs w:val="20"/>
          <w:u w:val="none"/>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Typically - big data is when it’s unstructured and/or distributed across multiple data sources (typically having terabytes of data)</w:t>
      </w:r>
    </w:p>
    <w:p w:rsidR="00000000" w:rsidDel="00000000" w:rsidP="00000000" w:rsidRDefault="00000000" w:rsidRPr="00000000" w14:paraId="0000002D">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Idea - Suggest hypothesis for traffic data</w:t>
      </w:r>
    </w:p>
    <w:p w:rsidR="00000000" w:rsidDel="00000000" w:rsidP="00000000" w:rsidRDefault="00000000" w:rsidRPr="00000000" w14:paraId="0000002E">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Dataset - NY Traffic collisions dataset</w:t>
      </w:r>
    </w:p>
    <w:p w:rsidR="00000000" w:rsidDel="00000000" w:rsidP="00000000" w:rsidRDefault="00000000" w:rsidRPr="00000000" w14:paraId="0000002F">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Small data approach</w:t>
      </w:r>
    </w:p>
    <w:p w:rsidR="00000000" w:rsidDel="00000000" w:rsidP="00000000" w:rsidRDefault="00000000" w:rsidRPr="00000000" w14:paraId="00000030">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Visualization - usings some form of a map (primarily for visual appeal)</w:t>
      </w:r>
    </w:p>
    <w:p w:rsidR="00000000" w:rsidDel="00000000" w:rsidP="00000000" w:rsidRDefault="00000000" w:rsidRPr="00000000" w14:paraId="00000031">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Regression (Logistic/Multiple), Decision trees (might be interesting)</w:t>
      </w:r>
    </w:p>
    <w:p w:rsidR="00000000" w:rsidDel="00000000" w:rsidP="00000000" w:rsidRDefault="00000000" w:rsidRPr="00000000" w14:paraId="00000032">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Time series analysis</w:t>
      </w:r>
    </w:p>
    <w:p w:rsidR="00000000" w:rsidDel="00000000" w:rsidP="00000000" w:rsidRDefault="00000000" w:rsidRPr="00000000" w14:paraId="00000033">
      <w:pPr>
        <w:numPr>
          <w:ilvl w:val="1"/>
          <w:numId w:val="2"/>
        </w:numPr>
        <w:ind w:left="1440" w:hanging="360"/>
        <w:rPr>
          <w:rFonts w:ascii="Calibri" w:cs="Calibri" w:eastAsia="Calibri" w:hAnsi="Calibri"/>
          <w:sz w:val="20"/>
          <w:szCs w:val="20"/>
          <w:u w:val="none"/>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Wide data approach - </w:t>
      </w:r>
      <w:hyperlink r:id="rId19">
        <w:r w:rsidDel="00000000" w:rsidR="00000000" w:rsidRPr="00000000">
          <w:rPr>
            <w:rFonts w:ascii="Calibri" w:cs="Calibri" w:eastAsia="Calibri" w:hAnsi="Calibri"/>
            <w:color w:val="1155cc"/>
            <w:sz w:val="20"/>
            <w:szCs w:val="20"/>
            <w:u w:val="single"/>
            <w:rtl w:val="0"/>
          </w:rPr>
          <w:t xml:space="preserve">https://data.ny.gov/</w:t>
        </w:r>
      </w:hyperlink>
      <w:r w:rsidDel="00000000" w:rsidR="00000000" w:rsidRPr="00000000">
        <w:rPr>
          <w:rtl w:val="0"/>
        </w:rPr>
      </w:r>
    </w:p>
    <w:p w:rsidR="00000000" w:rsidDel="00000000" w:rsidP="00000000" w:rsidRDefault="00000000" w:rsidRPr="00000000" w14:paraId="00000035">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Combine additional data points to build insights</w:t>
      </w:r>
    </w:p>
    <w:p w:rsidR="00000000" w:rsidDel="00000000" w:rsidP="00000000" w:rsidRDefault="00000000" w:rsidRPr="00000000" w14:paraId="00000036">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Real time traffic-speed data </w:t>
      </w:r>
      <w:hyperlink r:id="rId20">
        <w:r w:rsidDel="00000000" w:rsidR="00000000" w:rsidRPr="00000000">
          <w:rPr>
            <w:rFonts w:ascii="Calibri" w:cs="Calibri" w:eastAsia="Calibri" w:hAnsi="Calibri"/>
            <w:color w:val="1155cc"/>
            <w:sz w:val="20"/>
            <w:szCs w:val="20"/>
            <w:u w:val="single"/>
            <w:rtl w:val="0"/>
          </w:rPr>
          <w:t xml:space="preserve">https://data.cityofnewyork.us/Transportation/Real-Time-Traffic-Speed-Data/qkm5-nuaq</w:t>
        </w:r>
      </w:hyperlink>
      <w:r w:rsidDel="00000000" w:rsidR="00000000" w:rsidRPr="00000000">
        <w:rPr>
          <w:rtl w:val="0"/>
        </w:rPr>
      </w:r>
    </w:p>
    <w:p w:rsidR="00000000" w:rsidDel="00000000" w:rsidP="00000000" w:rsidRDefault="00000000" w:rsidRPr="00000000" w14:paraId="00000037">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Traffic volume</w:t>
      </w:r>
    </w:p>
    <w:p w:rsidR="00000000" w:rsidDel="00000000" w:rsidP="00000000" w:rsidRDefault="00000000" w:rsidRPr="00000000" w14:paraId="00000038">
      <w:pPr>
        <w:ind w:left="2160" w:firstLine="0"/>
        <w:rPr>
          <w:rFonts w:ascii="Calibri" w:cs="Calibri" w:eastAsia="Calibri" w:hAnsi="Calibri"/>
          <w:sz w:val="20"/>
          <w:szCs w:val="20"/>
        </w:rPr>
      </w:pPr>
      <w:hyperlink r:id="rId21">
        <w:r w:rsidDel="00000000" w:rsidR="00000000" w:rsidRPr="00000000">
          <w:rPr>
            <w:rFonts w:ascii="Calibri" w:cs="Calibri" w:eastAsia="Calibri" w:hAnsi="Calibri"/>
            <w:color w:val="1155cc"/>
            <w:sz w:val="20"/>
            <w:szCs w:val="20"/>
            <w:u w:val="single"/>
            <w:rtl w:val="0"/>
          </w:rPr>
          <w:t xml:space="preserve">https://data.cityofnewyork.us/Transportation/Traffic-Volume-Counts-2014-2019-/ertz-hr4r</w:t>
        </w:r>
      </w:hyperlink>
      <w:r w:rsidDel="00000000" w:rsidR="00000000" w:rsidRPr="00000000">
        <w:rPr>
          <w:rtl w:val="0"/>
        </w:rPr>
      </w:r>
    </w:p>
    <w:p w:rsidR="00000000" w:rsidDel="00000000" w:rsidP="00000000" w:rsidRDefault="00000000" w:rsidRPr="00000000" w14:paraId="00000039">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Citywide Mobility Survey</w:t>
      </w:r>
    </w:p>
    <w:p w:rsidR="00000000" w:rsidDel="00000000" w:rsidP="00000000" w:rsidRDefault="00000000" w:rsidRPr="00000000" w14:paraId="0000003A">
      <w:pPr>
        <w:ind w:left="2160" w:firstLine="0"/>
        <w:rPr>
          <w:rFonts w:ascii="Calibri" w:cs="Calibri" w:eastAsia="Calibri" w:hAnsi="Calibri"/>
          <w:sz w:val="20"/>
          <w:szCs w:val="20"/>
        </w:rPr>
      </w:pPr>
      <w:hyperlink r:id="rId22">
        <w:r w:rsidDel="00000000" w:rsidR="00000000" w:rsidRPr="00000000">
          <w:rPr>
            <w:rFonts w:ascii="Calibri" w:cs="Calibri" w:eastAsia="Calibri" w:hAnsi="Calibri"/>
            <w:color w:val="1155cc"/>
            <w:sz w:val="20"/>
            <w:szCs w:val="20"/>
            <w:u w:val="single"/>
            <w:rtl w:val="0"/>
          </w:rPr>
          <w:t xml:space="preserve">https://data.cityofnewyork.us/Transportation/Citywide-Mobility-Survey-Household-Survey-2019/a5rk-jemi</w:t>
        </w:r>
      </w:hyperlink>
      <w:r w:rsidDel="00000000" w:rsidR="00000000" w:rsidRPr="00000000">
        <w:rPr>
          <w:rtl w:val="0"/>
        </w:rPr>
      </w:r>
    </w:p>
    <w:p w:rsidR="00000000" w:rsidDel="00000000" w:rsidP="00000000" w:rsidRDefault="00000000" w:rsidRPr="00000000" w14:paraId="0000003B">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Bicycle counts</w:t>
      </w:r>
    </w:p>
    <w:p w:rsidR="00000000" w:rsidDel="00000000" w:rsidP="00000000" w:rsidRDefault="00000000" w:rsidRPr="00000000" w14:paraId="0000003C">
      <w:pPr>
        <w:ind w:left="2160" w:firstLine="0"/>
        <w:rPr>
          <w:rFonts w:ascii="Calibri" w:cs="Calibri" w:eastAsia="Calibri" w:hAnsi="Calibri"/>
          <w:sz w:val="20"/>
          <w:szCs w:val="20"/>
        </w:rPr>
      </w:pPr>
      <w:hyperlink r:id="rId23">
        <w:r w:rsidDel="00000000" w:rsidR="00000000" w:rsidRPr="00000000">
          <w:rPr>
            <w:rFonts w:ascii="Calibri" w:cs="Calibri" w:eastAsia="Calibri" w:hAnsi="Calibri"/>
            <w:color w:val="1155cc"/>
            <w:sz w:val="20"/>
            <w:szCs w:val="20"/>
            <w:u w:val="single"/>
            <w:rtl w:val="0"/>
          </w:rPr>
          <w:t xml:space="preserve">https://data.cityofnewyork.us/Transportation/Bicycle-Counts/uczf-rk3c</w:t>
        </w:r>
      </w:hyperlink>
      <w:r w:rsidDel="00000000" w:rsidR="00000000" w:rsidRPr="00000000">
        <w:rPr>
          <w:rtl w:val="0"/>
        </w:rPr>
      </w:r>
    </w:p>
    <w:p w:rsidR="00000000" w:rsidDel="00000000" w:rsidP="00000000" w:rsidRDefault="00000000" w:rsidRPr="00000000" w14:paraId="0000003D">
      <w:pPr>
        <w:ind w:left="2160" w:firstLine="0"/>
        <w:rPr>
          <w:rFonts w:ascii="Calibri" w:cs="Calibri" w:eastAsia="Calibri" w:hAnsi="Calibri"/>
          <w:sz w:val="20"/>
          <w:szCs w:val="20"/>
        </w:rPr>
      </w:pPr>
      <w:hyperlink r:id="rId24">
        <w:r w:rsidDel="00000000" w:rsidR="00000000" w:rsidRPr="00000000">
          <w:rPr>
            <w:rFonts w:ascii="Calibri" w:cs="Calibri" w:eastAsia="Calibri" w:hAnsi="Calibri"/>
            <w:color w:val="1155cc"/>
            <w:sz w:val="20"/>
            <w:szCs w:val="20"/>
            <w:u w:val="single"/>
            <w:rtl w:val="0"/>
          </w:rPr>
          <w:t xml:space="preserve">https://data.cityofnewyork.us/Transportation/Bicycle-Counters/smn3-rzf9</w:t>
        </w:r>
      </w:hyperlink>
      <w:r w:rsidDel="00000000" w:rsidR="00000000" w:rsidRPr="00000000">
        <w:rPr>
          <w:rtl w:val="0"/>
        </w:rPr>
      </w:r>
    </w:p>
    <w:p w:rsidR="00000000" w:rsidDel="00000000" w:rsidP="00000000" w:rsidRDefault="00000000" w:rsidRPr="00000000" w14:paraId="0000003E">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Traffic Bollards Tracking and Installations</w:t>
      </w:r>
    </w:p>
    <w:p w:rsidR="00000000" w:rsidDel="00000000" w:rsidP="00000000" w:rsidRDefault="00000000" w:rsidRPr="00000000" w14:paraId="0000003F">
      <w:pPr>
        <w:ind w:left="2160" w:firstLine="0"/>
        <w:rPr>
          <w:rFonts w:ascii="Calibri" w:cs="Calibri" w:eastAsia="Calibri" w:hAnsi="Calibri"/>
          <w:sz w:val="20"/>
          <w:szCs w:val="20"/>
        </w:rPr>
      </w:pPr>
      <w:hyperlink r:id="rId25">
        <w:r w:rsidDel="00000000" w:rsidR="00000000" w:rsidRPr="00000000">
          <w:rPr>
            <w:rFonts w:ascii="Calibri" w:cs="Calibri" w:eastAsia="Calibri" w:hAnsi="Calibri"/>
            <w:color w:val="1155cc"/>
            <w:sz w:val="20"/>
            <w:szCs w:val="20"/>
            <w:u w:val="single"/>
            <w:rtl w:val="0"/>
          </w:rPr>
          <w:t xml:space="preserve">https://data.cityofnewyork.us/Transportation/Traffic-Bollards-Tracking-and-Installations/3f5t-9dqu</w:t>
        </w:r>
      </w:hyperlink>
      <w:r w:rsidDel="00000000" w:rsidR="00000000" w:rsidRPr="00000000">
        <w:rPr>
          <w:rtl w:val="0"/>
        </w:rPr>
      </w:r>
    </w:p>
    <w:p w:rsidR="00000000" w:rsidDel="00000000" w:rsidP="00000000" w:rsidRDefault="00000000" w:rsidRPr="00000000" w14:paraId="00000040">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Taxi services </w:t>
      </w:r>
    </w:p>
    <w:p w:rsidR="00000000" w:rsidDel="00000000" w:rsidP="00000000" w:rsidRDefault="00000000" w:rsidRPr="00000000" w14:paraId="00000041">
      <w:pPr>
        <w:ind w:left="2160" w:firstLine="0"/>
        <w:rPr>
          <w:rFonts w:ascii="Calibri" w:cs="Calibri" w:eastAsia="Calibri" w:hAnsi="Calibri"/>
          <w:sz w:val="20"/>
          <w:szCs w:val="20"/>
        </w:rPr>
      </w:pPr>
      <w:hyperlink r:id="rId26">
        <w:r w:rsidDel="00000000" w:rsidR="00000000" w:rsidRPr="00000000">
          <w:rPr>
            <w:rFonts w:ascii="Calibri" w:cs="Calibri" w:eastAsia="Calibri" w:hAnsi="Calibri"/>
            <w:color w:val="1155cc"/>
            <w:sz w:val="20"/>
            <w:szCs w:val="20"/>
            <w:u w:val="single"/>
            <w:rtl w:val="0"/>
          </w:rPr>
          <w:t xml:space="preserve">https://data.cityofnewyork.us/browse?Dataset-Information_Agency=Taxi+and+Limousine+Commission+%28TLC%29&amp;page=3</w:t>
        </w:r>
      </w:hyperlink>
      <w:r w:rsidDel="00000000" w:rsidR="00000000" w:rsidRPr="00000000">
        <w:rPr>
          <w:rtl w:val="0"/>
        </w:rPr>
      </w:r>
    </w:p>
    <w:p w:rsidR="00000000" w:rsidDel="00000000" w:rsidP="00000000" w:rsidRDefault="00000000" w:rsidRPr="00000000" w14:paraId="00000042">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Motor Vehicle Collisions - Vehicles</w:t>
      </w:r>
    </w:p>
    <w:p w:rsidR="00000000" w:rsidDel="00000000" w:rsidP="00000000" w:rsidRDefault="00000000" w:rsidRPr="00000000" w14:paraId="00000043">
      <w:pPr>
        <w:ind w:left="2160" w:firstLine="0"/>
        <w:rPr>
          <w:rFonts w:ascii="Calibri" w:cs="Calibri" w:eastAsia="Calibri" w:hAnsi="Calibri"/>
          <w:sz w:val="20"/>
          <w:szCs w:val="20"/>
        </w:rPr>
      </w:pPr>
      <w:hyperlink r:id="rId27">
        <w:r w:rsidDel="00000000" w:rsidR="00000000" w:rsidRPr="00000000">
          <w:rPr>
            <w:rFonts w:ascii="Calibri" w:cs="Calibri" w:eastAsia="Calibri" w:hAnsi="Calibri"/>
            <w:color w:val="1155cc"/>
            <w:sz w:val="20"/>
            <w:szCs w:val="20"/>
            <w:u w:val="single"/>
            <w:rtl w:val="0"/>
          </w:rPr>
          <w:t xml:space="preserve">https://data.cityofnewyork.us/Public-Safety/Motor-Vehicle-Collisions-Vehicles/bm4k-52h4</w:t>
        </w:r>
      </w:hyperlink>
      <w:r w:rsidDel="00000000" w:rsidR="00000000" w:rsidRPr="00000000">
        <w:rPr>
          <w:rtl w:val="0"/>
        </w:rPr>
      </w:r>
    </w:p>
    <w:p w:rsidR="00000000" w:rsidDel="00000000" w:rsidP="00000000" w:rsidRDefault="00000000" w:rsidRPr="00000000" w14:paraId="00000044">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Motor Vehicle Collisions - Person</w:t>
      </w:r>
    </w:p>
    <w:p w:rsidR="00000000" w:rsidDel="00000000" w:rsidP="00000000" w:rsidRDefault="00000000" w:rsidRPr="00000000" w14:paraId="00000045">
      <w:pPr>
        <w:ind w:left="2160" w:firstLine="0"/>
        <w:rPr>
          <w:rFonts w:ascii="Calibri" w:cs="Calibri" w:eastAsia="Calibri" w:hAnsi="Calibri"/>
          <w:sz w:val="20"/>
          <w:szCs w:val="20"/>
        </w:rPr>
      </w:pPr>
      <w:hyperlink r:id="rId28">
        <w:r w:rsidDel="00000000" w:rsidR="00000000" w:rsidRPr="00000000">
          <w:rPr>
            <w:rFonts w:ascii="Calibri" w:cs="Calibri" w:eastAsia="Calibri" w:hAnsi="Calibri"/>
            <w:color w:val="1155cc"/>
            <w:sz w:val="20"/>
            <w:szCs w:val="20"/>
            <w:u w:val="single"/>
            <w:rtl w:val="0"/>
          </w:rPr>
          <w:t xml:space="preserve">https://data.cityofnewyork.us/Public-Safety/Motor-Vehicle-Collisions-Person/f55k-p6yu</w:t>
        </w:r>
      </w:hyperlink>
      <w:r w:rsidDel="00000000" w:rsidR="00000000" w:rsidRPr="00000000">
        <w:rPr>
          <w:rtl w:val="0"/>
        </w:rPr>
      </w:r>
    </w:p>
    <w:p w:rsidR="00000000" w:rsidDel="00000000" w:rsidP="00000000" w:rsidRDefault="00000000" w:rsidRPr="00000000" w14:paraId="00000046">
      <w:pPr>
        <w:numPr>
          <w:ilvl w:val="2"/>
          <w:numId w:val="2"/>
        </w:numPr>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Moving Violations</w:t>
      </w:r>
    </w:p>
    <w:p w:rsidR="00000000" w:rsidDel="00000000" w:rsidP="00000000" w:rsidRDefault="00000000" w:rsidRPr="00000000" w14:paraId="00000047">
      <w:pPr>
        <w:ind w:left="2160" w:firstLine="0"/>
        <w:rPr>
          <w:rFonts w:ascii="Calibri" w:cs="Calibri" w:eastAsia="Calibri" w:hAnsi="Calibri"/>
          <w:sz w:val="20"/>
          <w:szCs w:val="20"/>
        </w:rPr>
      </w:pPr>
      <w:hyperlink r:id="rId29">
        <w:r w:rsidDel="00000000" w:rsidR="00000000" w:rsidRPr="00000000">
          <w:rPr>
            <w:rFonts w:ascii="Calibri" w:cs="Calibri" w:eastAsia="Calibri" w:hAnsi="Calibri"/>
            <w:color w:val="1155cc"/>
            <w:sz w:val="20"/>
            <w:szCs w:val="20"/>
            <w:u w:val="single"/>
            <w:rtl w:val="0"/>
          </w:rPr>
          <w:t xml:space="preserve">https://www1.nyc.gov/site/nypd/stats/traffic-data/traffic-data-moving.page#citywide</w:t>
        </w:r>
      </w:hyperlink>
      <w:r w:rsidDel="00000000" w:rsidR="00000000" w:rsidRPr="00000000">
        <w:rPr>
          <w:rtl w:val="0"/>
        </w:rPr>
      </w:r>
    </w:p>
    <w:p w:rsidR="00000000" w:rsidDel="00000000" w:rsidP="00000000" w:rsidRDefault="00000000" w:rsidRPr="00000000" w14:paraId="00000048">
      <w:pPr>
        <w:ind w:left="21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use cases of analysis on this dataset maybe</w:t>
      </w:r>
    </w:p>
    <w:p w:rsidR="00000000" w:rsidDel="00000000" w:rsidP="00000000" w:rsidRDefault="00000000" w:rsidRPr="00000000" w14:paraId="0000004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Transport companies/Taxi-cab service providers</w:t>
      </w:r>
    </w:p>
    <w:p w:rsidR="00000000" w:rsidDel="00000000" w:rsidP="00000000" w:rsidRDefault="00000000" w:rsidRPr="00000000" w14:paraId="0000004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Health service providers (ambulance/hospitals) - health data (and) </w:t>
      </w:r>
    </w:p>
    <w:p w:rsidR="00000000" w:rsidDel="00000000" w:rsidP="00000000" w:rsidRDefault="00000000" w:rsidRPr="00000000" w14:paraId="0000004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Insurance providers</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tl w:val="0"/>
        </w:rPr>
      </w:r>
    </w:p>
    <w:sectPr>
      <w:pgSz w:h="15840" w:w="12240" w:orient="portrait"/>
      <w:pgMar w:bottom="180" w:top="270" w:left="45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cityofnewyork.us/Transportation/Real-Time-Traffic-Speed-Data/qkm5-nuaq" TargetMode="External"/><Relationship Id="rId22" Type="http://schemas.openxmlformats.org/officeDocument/2006/relationships/hyperlink" Target="https://data.cityofnewyork.us/Transportation/Citywide-Mobility-Survey-Household-Survey-2019/a5rk-jemi" TargetMode="External"/><Relationship Id="rId21" Type="http://schemas.openxmlformats.org/officeDocument/2006/relationships/hyperlink" Target="https://data.cityofnewyork.us/Transportation/Traffic-Volume-Counts-2014-2019-/ertz-hr4r" TargetMode="External"/><Relationship Id="rId24" Type="http://schemas.openxmlformats.org/officeDocument/2006/relationships/hyperlink" Target="https://data.cityofnewyork.us/Transportation/Bicycle-Counters/smn3-rzf9" TargetMode="External"/><Relationship Id="rId23" Type="http://schemas.openxmlformats.org/officeDocument/2006/relationships/hyperlink" Target="https://data.cityofnewyork.us/Transportation/Bicycle-Counts/uczf-rk3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ityofnewyork.us/Public-Safety/Motor-Vehicle-Collisions-Crashes/h9gi-nx95" TargetMode="External"/><Relationship Id="rId26" Type="http://schemas.openxmlformats.org/officeDocument/2006/relationships/hyperlink" Target="https://data.cityofnewyork.us/browse?Dataset-Information_Agency=Taxi+and+Limousine+Commission+%28TLC%29&amp;page=3" TargetMode="External"/><Relationship Id="rId25" Type="http://schemas.openxmlformats.org/officeDocument/2006/relationships/hyperlink" Target="https://data.cityofnewyork.us/Transportation/Traffic-Bollards-Tracking-and-Installations/3f5t-9dqu" TargetMode="External"/><Relationship Id="rId28" Type="http://schemas.openxmlformats.org/officeDocument/2006/relationships/hyperlink" Target="https://data.cityofnewyork.us/Public-Safety/Motor-Vehicle-Collisions-Person/f55k-p6yu" TargetMode="External"/><Relationship Id="rId27" Type="http://schemas.openxmlformats.org/officeDocument/2006/relationships/hyperlink" Target="https://data.cityofnewyork.us/Public-Safety/Motor-Vehicle-Collisions-Vehicles/bm4k-52h4" TargetMode="External"/><Relationship Id="rId5" Type="http://schemas.openxmlformats.org/officeDocument/2006/relationships/styles" Target="styles.xml"/><Relationship Id="rId6" Type="http://schemas.openxmlformats.org/officeDocument/2006/relationships/hyperlink" Target="https://www.gartner.com/document/3996980?ref=solrAll&amp;refval=308220451" TargetMode="External"/><Relationship Id="rId29" Type="http://schemas.openxmlformats.org/officeDocument/2006/relationships/hyperlink" Target="https://www1.nyc.gov/site/nypd/stats/traffic-data/traffic-data-moving.page#citywide" TargetMode="External"/><Relationship Id="rId7" Type="http://schemas.openxmlformats.org/officeDocument/2006/relationships/image" Target="media/image2.jpg"/><Relationship Id="rId8" Type="http://schemas.openxmlformats.org/officeDocument/2006/relationships/hyperlink" Target="https://searchenterpriseai.techtarget.com/feature/Using-small-data-sets-for-machine-learning-models-sees-growth" TargetMode="External"/><Relationship Id="rId11" Type="http://schemas.openxmlformats.org/officeDocument/2006/relationships/hyperlink" Target="https://www.basketball-reference.com/" TargetMode="External"/><Relationship Id="rId10" Type="http://schemas.openxmlformats.org/officeDocument/2006/relationships/hyperlink" Target="https://data.cityofnewyork.us/City-Government/Citywide-Payroll-Data-Fiscal-Year-/k397-673e" TargetMode="External"/><Relationship Id="rId13" Type="http://schemas.openxmlformats.org/officeDocument/2006/relationships/hyperlink" Target="https://www.pinterest.com/skystage/nyt/" TargetMode="External"/><Relationship Id="rId12" Type="http://schemas.openxmlformats.org/officeDocument/2006/relationships/hyperlink" Target="https://www.baseball-reference.com/"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www.researchgate.net/publication/282158923_Small_data_in_the_era_of_big_data" TargetMode="External"/><Relationship Id="rId16" Type="http://schemas.openxmlformats.org/officeDocument/2006/relationships/hyperlink" Target="https://www.gartner.com/en/newsroom/press-releases/2021-05-19-gartner-says-70-percent-of-organizations-will-shift-their-focus-from-big-to-small-and-wide-data-by-2025" TargetMode="External"/><Relationship Id="rId19" Type="http://schemas.openxmlformats.org/officeDocument/2006/relationships/hyperlink" Target="https://data.ny.gov/" TargetMode="External"/><Relationship Id="rId18" Type="http://schemas.openxmlformats.org/officeDocument/2006/relationships/hyperlink" Target="https://www.gartner.com/document/3996980?ref=solrAll&amp;refval=308920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