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44"/>
          <w:szCs w:val="44"/>
        </w:rPr>
        <w:t xml:space="preserve">Secure File Upload Security Gateway</w:t>
      </w:r>
    </w:p>
    <w:p>
      <w:pPr>
        <w:spacing w:after="800"/>
        <w:jc w:val="center"/>
      </w:pPr>
      <w:r>
        <w:rPr>
          <w:i/>
          <w:iCs/>
          <w:sz w:val="28"/>
          <w:szCs w:val="28"/>
        </w:rPr>
        <w:t xml:space="preserve">A Literature Survey and Evidence-Based Architecture Recommendation</w:t>
      </w:r>
    </w:p>
    <w:p>
      <w:pPr>
        <w:spacing w:after="200"/>
        <w:jc w:val="center"/>
      </w:pPr>
      <w:r>
        <w:rPr>
          <w:sz w:val="22"/>
          <w:szCs w:val="22"/>
        </w:rPr>
        <w:t xml:space="preserve">Cloud Computing and Cloud Security — Academic Project Research Report</w:t>
      </w:r>
    </w:p>
    <w:p>
      <w:pPr>
        <w:spacing w:after="200"/>
        <w:jc w:val="center"/>
      </w:pPr>
      <w:r>
        <w:rPr>
          <w:sz w:val="22"/>
          <w:szCs w:val="22"/>
        </w:rPr>
        <w:t xml:space="preserve">September 2026</w:t>
      </w:r>
    </w:p>
    <w:p>
      <w:r>
        <w:br w:type="page"/>
      </w:r>
    </w:p>
    <w:p>
      <w:pPr>
        <w:pStyle w:val="Heading1"/>
        <w:spacing w:after="160" w:before="360"/>
      </w:pPr>
      <w:r>
        <w:t xml:space="preserve">Abstract</w:t>
      </w:r>
    </w:p>
    <w:p>
      <w:pPr>
        <w:spacing w:after="160"/>
      </w:pPr>
      <w:r>
        <w:t xml:space="preserve">File upload functionality remains one of the most common entry points for web application compromise, and the shift toward direct-to-cloud upload architectures (S3, Google Cloud Storage) has not removed the underlying trust problem — it has relocated it. This report surveys the peer-reviewed and standards literature relevant to a proposed "Secure File Upload Security Gateway": a quarantine-first, policy-enforced security layer that inspects files before they are promoted to trusted cloud storage. Coverage is uneven across the problem space. Malware analysis, Content Disarm and Reconstruction (CDR), and polyglot-file detection have active, citable academic literatures. Decompression-bomb attacks rest on a small number of rigorous, high-quality studies. Zero Trust and cloud IAM have mature survey-level treatment. By contrast, Time-of-Check-to-Time-of-Use (TOCTOU) races specific to cloud object storage promotion pipelines, and presigned-URL security, have essentially no peer-reviewed treatment — the available evidence is CVE disclosures, vendor documentation, and practitioner research. This report treats that absence as a finding, not a gap to be papered over with confident-sounding citations. Based on the assembled evidence, the report recommends a privilege-separated, quarantine-first architecture with version-bound integrity verification, deterministic (not machine-learning-based) file validation for the MVP, and Content Disarm and Reconstruction as the strongest available advanced-phase addition — while explicitly scoping out full sandboxing, blockchain-based audit logging, and general-purpose ML anomaly detection as unjustified for a student-team timeline.</w:t>
      </w:r>
    </w:p>
    <w:p>
      <w:pPr>
        <w:pStyle w:val="Heading2"/>
        <w:spacing w:after="120" w:before="280"/>
      </w:pPr>
      <w:r>
        <w:t xml:space="preserve">Keywords</w:t>
      </w:r>
    </w:p>
    <w:p>
      <w:pPr>
        <w:spacing w:after="160"/>
      </w:pPr>
      <w:r>
        <w:t xml:space="preserve">unrestricted file upload; CWE-434; malware analysis; Content Disarm and Reconstruction; polyglot files; decompression bombs; TOCTOU; cloud object storage; Zero Trust; least privilege; presigned URLs; quarantine architecture</w:t>
      </w:r>
    </w:p>
    <w:p>
      <w:pPr>
        <w:pStyle w:val="Heading1"/>
        <w:spacing w:after="160" w:before="360"/>
      </w:pPr>
      <w:r>
        <w:t xml:space="preserve">1. Introduction</w:t>
      </w:r>
    </w:p>
    <w:p>
      <w:pPr>
        <w:spacing w:after="160"/>
      </w:pPr>
      <w:r>
        <w:t xml:space="preserve">Web applications routinely accept user-supplied files, and this functionality has a long, well-documented history of enabling remote code execution, stored cross-site scripting, and resource-exhaustion attacks. The Common Weakness Enumeration entry CWE-434, "Unrestricted Upload of File with Dangerous Type," has appeared consistently in MITRE's CWE Top 25 Most Dangerous Software Weaknesses across the 2020–2023 editions (ranked 15th in 2020, 10th in both 2021 and 2023), confirming that this is not a legacy problem that modern frameworks have solved.</w:t>
      </w:r>
    </w:p>
    <w:p>
      <w:pPr>
        <w:spacing w:after="160"/>
      </w:pPr>
      <w:r>
        <w:t xml:space="preserve">The rise of direct-to-cloud upload patterns — where a browser uploads directly to AWS S3 or Google Cloud Storage via a presigned URL, bypassing the application backend for the upload itself — changes where validation can happen without changing whether it is necessary. If validation is deferred until after the object lands in storage, the object has, for a brief but real window, already become a "trusted" artifact addressable by other systems.</w:t>
      </w:r>
    </w:p>
    <w:p>
      <w:pPr>
        <w:pStyle w:val="Heading2"/>
        <w:spacing w:after="120" w:before="280"/>
      </w:pPr>
      <w:r>
        <w:t xml:space="preserve">1.1 Problem Statement</w:t>
      </w:r>
    </w:p>
    <w:p>
      <w:pPr>
        <w:spacing w:after="160"/>
      </w:pPr>
      <w:r>
        <w:t xml:space="preserve">Authenticated does not mean safe. A logged-in, authorized user can still upload a file that is malicious, malformed, oversized, or policy-violating, and most systems — student projects and, per the evidence below, a meaningful share of production systems — do not have a dedicated, defense-in-depth layer between "the upload succeeded" and "the file is trusted."</w:t>
      </w:r>
    </w:p>
    <w:p>
      <w:pPr>
        <w:pStyle w:val="Heading2"/>
        <w:spacing w:after="120" w:before="280"/>
      </w:pPr>
      <w:r>
        <w:t xml:space="preserve">1.2 Motivation</w:t>
      </w:r>
    </w:p>
    <w:p>
      <w:pPr>
        <w:spacing w:after="160"/>
      </w:pPr>
      <w:r>
        <w:t xml:space="preserve">This project reframes a conventional "encrypt files and put them in two clouds" cloud-storage assignment into a security-engineering problem with a defensible academic contribution: a quarantine-first gateway architecture whose trust boundaries are enforced by IAM separation and cryptographic version-binding, not merely by code organization. The literature review that follows is used to ground every architectural decision in either a peer-reviewed source, a standard (NIST, OWASP, MITRE), or an explicitly labeled practitioner source — with the absence of academic coverage stated plainly where it exists.</w:t>
      </w:r>
    </w:p>
    <w:p>
      <w:pPr>
        <w:pStyle w:val="Heading2"/>
        <w:spacing w:after="120" w:before="280"/>
      </w:pPr>
      <w:r>
        <w:t xml:space="preserve">1.3 Objectives and Research Questions</w:t>
      </w:r>
    </w:p>
    <w:p>
      <w:pPr>
        <w:spacing w:after="160"/>
      </w:pPr>
      <w:r>
        <w:t xml:space="preserve">This survey addresses the following question groups (mapped to the 26 research questions originally posed for this project):</w:t>
      </w:r>
    </w:p>
    <w:p>
      <w:pPr>
        <w:pStyle w:val="ListParagraph"/>
        <w:numPr>
          <w:ilvl w:val="0"/>
          <w:numId w:val="2"/>
        </w:numPr>
        <w:spacing w:after="80"/>
      </w:pPr>
      <w:r>
        <w:t xml:space="preserve">RQ1–RQ4: What threats do file uploads introduce, and what are the strengths/weaknesses of extension, MIME, magic-byte, structural, and content-based validation?</w:t>
      </w:r>
    </w:p>
    <w:p>
      <w:pPr>
        <w:pStyle w:val="ListParagraph"/>
        <w:numPr>
          <w:ilvl w:val="0"/>
          <w:numId w:val="2"/>
        </w:numPr>
        <w:spacing w:after="80"/>
      </w:pPr>
      <w:r>
        <w:t xml:space="preserve">RQ5–RQ8: How effective is defense-in-depth versus single controls, and how should quarantine, ZIP bombs, nested archives, and polyglot files be handled?</w:t>
      </w:r>
    </w:p>
    <w:p>
      <w:pPr>
        <w:pStyle w:val="ListParagraph"/>
        <w:numPr>
          <w:ilvl w:val="0"/>
          <w:numId w:val="2"/>
        </w:numPr>
        <w:spacing w:after="80"/>
      </w:pPr>
      <w:r>
        <w:t xml:space="preserve">RQ9–RQ12: What are the capabilities and limits of ClamAV-class signature scanning, static/dynamic/hybrid/ML analysis, and where (if anywhere) should ML be used?</w:t>
      </w:r>
    </w:p>
    <w:p>
      <w:pPr>
        <w:pStyle w:val="ListParagraph"/>
        <w:numPr>
          <w:ilvl w:val="0"/>
          <w:numId w:val="2"/>
        </w:numPr>
        <w:spacing w:after="80"/>
      </w:pPr>
      <w:r>
        <w:t xml:space="preserve">RQ13–RQ14: Which file types suit Content Disarm and Reconstruction, and what does the literature say about polyglot files specifically?</w:t>
      </w:r>
    </w:p>
    <w:p>
      <w:pPr>
        <w:pStyle w:val="ListParagraph"/>
        <w:numPr>
          <w:ilvl w:val="0"/>
          <w:numId w:val="2"/>
        </w:numPr>
        <w:spacing w:after="80"/>
      </w:pPr>
      <w:r>
        <w:t xml:space="preserve">RQ15–RQ19: How should cloud IAM/least privilege, TOCTOU prevention, object versioning, encryption/key management, and audit-log integrity be designed?</w:t>
      </w:r>
    </w:p>
    <w:p>
      <w:pPr>
        <w:pStyle w:val="ListParagraph"/>
        <w:numPr>
          <w:ilvl w:val="0"/>
          <w:numId w:val="2"/>
        </w:numPr>
        <w:spacing w:after="80"/>
      </w:pPr>
      <w:r>
        <w:t xml:space="preserve">RQ20–RQ22: Synchronous vs. asynchronous scanning, evaluation metrics, and safe datasets/testbeds.</w:t>
      </w:r>
    </w:p>
    <w:p>
      <w:pPr>
        <w:pStyle w:val="ListParagraph"/>
        <w:numPr>
          <w:ilvl w:val="0"/>
          <w:numId w:val="2"/>
        </w:numPr>
        <w:spacing w:after="80"/>
      </w:pPr>
      <w:r>
        <w:t xml:space="preserve">RQ23–RQ26: What existing systems already address parts of this problem, what remains unsolved, what is genuinely novel versus a combination of known controls, and what is realistically buildable by a student team.</w:t>
      </w:r>
    </w:p>
    <w:p>
      <w:pPr>
        <w:pStyle w:val="Heading1"/>
        <w:spacing w:after="160" w:before="360"/>
      </w:pPr>
      <w:r>
        <w:t xml:space="preserve">2. Methodology</w:t>
      </w:r>
    </w:p>
    <w:p>
      <w:pPr>
        <w:spacing w:after="160"/>
      </w:pPr>
      <w:r>
        <w:t xml:space="preserve">A material constraint applies to this survey and is disclosed here rather than left implicit: this session did not have access to a dedicated academic-literature connector (e.g., Consensus). All searches were run through general web search, targeted at IEEE Xplore, ACM Digital Library, USENIX, Springer, ScienceDirect, MDPI, arXiv, NIST, and OWASP. Every citation in this report was independently verified — where possible, cross-checked against a second source (Semantic Scholar, dblp, or the venue's own page) — before inclusion. No citation, DOI, dataset, or metric in this report was generated from model memory; anything not directly retrieved in this session is explicitly labeled as such.</w:t>
      </w:r>
    </w:p>
    <w:p>
      <w:pPr>
        <w:spacing w:after="160"/>
      </w:pPr>
      <w:r>
        <w:t xml:space="preserve">The topic was mapped using a Decomposition framework (Core mechanism · Applications · Limitations · Comparisons), appropriate for a technology/systems topic rather than a population-based one, yielding five sub-areas: (1) unrestricted file upload and the web attack surface, (2) malware and content analysis techniques including CDR, (3) archive-based attacks (decompression bombs, nested archives, polyglots), (4) cloud trust boundaries (IAM, Zero Trust, TOCTOU, presigned URLs), and (5) prior art and existing systems.</w:t>
      </w:r>
    </w:p>
    <w:p>
      <w:pPr>
        <w:spacing w:after="160"/>
      </w:pPr>
      <w:r>
        <w:t xml:space="preserve">Search execution and coverage figures are reported in full in Section 12 (Audit Log), consistent with the transparency standard this survey holds itself to.</w:t>
      </w:r>
    </w:p>
    <w:p>
      <w:pPr>
        <w:pStyle w:val="Heading1"/>
        <w:spacing w:after="160" w:before="360"/>
      </w:pPr>
      <w:r>
        <w:t xml:space="preserve">3. Literature Review</w:t>
      </w:r>
    </w:p>
    <w:p>
      <w:pPr>
        <w:pStyle w:val="Heading2"/>
        <w:spacing w:after="120" w:before="280"/>
      </w:pPr>
      <w:r>
        <w:t xml:space="preserve">3.1 Unrestricted File Upload and the Web Attack Surface</w:t>
      </w:r>
    </w:p>
    <w:p>
      <w:pPr>
        <w:spacing w:after="160"/>
      </w:pPr>
      <w:r>
        <w:t xml:space="preserve">The foundational risk is well established in standards and industry sources: OWASP and MITRE both describe unrestricted upload as enabling server-side compromise (web shells), client-side attacks (stored XSS, especially via HTML/SVG), phishing-page hosting, and resource exhaustion. What the standards literature does not provide is a rigorous, current academic treatment of the vulnerability class itself — most peer-reviewed work treats file upload as one vector within a broader study rather than as the primary subject.</w:t>
      </w:r>
    </w:p>
    <w:p>
      <w:pPr>
        <w:spacing w:after="160"/>
      </w:pPr>
      <w:r>
        <w:t xml:space="preserve">Two academic contributions stand out for direct relevance:</w:t>
      </w:r>
    </w:p>
    <w:p>
      <w:pPr>
        <w:pStyle w:val="ListParagraph"/>
        <w:numPr>
          <w:ilvl w:val="0"/>
          <w:numId w:val="2"/>
        </w:numPr>
        <w:spacing w:after="80"/>
      </w:pPr>
      <w:r>
        <w:rPr>
          <w:b/>
          <w:bCs/>
        </w:rPr>
        <w:t xml:space="preserve">Jana &amp; Shmatikov (2012), </w:t>
      </w:r>
      <w:r>
        <w:rPr>
          <w:i/>
          <w:iCs/>
        </w:rPr>
        <w:t xml:space="preserve">"Abusing File Processing in Malware Detectors for Fun and Profit,"</w:t>
      </w:r>
      <w:r>
        <w:t xml:space="preserve"> IEEE Symposium on Security and Privacy, pp. 80–94. </w:t>
      </w:r>
      <w:r>
        <w:t xml:space="preserve">This is arguably the single most load-bearing citation for this project. It formalizes two evasion classes — "chameleon" attacks (confusing a detector's file-type inference) and "werewolf" attacks (exploiting parsing discrepancies between the detector and the end system) — and demonstrated evasion of 20 of 36 tested malware detectors, using ClamAV specifically as a worked example. This directly undercuts the assumption that magic-byte validation plus ClamAV scanning is sufficient; the paper shows why format-confusion attacks target exactly that combination.</w:t>
      </w:r>
    </w:p>
    <w:p>
      <w:pPr>
        <w:pStyle w:val="ListParagraph"/>
        <w:numPr>
          <w:ilvl w:val="0"/>
          <w:numId w:val="2"/>
        </w:numPr>
        <w:spacing w:after="80"/>
      </w:pPr>
      <w:r>
        <w:rPr>
          <w:b/>
          <w:bCs/>
        </w:rPr>
        <w:t xml:space="preserve">An ACM-published request-level defense, </w:t>
      </w:r>
      <w:r>
        <w:rPr>
          <w:i/>
          <w:iCs/>
        </w:rPr>
        <w:t xml:space="preserve">"FileUploadChecker: Detecting and Sanitizing Malicious File Uploads in Web Applications at the Request Level"</w:t>
      </w:r>
      <w:r>
        <w:t xml:space="preserve"> (ACM Digital Library, DOI: 10.1145/3538969.3538999). </w:t>
      </w:r>
      <w:r>
        <w:t xml:space="preserve">This is the closest existing academic system to the proposed gateway: a Django middleware that inspects uploads at the request level without requiring changes to the protected application, evaluated against real CVEs disclosed for WordPress, Drupal, Xwiki, and OpenCms between 2017 and 2021. It is discussed further as prior art in Section 6.</w:t>
      </w:r>
    </w:p>
    <w:p>
      <w:pPr>
        <w:pStyle w:val="Heading2"/>
        <w:spacing w:after="120" w:before="280"/>
      </w:pPr>
      <w:r>
        <w:t xml:space="preserve">3.2 Malware and Content Analysis Techniques</w:t>
      </w:r>
    </w:p>
    <w:p>
      <w:pPr>
        <w:spacing w:after="160"/>
      </w:pPr>
      <w:r>
        <w:t xml:space="preserve">This is the best-covered sub-area in the survey. Foundational surveys establish the static/dynamic/hybrid taxonomy: Egele, Scholte, Kirda &amp; Kruegel (2012), "A survey on automated dynamic malware-analysis techniques and tools," ACM Computing Surveys 44(2), remains the standard reference for dynamic analysis tooling. Sihwail, Omar &amp; Ariffin (2018), "A Survey on Malware Analysis Techniques: Static, Dynamic, Hybrid and Memory Analysis," International Journal on Advanced Science, Engineering and Information Technology 8(4-2), and Damodaran, Di Troia, Visaggio, Austin &amp; Stamp (2017), "A comparison of static, dynamic, and hybrid analysis for malware detection," Journal of Computer Virology and Hacking Techniques 13(1), both converge on the same finding relevant to this project: signature-based (static) detection is fast and effective against known threats but structurally cannot catch zero-day or obfuscated malware, while dynamic/hybrid analysis improves coverage at a large cost in latency and infrastructure — a cost this project's synchronous, low-latency design goal cannot absorb.</w:t>
      </w:r>
    </w:p>
    <w:p>
      <w:pPr>
        <w:spacing w:after="160"/>
      </w:pPr>
      <w:r>
        <w:t xml:space="preserve">On the machine-learning side, Ye, Li, Adjeroh &amp; Iyengar (2017), "A Survey on Malware Detection Using Data Mining Techniques," ACM Computing Surveys 50(3), and several more recent surveys (a 2024 arXiv survey, arXiv:2407.19153, "A Survey of Malware Detection Using Deep Learning"; a 2022 MDPI Journal of Cybersecurity and Privacy survey by Tayyab et al. on deep-learning trends; and 2025 Springer book-chapter surveys on ML/DL malware detection) consistently report the same limitations: scarcity of standardized public benchmarks, vulnerability to adversarial evasion, and poor explainability of model decisions. None of these surveys report evidence that ML materially outperforms deterministic checks for the specific sub-problem this project has (file-upload-time triage of a single file), as opposed to the sub-problem they are actually solving (classifying a large corpus of executables). This is directly relevant to RQ11.</w:t>
      </w:r>
    </w:p>
    <w:p>
      <w:pPr>
        <w:pStyle w:val="Heading3"/>
        <w:spacing w:after="100" w:before="200"/>
      </w:pPr>
      <w:r>
        <w:t xml:space="preserve">3.2.1 Content Disarm and Reconstruction (CDR)</w:t>
      </w:r>
    </w:p>
    <w:p>
      <w:pPr>
        <w:spacing w:after="160"/>
      </w:pPr>
      <w:r>
        <w:t xml:space="preserve">CDR is the standout finding of this survey: a genuinely active, format-by-format research program from a single identifiable group. Ran Dubin's group (Ariel University, Israel) has published a dedicated CDR paper per major file format: Dubin (2023), "Content Disarm and Reconstruction of PDF Files," IEEE Access 11, pp. 38399–38416 (DOI: 10.1109/ACCESS.2023.3267717) — the first PDF CDR study to measure prevention rate and visual-similarity degradation, reporting 90% successful disarm-and-reconstruction on its malicious test set, with the remaining 10% (encrypted or structurally abnormal files) correctly routed to quarantine rather than silently passed; a companion RTF paper ("Content Disarm and Reconstruction of RTF Files: a Zero File Trust Methodology," IEEE Xplore); an OLE/Office paper (DOC/PPT/XLS, ScienceDirect/Computers &amp; Security); and Belkind, Dubin &amp; Dvir (2023), "Open Image Content Disarm And Reconstruction," extending the same methodology to image formats. Most recently, Gilkarov &amp; Dubin (arXiv:2503.01758, 2025) extend the same zero-trust CDR principle to AI model files (a "safe-unpickler" against Python pickle deserialization attacks), which is a useful signal that the underlying idea generalizes past documents.</w:t>
      </w:r>
    </w:p>
    <w:p>
      <w:pPr>
        <w:spacing w:after="160"/>
      </w:pPr>
      <w:r>
        <w:t xml:space="preserve">The consistent finding across this body of work is that CDR does not attempt to detect malware — it removes or rebuilds anything that does not conform to a strict specification of the file format, which makes it effective against zero-days by construction, at the cost of requiring a validated "clean" reconstruction path per file type (meaning CDR coverage does not generalize automatically to a new format the way a generic AV signature update does).</w:t>
      </w:r>
    </w:p>
    <w:p>
      <w:pPr>
        <w:pStyle w:val="Heading2"/>
        <w:spacing w:after="120" w:before="280"/>
      </w:pPr>
      <w:r>
        <w:t xml:space="preserve">3.3 Archive-Based Attacks: Decompression Bombs and Polyglot Files</w:t>
      </w:r>
    </w:p>
    <w:p>
      <w:pPr>
        <w:spacing w:after="160"/>
      </w:pPr>
      <w:r>
        <w:t xml:space="preserve">Two papers form almost the entire rigorous academic base on decompression bombs, and both are worth reading directly rather than summarizing from a blog: Pellegrino, Balzarotti, Winter &amp; Suri (2015), "In the Compression Hornet's Nest: A Security Study of Data Compression in Network Services," 24th USENIX Security Symposium, pp. 801–816, which tested 19 real protocol implementations against highly-compressed messages and found DoS-by-compression to be a persistent, widespread problem rather than a solved one; and David Fifield (2019), "A better zip bomb," 13th USENIX Workshop on Offensive Technologies (WOOT '19) — winner of the Best Paper award — which shows that a non-recursive zip bomb (no nested archives at all) can achieve a compression ratio exceeding 28 million to one using only standard DEFLATE, compatible with most zip parsers. This second paper is a direct, practical refutation of any archive-inspection design that only checks for nesting depth: Fifield's construction has zero nesting and would sail through a nesting-depth check while still expanding catastrophically.</w:t>
      </w:r>
    </w:p>
    <w:p>
      <w:pPr>
        <w:spacing w:after="160"/>
      </w:pPr>
      <w:r>
        <w:t xml:space="preserve">Polyglot files — a single binary valid under two or more format specifications — trace back to Jana &amp; Shmatikov (2012), already discussed above, and have seen a resurgence of rigorous work: Koch et al. (2022), "Toward the Detection of Polyglot Files," 15th Workshop on Cyber Security Experimentation and Test (CSET '22), ACM DOI 10.1145/3546096.3546106, built a labeled polyglot/monoglot dataset (using Ange Albertini's "mitra" tool) and found that existing file-format identification tools, including ones purpose-built for polyglots, fail to reliably detect them; their best classifiers (MalConv2, CatBoost) reached 95–95.5% recall. A 2025 follow-up, "On the Abuse and Detection of Polyglot Files," ACM Web Conference 2025 (DOI: 10.1145/3696410.3714814, arXiv:2407.01529), surveyed real-world APT use of polyglots (30 samples, 15 attack chains) and introduced PolyConv (0.999 PR-AUC) and ImSan, a CDR tool for image-based polyglots specifically, reporting 100% successful sanitization of the image-polyglot samples tested. Both papers explicitly note that polyglot files are a known blind spot for signature-based scanners including ClamAV, because most scanners stop format inference at the first match.</w:t>
      </w:r>
    </w:p>
    <w:p>
      <w:pPr>
        <w:pStyle w:val="Heading2"/>
        <w:spacing w:after="120" w:before="280"/>
      </w:pPr>
      <w:r>
        <w:t xml:space="preserve">3.4 Cloud Trust Boundaries: IAM, Zero Trust, TOCTOU, and Presigned URLs</w:t>
      </w:r>
    </w:p>
    <w:p>
      <w:pPr>
        <w:spacing w:after="160"/>
      </w:pPr>
      <w:r>
        <w:t xml:space="preserve">Zero Trust and least-privilege cloud IAM have solid survey-level academic coverage, though mostly at the level of general principles rather than upload-pipeline specifics. A genuinely peer-reviewed, mechanism-level contribution is Cybersecurity (Springer, 2024), "Zero-trust based dynamic access control for cloud computing," which proposes DR-TBAC (a dynamic, trust-score-based extension of trust-based access control) and critiques prior work for relying on static, coarse-grained policies — directly relevant to justifying dynamic, per-application IAM scoping rather than one broad role. A 2023 arXiv survey (arXiv:2309.03582), "Zero Trust: Applications, Challenges, and Opportunities," corroborates least-privilege and continuous verification as core, empirically-supported Zero Trust tenets. A second arXiv item found (arXiv:2411.06139) is a synthesis-style paper leaning heavily on secondary citations rather than original evaluation; it is noted here but weighted lower than the Springer paper.</w:t>
      </w:r>
    </w:p>
    <w:p>
      <w:pPr>
        <w:spacing w:after="160"/>
      </w:pPr>
      <w:r>
        <w:t xml:space="preserve">TOCTOU races and presigned-URL security are the clearest gap identified in this survey. Search for peer-reviewed, cloud-object-storage-specific TOCTOU research returned essentially nothing: the applicable material is CWE-367 (the general TOCTOU weakness class), documented CVEs (e.g., CVE-2024-50379 / CVE-2024-56337, an Apache Tomcat JSP-compilation TOCTOU exploitable via two concurrent uploads to the same case-insensitive path), and vendor/practitioner writeups describing the exact pattern this project is designed to close (an upload check and a later storage action racing against an attacker-controlled overwrite). One adjacent but not directly on-point academic source was found: an arXiv paper on TOCTOU in browser-use AI agents (arXiv:2603.00476), which formalizes the general TOCTOU pattern (a pathname or reference is not a stable binding to a specific object) but does not address cloud object storage. Presigned-URL security searches returned zero peer-reviewed results — only vendor engineering blogs (AWS, Detectify, ivision) documenting real exploited misconfigurations (IDOR via attacker-controlled object paths, overwrite of other users' objects, overly broad policy scoping). This report treats the TOCTOU/presigned-URL threat model as evidence-based via CVEs and vendor disclosure, explicitly not via academic literature, because none of appropriate specificity currently exists.</w:t>
      </w:r>
    </w:p>
    <w:p>
      <w:pPr>
        <w:pStyle w:val="Heading2"/>
        <w:spacing w:after="120" w:before="280"/>
      </w:pPr>
      <w:r>
        <w:t xml:space="preserve">3.5 Audit Log Integrity</w:t>
      </w:r>
    </w:p>
    <w:p>
      <w:pPr>
        <w:spacing w:after="160"/>
      </w:pPr>
      <w:r>
        <w:t xml:space="preserve">The tamper-evident logging literature is mature and directly answers RQ19. The foundational result is Crosby &amp; Wallach (2009), "Efficient Data Structures for Tamper-Evident Logging," USENIX Security Symposium, which introduced a Merkle-tree-based history tree supporting O(log n) membership and consistency proofs — this is the mechanism behind Certificate Transparency and is the right level of complexity for an academic project (far simpler than a blockchain). Blockchain-based alternatives exist — Ahmad et al., "Towards Blockchain-Driven, Secure and Transparent Audit Logs" (BlockAudit, arXiv:1811.09944), and Putz et al., "A secure and auditable logging infrastructure based on a permissioned blockchain," Computers &amp; Security (ScienceDirect) — but a 2026 arXiv paper on tamper-proof audit systems makes an important, directly citable critique worth quoting in substance rather than reproducing verbatim: append-only logs (Merkle-tree-based, as in Certificate Transparency) still rely on a trusted log operator, and a compromised administrator could omit entries before they ever reach the log, whereas blockchain consensus distributes that trust across independent validators — but at a real cost in latency and infrastructure that the same paper concedes is only justified when the threat model specifically includes a powerful insider with administrative control. This is a useful, literature-grounded reason to choose database-level append-only (INSERT-only role, no UPDATE/DELETE grant) over blockchain for the MVP, and to say precisely why, rather than merely asserting it.</w:t>
      </w:r>
    </w:p>
    <w:p>
      <w:pPr>
        <w:pStyle w:val="Heading1"/>
        <w:spacing w:after="160" w:before="360"/>
      </w:pPr>
      <w:r>
        <w:t xml:space="preserve">4. Threat Landscape</w:t>
      </w:r>
    </w:p>
    <w:p>
      <w:pPr>
        <w:spacing w:after="160"/>
      </w:pPr>
      <w:r>
        <w:t xml:space="preserve">Threats are scoped to those with either academic, standards-body, or documented-CVE support found in this survey — not invented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rPr>
          <w:tblHeader/>
        </w:trPr>
        <w:tc>
          <w:tcPr>
            <w:tcW w:type="dxa" w:w="2200"/>
            <w:shd w:fill="1F3B57" w:val="clear"/>
            <w:tcMar>
              <w:top w:type="dxa" w:w="80"/>
              <w:left w:type="dxa" w:w="120"/>
              <w:bottom w:type="dxa" w:w="80"/>
              <w:right w:type="dxa" w:w="120"/>
            </w:tcMar>
            <w:vAlign w:val="top"/>
          </w:tcPr>
          <w:p>
            <w:r>
              <w:rPr>
                <w:b/>
                <w:bCs/>
                <w:color w:val="FFFFFF"/>
              </w:rPr>
              <w:t xml:space="preserve">Threat</w:t>
            </w:r>
          </w:p>
        </w:tc>
        <w:tc>
          <w:tcPr>
            <w:tcW w:type="dxa" w:w="2600"/>
            <w:shd w:fill="1F3B57" w:val="clear"/>
            <w:tcMar>
              <w:top w:type="dxa" w:w="80"/>
              <w:left w:type="dxa" w:w="120"/>
              <w:bottom w:type="dxa" w:w="80"/>
              <w:right w:type="dxa" w:w="120"/>
            </w:tcMar>
            <w:vAlign w:val="top"/>
          </w:tcPr>
          <w:p>
            <w:r>
              <w:rPr>
                <w:b/>
                <w:bCs/>
                <w:color w:val="FFFFFF"/>
              </w:rPr>
              <w:t xml:space="preserve">Evidence Base</w:t>
            </w:r>
          </w:p>
        </w:tc>
        <w:tc>
          <w:tcPr>
            <w:tcW w:type="dxa" w:w="2280"/>
            <w:shd w:fill="1F3B57" w:val="clear"/>
            <w:tcMar>
              <w:top w:type="dxa" w:w="80"/>
              <w:left w:type="dxa" w:w="120"/>
              <w:bottom w:type="dxa" w:w="80"/>
              <w:right w:type="dxa" w:w="120"/>
            </w:tcMar>
            <w:vAlign w:val="top"/>
          </w:tcPr>
          <w:p>
            <w:r>
              <w:rPr>
                <w:b/>
                <w:bCs/>
                <w:color w:val="FFFFFF"/>
              </w:rPr>
              <w:t xml:space="preserve">Detection</w:t>
            </w:r>
          </w:p>
        </w:tc>
        <w:tc>
          <w:tcPr>
            <w:tcW w:type="dxa" w:w="2280"/>
            <w:shd w:fill="1F3B57" w:val="clear"/>
            <w:tcMar>
              <w:top w:type="dxa" w:w="80"/>
              <w:left w:type="dxa" w:w="120"/>
              <w:bottom w:type="dxa" w:w="80"/>
              <w:right w:type="dxa" w:w="120"/>
            </w:tcMar>
            <w:vAlign w:val="top"/>
          </w:tcPr>
          <w:p>
            <w:r>
              <w:rPr>
                <w:b/>
                <w:bCs/>
                <w:color w:val="FFFFFF"/>
              </w:rPr>
              <w:t xml:space="preserve">Prevention</w:t>
            </w:r>
          </w:p>
        </w:tc>
      </w:tr>
      <w:tr>
        <w:tc>
          <w:tcPr>
            <w:tcW w:type="dxa" w:w="2200"/>
            <w:tcMar>
              <w:top w:type="dxa" w:w="80"/>
              <w:left w:type="dxa" w:w="120"/>
              <w:bottom w:type="dxa" w:w="80"/>
              <w:right w:type="dxa" w:w="120"/>
            </w:tcMar>
            <w:vAlign w:val="top"/>
          </w:tcPr>
          <w:p>
            <w:r>
              <w:t xml:space="preserve">Extension/MIME spoofing</w:t>
            </w:r>
          </w:p>
        </w:tc>
        <w:tc>
          <w:tcPr>
            <w:tcW w:type="dxa" w:w="2600"/>
            <w:tcMar>
              <w:top w:type="dxa" w:w="80"/>
              <w:left w:type="dxa" w:w="120"/>
              <w:bottom w:type="dxa" w:w="80"/>
              <w:right w:type="dxa" w:w="120"/>
            </w:tcMar>
            <w:vAlign w:val="top"/>
          </w:tcPr>
          <w:p>
            <w:r>
              <w:t xml:space="preserve">OWASP; MITRE CWE-434</w:t>
            </w:r>
          </w:p>
        </w:tc>
        <w:tc>
          <w:tcPr>
            <w:tcW w:type="dxa" w:w="2280"/>
            <w:tcMar>
              <w:top w:type="dxa" w:w="80"/>
              <w:left w:type="dxa" w:w="120"/>
              <w:bottom w:type="dxa" w:w="80"/>
              <w:right w:type="dxa" w:w="120"/>
            </w:tcMar>
            <w:vAlign w:val="top"/>
          </w:tcPr>
          <w:p>
            <w:r>
              <w:t xml:space="preserve">Compare declared type vs. sniffed type</w:t>
            </w:r>
          </w:p>
        </w:tc>
        <w:tc>
          <w:tcPr>
            <w:tcW w:type="dxa" w:w="2280"/>
            <w:tcMar>
              <w:top w:type="dxa" w:w="80"/>
              <w:left w:type="dxa" w:w="120"/>
              <w:bottom w:type="dxa" w:w="80"/>
              <w:right w:type="dxa" w:w="120"/>
            </w:tcMar>
            <w:vAlign w:val="top"/>
          </w:tcPr>
          <w:p>
            <w:r>
              <w:t xml:space="preserve">Reject on mismatch; never trust extension alone</w:t>
            </w:r>
          </w:p>
        </w:tc>
      </w:tr>
      <w:tr>
        <w:tc>
          <w:tcPr>
            <w:tcW w:type="dxa" w:w="2200"/>
            <w:shd w:fill="F2F6F8" w:val="clear"/>
            <w:tcMar>
              <w:top w:type="dxa" w:w="80"/>
              <w:left w:type="dxa" w:w="120"/>
              <w:bottom w:type="dxa" w:w="80"/>
              <w:right w:type="dxa" w:w="120"/>
            </w:tcMar>
            <w:vAlign w:val="top"/>
          </w:tcPr>
          <w:p>
            <w:r>
              <w:t xml:space="preserve">Chameleon / format-confusion attacks</w:t>
            </w:r>
          </w:p>
        </w:tc>
        <w:tc>
          <w:tcPr>
            <w:tcW w:type="dxa" w:w="2600"/>
            <w:shd w:fill="F2F6F8" w:val="clear"/>
            <w:tcMar>
              <w:top w:type="dxa" w:w="80"/>
              <w:left w:type="dxa" w:w="120"/>
              <w:bottom w:type="dxa" w:w="80"/>
              <w:right w:type="dxa" w:w="120"/>
            </w:tcMar>
            <w:vAlign w:val="top"/>
          </w:tcPr>
          <w:p>
            <w:r>
              <w:t xml:space="preserve">Jana &amp; Shmatikov 2012 (IEEE S&amp;P)</w:t>
            </w:r>
          </w:p>
        </w:tc>
        <w:tc>
          <w:tcPr>
            <w:tcW w:type="dxa" w:w="2280"/>
            <w:shd w:fill="F2F6F8" w:val="clear"/>
            <w:tcMar>
              <w:top w:type="dxa" w:w="80"/>
              <w:left w:type="dxa" w:w="120"/>
              <w:bottom w:type="dxa" w:w="80"/>
              <w:right w:type="dxa" w:w="120"/>
            </w:tcMar>
            <w:vAlign w:val="top"/>
          </w:tcPr>
          <w:p>
            <w:r>
              <w:t xml:space="preserve">Multi-format exhaustive parsing (costly)</w:t>
            </w:r>
          </w:p>
        </w:tc>
        <w:tc>
          <w:tcPr>
            <w:tcW w:type="dxa" w:w="2280"/>
            <w:shd w:fill="F2F6F8" w:val="clear"/>
            <w:tcMar>
              <w:top w:type="dxa" w:w="80"/>
              <w:left w:type="dxa" w:w="120"/>
              <w:bottom w:type="dxa" w:w="80"/>
              <w:right w:type="dxa" w:w="120"/>
            </w:tcMar>
            <w:vAlign w:val="top"/>
          </w:tcPr>
          <w:p>
            <w:r>
              <w:t xml:space="preserve">Magic-byte + structural validation; do not stop at first format match</w:t>
            </w:r>
          </w:p>
        </w:tc>
      </w:tr>
      <w:tr>
        <w:tc>
          <w:tcPr>
            <w:tcW w:type="dxa" w:w="2200"/>
            <w:tcMar>
              <w:top w:type="dxa" w:w="80"/>
              <w:left w:type="dxa" w:w="120"/>
              <w:bottom w:type="dxa" w:w="80"/>
              <w:right w:type="dxa" w:w="120"/>
            </w:tcMar>
            <w:vAlign w:val="top"/>
          </w:tcPr>
          <w:p>
            <w:r>
              <w:t xml:space="preserve">Polyglot files evading scanners</w:t>
            </w:r>
          </w:p>
        </w:tc>
        <w:tc>
          <w:tcPr>
            <w:tcW w:type="dxa" w:w="2600"/>
            <w:tcMar>
              <w:top w:type="dxa" w:w="80"/>
              <w:left w:type="dxa" w:w="120"/>
              <w:bottom w:type="dxa" w:w="80"/>
              <w:right w:type="dxa" w:w="120"/>
            </w:tcMar>
            <w:vAlign w:val="top"/>
          </w:tcPr>
          <w:p>
            <w:r>
              <w:t xml:space="preserve">Koch et al. 2022 (CSET); WWW 2025 (PolyConv)</w:t>
            </w:r>
          </w:p>
        </w:tc>
        <w:tc>
          <w:tcPr>
            <w:tcW w:type="dxa" w:w="2280"/>
            <w:tcMar>
              <w:top w:type="dxa" w:w="80"/>
              <w:left w:type="dxa" w:w="120"/>
              <w:bottom w:type="dxa" w:w="80"/>
              <w:right w:type="dxa" w:w="120"/>
            </w:tcMar>
            <w:vAlign w:val="top"/>
          </w:tcPr>
          <w:p>
            <w:r>
              <w:t xml:space="preserve">ML polyglot classifiers (95–99.9% in research settings)</w:t>
            </w:r>
          </w:p>
        </w:tc>
        <w:tc>
          <w:tcPr>
            <w:tcW w:type="dxa" w:w="2280"/>
            <w:tcMar>
              <w:top w:type="dxa" w:w="80"/>
              <w:left w:type="dxa" w:w="120"/>
              <w:bottom w:type="dxa" w:w="80"/>
              <w:right w:type="dxa" w:w="120"/>
            </w:tcMar>
            <w:vAlign w:val="top"/>
          </w:tcPr>
          <w:p>
            <w:r>
              <w:t xml:space="preserve">CDR (format-specific reconstruction) as primary defense, not detection alone</w:t>
            </w:r>
          </w:p>
        </w:tc>
      </w:tr>
      <w:tr>
        <w:tc>
          <w:tcPr>
            <w:tcW w:type="dxa" w:w="2200"/>
            <w:shd w:fill="F2F6F8" w:val="clear"/>
            <w:tcMar>
              <w:top w:type="dxa" w:w="80"/>
              <w:left w:type="dxa" w:w="120"/>
              <w:bottom w:type="dxa" w:w="80"/>
              <w:right w:type="dxa" w:w="120"/>
            </w:tcMar>
            <w:vAlign w:val="top"/>
          </w:tcPr>
          <w:p>
            <w:r>
              <w:t xml:space="preserve">Non-recursive decompression bomb</w:t>
            </w:r>
          </w:p>
        </w:tc>
        <w:tc>
          <w:tcPr>
            <w:tcW w:type="dxa" w:w="2600"/>
            <w:shd w:fill="F2F6F8" w:val="clear"/>
            <w:tcMar>
              <w:top w:type="dxa" w:w="80"/>
              <w:left w:type="dxa" w:w="120"/>
              <w:bottom w:type="dxa" w:w="80"/>
              <w:right w:type="dxa" w:w="120"/>
            </w:tcMar>
            <w:vAlign w:val="top"/>
          </w:tcPr>
          <w:p>
            <w:r>
              <w:t xml:space="preserve">Fifield 2019 (WOOT, Best Paper)</w:t>
            </w:r>
          </w:p>
        </w:tc>
        <w:tc>
          <w:tcPr>
            <w:tcW w:type="dxa" w:w="2280"/>
            <w:shd w:fill="F2F6F8" w:val="clear"/>
            <w:tcMar>
              <w:top w:type="dxa" w:w="80"/>
              <w:left w:type="dxa" w:w="120"/>
              <w:bottom w:type="dxa" w:w="80"/>
              <w:right w:type="dxa" w:w="120"/>
            </w:tcMar>
            <w:vAlign w:val="top"/>
          </w:tcPr>
          <w:p>
            <w:r>
              <w:t xml:space="preserve">Ratio + resource monitoring during decompression, not nesting depth</w:t>
            </w:r>
          </w:p>
        </w:tc>
        <w:tc>
          <w:tcPr>
            <w:tcW w:type="dxa" w:w="2280"/>
            <w:shd w:fill="F2F6F8" w:val="clear"/>
            <w:tcMar>
              <w:top w:type="dxa" w:w="80"/>
              <w:left w:type="dxa" w:w="120"/>
              <w:bottom w:type="dxa" w:w="80"/>
              <w:right w:type="dxa" w:w="120"/>
            </w:tcMar>
            <w:vAlign w:val="top"/>
          </w:tcPr>
          <w:p>
            <w:r>
              <w:t xml:space="preserve">Streamed decompression with hard memory/CPU/time ceilings</w:t>
            </w:r>
          </w:p>
        </w:tc>
      </w:tr>
      <w:tr>
        <w:tc>
          <w:tcPr>
            <w:tcW w:type="dxa" w:w="2200"/>
            <w:tcMar>
              <w:top w:type="dxa" w:w="80"/>
              <w:left w:type="dxa" w:w="120"/>
              <w:bottom w:type="dxa" w:w="80"/>
              <w:right w:type="dxa" w:w="120"/>
            </w:tcMar>
            <w:vAlign w:val="top"/>
          </w:tcPr>
          <w:p>
            <w:r>
              <w:t xml:space="preserve">Protocol/service DoS via compression</w:t>
            </w:r>
          </w:p>
        </w:tc>
        <w:tc>
          <w:tcPr>
            <w:tcW w:type="dxa" w:w="2600"/>
            <w:tcMar>
              <w:top w:type="dxa" w:w="80"/>
              <w:left w:type="dxa" w:w="120"/>
              <w:bottom w:type="dxa" w:w="80"/>
              <w:right w:type="dxa" w:w="120"/>
            </w:tcMar>
            <w:vAlign w:val="top"/>
          </w:tcPr>
          <w:p>
            <w:r>
              <w:t xml:space="preserve">Pellegrino et al. 2015 (USENIX Security)</w:t>
            </w:r>
          </w:p>
        </w:tc>
        <w:tc>
          <w:tcPr>
            <w:tcW w:type="dxa" w:w="2280"/>
            <w:tcMar>
              <w:top w:type="dxa" w:w="80"/>
              <w:left w:type="dxa" w:w="120"/>
              <w:bottom w:type="dxa" w:w="80"/>
              <w:right w:type="dxa" w:w="120"/>
            </w:tcMar>
            <w:vAlign w:val="top"/>
          </w:tcPr>
          <w:p>
            <w:r>
              <w:t xml:space="preserve">Per-request decompression resource accounting</w:t>
            </w:r>
          </w:p>
        </w:tc>
        <w:tc>
          <w:tcPr>
            <w:tcW w:type="dxa" w:w="2280"/>
            <w:tcMar>
              <w:top w:type="dxa" w:w="80"/>
              <w:left w:type="dxa" w:w="120"/>
              <w:bottom w:type="dxa" w:w="80"/>
              <w:right w:type="dxa" w:w="120"/>
            </w:tcMar>
            <w:vAlign w:val="top"/>
          </w:tcPr>
          <w:p>
            <w:r>
              <w:t xml:space="preserve">Cap expansion ratio before full decompression</w:t>
            </w:r>
          </w:p>
        </w:tc>
      </w:tr>
      <w:tr>
        <w:tc>
          <w:tcPr>
            <w:tcW w:type="dxa" w:w="2200"/>
            <w:shd w:fill="F2F6F8" w:val="clear"/>
            <w:tcMar>
              <w:top w:type="dxa" w:w="80"/>
              <w:left w:type="dxa" w:w="120"/>
              <w:bottom w:type="dxa" w:w="80"/>
              <w:right w:type="dxa" w:w="120"/>
            </w:tcMar>
            <w:vAlign w:val="top"/>
          </w:tcPr>
          <w:p>
            <w:r>
              <w:t xml:space="preserve">Web shell / RCE via upload</w:t>
            </w:r>
          </w:p>
        </w:tc>
        <w:tc>
          <w:tcPr>
            <w:tcW w:type="dxa" w:w="2600"/>
            <w:shd w:fill="F2F6F8" w:val="clear"/>
            <w:tcMar>
              <w:top w:type="dxa" w:w="80"/>
              <w:left w:type="dxa" w:w="120"/>
              <w:bottom w:type="dxa" w:w="80"/>
              <w:right w:type="dxa" w:w="120"/>
            </w:tcMar>
            <w:vAlign w:val="top"/>
          </w:tcPr>
          <w:p>
            <w:r>
              <w:t xml:space="preserve">OWASP; MITRE CWE-434</w:t>
            </w:r>
          </w:p>
        </w:tc>
        <w:tc>
          <w:tcPr>
            <w:tcW w:type="dxa" w:w="2280"/>
            <w:shd w:fill="F2F6F8" w:val="clear"/>
            <w:tcMar>
              <w:top w:type="dxa" w:w="80"/>
              <w:left w:type="dxa" w:w="120"/>
              <w:bottom w:type="dxa" w:w="80"/>
              <w:right w:type="dxa" w:w="120"/>
            </w:tcMar>
            <w:vAlign w:val="top"/>
          </w:tcPr>
          <w:p>
            <w:r>
              <w:t xml:space="preserve">Signature scan + execution-context isolation</w:t>
            </w:r>
          </w:p>
        </w:tc>
        <w:tc>
          <w:tcPr>
            <w:tcW w:type="dxa" w:w="2280"/>
            <w:shd w:fill="F2F6F8" w:val="clear"/>
            <w:tcMar>
              <w:top w:type="dxa" w:w="80"/>
              <w:left w:type="dxa" w:w="120"/>
              <w:bottom w:type="dxa" w:w="80"/>
              <w:right w:type="dxa" w:w="120"/>
            </w:tcMar>
            <w:vAlign w:val="top"/>
          </w:tcPr>
          <w:p>
            <w:r>
              <w:t xml:space="preserve">Store outside web root; server-generated keys; no execute permission on upload storage</w:t>
            </w:r>
          </w:p>
        </w:tc>
      </w:tr>
      <w:tr>
        <w:tc>
          <w:tcPr>
            <w:tcW w:type="dxa" w:w="2200"/>
            <w:tcMar>
              <w:top w:type="dxa" w:w="80"/>
              <w:left w:type="dxa" w:w="120"/>
              <w:bottom w:type="dxa" w:w="80"/>
              <w:right w:type="dxa" w:w="120"/>
            </w:tcMar>
            <w:vAlign w:val="top"/>
          </w:tcPr>
          <w:p>
            <w:r>
              <w:t xml:space="preserve">Stored XSS via HTML/SVG upload</w:t>
            </w:r>
          </w:p>
        </w:tc>
        <w:tc>
          <w:tcPr>
            <w:tcW w:type="dxa" w:w="2600"/>
            <w:tcMar>
              <w:top w:type="dxa" w:w="80"/>
              <w:left w:type="dxa" w:w="120"/>
              <w:bottom w:type="dxa" w:w="80"/>
              <w:right w:type="dxa" w:w="120"/>
            </w:tcMar>
            <w:vAlign w:val="top"/>
          </w:tcPr>
          <w:p>
            <w:r>
              <w:t xml:space="preserve">OWASP; Snyk Learn</w:t>
            </w:r>
          </w:p>
        </w:tc>
        <w:tc>
          <w:tcPr>
            <w:tcW w:type="dxa" w:w="2280"/>
            <w:tcMar>
              <w:top w:type="dxa" w:w="80"/>
              <w:left w:type="dxa" w:w="120"/>
              <w:bottom w:type="dxa" w:w="80"/>
              <w:right w:type="dxa" w:w="120"/>
            </w:tcMar>
            <w:vAlign w:val="top"/>
          </w:tcPr>
          <w:p>
            <w:r>
              <w:t xml:space="preserve">Content-Type enforcement on serve</w:t>
            </w:r>
          </w:p>
        </w:tc>
        <w:tc>
          <w:tcPr>
            <w:tcW w:type="dxa" w:w="2280"/>
            <w:tcMar>
              <w:top w:type="dxa" w:w="80"/>
              <w:left w:type="dxa" w:w="120"/>
              <w:bottom w:type="dxa" w:w="80"/>
              <w:right w:type="dxa" w:w="120"/>
            </w:tcMar>
            <w:vAlign w:val="top"/>
          </w:tcPr>
          <w:p>
            <w:r>
              <w:t xml:space="preserve">Serve uploads from a separate origin with no script execution context</w:t>
            </w:r>
          </w:p>
        </w:tc>
      </w:tr>
      <w:tr>
        <w:tc>
          <w:tcPr>
            <w:tcW w:type="dxa" w:w="2200"/>
            <w:shd w:fill="F2F6F8" w:val="clear"/>
            <w:tcMar>
              <w:top w:type="dxa" w:w="80"/>
              <w:left w:type="dxa" w:w="120"/>
              <w:bottom w:type="dxa" w:w="80"/>
              <w:right w:type="dxa" w:w="120"/>
            </w:tcMar>
            <w:vAlign w:val="top"/>
          </w:tcPr>
          <w:p>
            <w:r>
              <w:t xml:space="preserve">TOCTOU between scan and promotion</w:t>
            </w:r>
          </w:p>
        </w:tc>
        <w:tc>
          <w:tcPr>
            <w:tcW w:type="dxa" w:w="2600"/>
            <w:shd w:fill="F2F6F8" w:val="clear"/>
            <w:tcMar>
              <w:top w:type="dxa" w:w="80"/>
              <w:left w:type="dxa" w:w="120"/>
              <w:bottom w:type="dxa" w:w="80"/>
              <w:right w:type="dxa" w:w="120"/>
            </w:tcMar>
            <w:vAlign w:val="top"/>
          </w:tcPr>
          <w:p>
            <w:r>
              <w:t xml:space="preserve">CWE-367; CVE-2024-50379/56337 (documented, not academic)</w:t>
            </w:r>
          </w:p>
        </w:tc>
        <w:tc>
          <w:tcPr>
            <w:tcW w:type="dxa" w:w="2280"/>
            <w:shd w:fill="F2F6F8" w:val="clear"/>
            <w:tcMar>
              <w:top w:type="dxa" w:w="80"/>
              <w:left w:type="dxa" w:w="120"/>
              <w:bottom w:type="dxa" w:w="80"/>
              <w:right w:type="dxa" w:w="120"/>
            </w:tcMar>
            <w:vAlign w:val="top"/>
          </w:tcPr>
          <w:p>
            <w:r>
              <w:t xml:space="preserve">None reliable after the fact</w:t>
            </w:r>
          </w:p>
        </w:tc>
        <w:tc>
          <w:tcPr>
            <w:tcW w:type="dxa" w:w="2280"/>
            <w:shd w:fill="F2F6F8" w:val="clear"/>
            <w:tcMar>
              <w:top w:type="dxa" w:w="80"/>
              <w:left w:type="dxa" w:w="120"/>
              <w:bottom w:type="dxa" w:w="80"/>
              <w:right w:type="dxa" w:w="120"/>
            </w:tcMar>
            <w:vAlign w:val="top"/>
          </w:tcPr>
          <w:p>
            <w:r>
              <w:t xml:space="preserve">Object versioning + hash re-verification at promotion time</w:t>
            </w:r>
          </w:p>
        </w:tc>
      </w:tr>
      <w:tr>
        <w:tc>
          <w:tcPr>
            <w:tcW w:type="dxa" w:w="2200"/>
            <w:tcMar>
              <w:top w:type="dxa" w:w="80"/>
              <w:left w:type="dxa" w:w="120"/>
              <w:bottom w:type="dxa" w:w="80"/>
              <w:right w:type="dxa" w:w="120"/>
            </w:tcMar>
            <w:vAlign w:val="top"/>
          </w:tcPr>
          <w:p>
            <w:r>
              <w:t xml:space="preserve">Presigned URL / bucket policy misuse</w:t>
            </w:r>
          </w:p>
        </w:tc>
        <w:tc>
          <w:tcPr>
            <w:tcW w:type="dxa" w:w="2600"/>
            <w:tcMar>
              <w:top w:type="dxa" w:w="80"/>
              <w:left w:type="dxa" w:w="120"/>
              <w:bottom w:type="dxa" w:w="80"/>
              <w:right w:type="dxa" w:w="120"/>
            </w:tcMar>
            <w:vAlign w:val="top"/>
          </w:tcPr>
          <w:p>
            <w:r>
              <w:t xml:space="preserve">Vendor disclosure only (AWS, Detectify, ivision) — no peer-reviewed source found</w:t>
            </w:r>
          </w:p>
        </w:tc>
        <w:tc>
          <w:tcPr>
            <w:tcW w:type="dxa" w:w="2280"/>
            <w:tcMar>
              <w:top w:type="dxa" w:w="80"/>
              <w:left w:type="dxa" w:w="120"/>
              <w:bottom w:type="dxa" w:w="80"/>
              <w:right w:type="dxa" w:w="120"/>
            </w:tcMar>
            <w:vAlign w:val="top"/>
          </w:tcPr>
          <w:p>
            <w:r>
              <w:t xml:space="preserve">Access logging, anomalous pattern review</w:t>
            </w:r>
          </w:p>
        </w:tc>
        <w:tc>
          <w:tcPr>
            <w:tcW w:type="dxa" w:w="2280"/>
            <w:tcMar>
              <w:top w:type="dxa" w:w="80"/>
              <w:left w:type="dxa" w:w="120"/>
              <w:bottom w:type="dxa" w:w="80"/>
              <w:right w:type="dxa" w:w="120"/>
            </w:tcMar>
            <w:vAlign w:val="top"/>
          </w:tcPr>
          <w:p>
            <w:r>
              <w:t xml:space="preserve">Short expiry, single-object scope, ownership check before signing</w:t>
            </w:r>
          </w:p>
        </w:tc>
      </w:tr>
      <w:tr>
        <w:tc>
          <w:tcPr>
            <w:tcW w:type="dxa" w:w="2200"/>
            <w:shd w:fill="F2F6F8" w:val="clear"/>
            <w:tcMar>
              <w:top w:type="dxa" w:w="80"/>
              <w:left w:type="dxa" w:w="120"/>
              <w:bottom w:type="dxa" w:w="80"/>
              <w:right w:type="dxa" w:w="120"/>
            </w:tcMar>
            <w:vAlign w:val="top"/>
          </w:tcPr>
          <w:p>
            <w:r>
              <w:t xml:space="preserve">Zero-day malware (signature evasion)</w:t>
            </w:r>
          </w:p>
        </w:tc>
        <w:tc>
          <w:tcPr>
            <w:tcW w:type="dxa" w:w="2600"/>
            <w:shd w:fill="F2F6F8" w:val="clear"/>
            <w:tcMar>
              <w:top w:type="dxa" w:w="80"/>
              <w:left w:type="dxa" w:w="120"/>
              <w:bottom w:type="dxa" w:w="80"/>
              <w:right w:type="dxa" w:w="120"/>
            </w:tcMar>
            <w:vAlign w:val="top"/>
          </w:tcPr>
          <w:p>
            <w:r>
              <w:t xml:space="preserve">Sihwail et al. 2018; Damodaran et al. 2017</w:t>
            </w:r>
          </w:p>
        </w:tc>
        <w:tc>
          <w:tcPr>
            <w:tcW w:type="dxa" w:w="2280"/>
            <w:shd w:fill="F2F6F8" w:val="clear"/>
            <w:tcMar>
              <w:top w:type="dxa" w:w="80"/>
              <w:left w:type="dxa" w:w="120"/>
              <w:bottom w:type="dxa" w:w="80"/>
              <w:right w:type="dxa" w:w="120"/>
            </w:tcMar>
            <w:vAlign w:val="top"/>
          </w:tcPr>
          <w:p>
            <w:r>
              <w:t xml:space="preserve">Structurally undetectable by signature scanning</w:t>
            </w:r>
          </w:p>
        </w:tc>
        <w:tc>
          <w:tcPr>
            <w:tcW w:type="dxa" w:w="2280"/>
            <w:shd w:fill="F2F6F8" w:val="clear"/>
            <w:tcMar>
              <w:top w:type="dxa" w:w="80"/>
              <w:left w:type="dxa" w:w="120"/>
              <w:bottom w:type="dxa" w:w="80"/>
              <w:right w:type="dxa" w:w="120"/>
            </w:tcMar>
            <w:vAlign w:val="top"/>
          </w:tcPr>
          <w:p>
            <w:r>
              <w:t xml:space="preserve">CDR (structural rebuild) as a complementary, non-detection control</w:t>
            </w:r>
          </w:p>
        </w:tc>
      </w:tr>
      <w:tr>
        <w:tc>
          <w:tcPr>
            <w:tcW w:type="dxa" w:w="2200"/>
            <w:tcMar>
              <w:top w:type="dxa" w:w="80"/>
              <w:left w:type="dxa" w:w="120"/>
              <w:bottom w:type="dxa" w:w="80"/>
              <w:right w:type="dxa" w:w="120"/>
            </w:tcMar>
            <w:vAlign w:val="top"/>
          </w:tcPr>
          <w:p>
            <w:r>
              <w:t xml:space="preserve">Audit log tampering by a compromised component</w:t>
            </w:r>
          </w:p>
        </w:tc>
        <w:tc>
          <w:tcPr>
            <w:tcW w:type="dxa" w:w="2600"/>
            <w:tcMar>
              <w:top w:type="dxa" w:w="80"/>
              <w:left w:type="dxa" w:w="120"/>
              <w:bottom w:type="dxa" w:w="80"/>
              <w:right w:type="dxa" w:w="120"/>
            </w:tcMar>
            <w:vAlign w:val="top"/>
          </w:tcPr>
          <w:p>
            <w:r>
              <w:t xml:space="preserve">Crosby &amp; Wallach 2009; "Who Audits the Auditor" 2026 (arXiv)</w:t>
            </w:r>
          </w:p>
        </w:tc>
        <w:tc>
          <w:tcPr>
            <w:tcW w:type="dxa" w:w="2280"/>
            <w:tcMar>
              <w:top w:type="dxa" w:w="80"/>
              <w:left w:type="dxa" w:w="120"/>
              <w:bottom w:type="dxa" w:w="80"/>
              <w:right w:type="dxa" w:w="120"/>
            </w:tcMar>
            <w:vAlign w:val="top"/>
          </w:tcPr>
          <w:p>
            <w:r>
              <w:t xml:space="preserve">Merkle-tree consistency proofs</w:t>
            </w:r>
          </w:p>
        </w:tc>
        <w:tc>
          <w:tcPr>
            <w:tcW w:type="dxa" w:w="2280"/>
            <w:tcMar>
              <w:top w:type="dxa" w:w="80"/>
              <w:left w:type="dxa" w:w="120"/>
              <w:bottom w:type="dxa" w:w="80"/>
              <w:right w:type="dxa" w:w="120"/>
            </w:tcMar>
            <w:vAlign w:val="top"/>
          </w:tcPr>
          <w:p>
            <w:r>
              <w:t xml:space="preserve">INSERT-only DB role for all log writers; no single component can also delete</w:t>
            </w:r>
          </w:p>
        </w:tc>
      </w:tr>
    </w:tbl>
    <w:p>
      <w:pPr>
        <w:pStyle w:val="Heading1"/>
        <w:spacing w:after="160" w:before="360"/>
      </w:pPr>
      <w:r>
        <w:t xml:space="preserve">5. Technology and Technique Comparison</w:t>
      </w:r>
    </w:p>
    <w:p>
      <w:pPr>
        <w:pStyle w:val="Heading2"/>
        <w:spacing w:after="120" w:before="280"/>
      </w:pPr>
      <w:r>
        <w:t xml:space="preserve">5.1 Validation Technique Comparison (RQ4)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160"/>
      </w:tblGrid>
      <w:tr>
        <w:trPr>
          <w:tblHeader/>
        </w:trPr>
        <w:tc>
          <w:tcPr>
            <w:tcW w:type="dxa" w:w="1800"/>
            <w:shd w:fill="1F3B57" w:val="clear"/>
            <w:tcMar>
              <w:top w:type="dxa" w:w="80"/>
              <w:left w:type="dxa" w:w="120"/>
              <w:bottom w:type="dxa" w:w="80"/>
              <w:right w:type="dxa" w:w="120"/>
            </w:tcMar>
            <w:vAlign w:val="top"/>
          </w:tcPr>
          <w:p>
            <w:r>
              <w:rPr>
                <w:b/>
                <w:bCs/>
                <w:color w:val="FFFFFF"/>
              </w:rPr>
              <w:t xml:space="preserve">Technique</w:t>
            </w:r>
          </w:p>
        </w:tc>
        <w:tc>
          <w:tcPr>
            <w:tcW w:type="dxa" w:w="2500"/>
            <w:shd w:fill="1F3B57" w:val="clear"/>
            <w:tcMar>
              <w:top w:type="dxa" w:w="80"/>
              <w:left w:type="dxa" w:w="120"/>
              <w:bottom w:type="dxa" w:w="80"/>
              <w:right w:type="dxa" w:w="120"/>
            </w:tcMar>
            <w:vAlign w:val="top"/>
          </w:tcPr>
          <w:p>
            <w:r>
              <w:rPr>
                <w:b/>
                <w:bCs/>
                <w:color w:val="FFFFFF"/>
              </w:rPr>
              <w:t xml:space="preserve">Strength</w:t>
            </w:r>
          </w:p>
        </w:tc>
        <w:tc>
          <w:tcPr>
            <w:tcW w:type="dxa" w:w="2500"/>
            <w:shd w:fill="1F3B57" w:val="clear"/>
            <w:tcMar>
              <w:top w:type="dxa" w:w="80"/>
              <w:left w:type="dxa" w:w="120"/>
              <w:bottom w:type="dxa" w:w="80"/>
              <w:right w:type="dxa" w:w="120"/>
            </w:tcMar>
            <w:vAlign w:val="top"/>
          </w:tcPr>
          <w:p>
            <w:r>
              <w:rPr>
                <w:b/>
                <w:bCs/>
                <w:color w:val="FFFFFF"/>
              </w:rPr>
              <w:t xml:space="preserve">Weakness</w:t>
            </w:r>
          </w:p>
        </w:tc>
        <w:tc>
          <w:tcPr>
            <w:tcW w:type="dxa" w:w="2160"/>
            <w:shd w:fill="1F3B57" w:val="clear"/>
            <w:tcMar>
              <w:top w:type="dxa" w:w="80"/>
              <w:left w:type="dxa" w:w="120"/>
              <w:bottom w:type="dxa" w:w="80"/>
              <w:right w:type="dxa" w:w="120"/>
            </w:tcMar>
            <w:vAlign w:val="top"/>
          </w:tcPr>
          <w:p>
            <w:r>
              <w:rPr>
                <w:b/>
                <w:bCs/>
                <w:color w:val="FFFFFF"/>
              </w:rPr>
              <w:t xml:space="preserve">Verdict for this project</w:t>
            </w:r>
          </w:p>
        </w:tc>
      </w:tr>
      <w:tr>
        <w:tc>
          <w:tcPr>
            <w:tcW w:type="dxa" w:w="1800"/>
            <w:tcMar>
              <w:top w:type="dxa" w:w="80"/>
              <w:left w:type="dxa" w:w="120"/>
              <w:bottom w:type="dxa" w:w="80"/>
              <w:right w:type="dxa" w:w="120"/>
            </w:tcMar>
            <w:vAlign w:val="top"/>
          </w:tcPr>
          <w:p>
            <w:r>
              <w:t xml:space="preserve">Extension check</w:t>
            </w:r>
          </w:p>
        </w:tc>
        <w:tc>
          <w:tcPr>
            <w:tcW w:type="dxa" w:w="2500"/>
            <w:tcMar>
              <w:top w:type="dxa" w:w="80"/>
              <w:left w:type="dxa" w:w="120"/>
              <w:bottom w:type="dxa" w:w="80"/>
              <w:right w:type="dxa" w:w="120"/>
            </w:tcMar>
            <w:vAlign w:val="top"/>
          </w:tcPr>
          <w:p>
            <w:r>
              <w:t xml:space="preserve">Trivial to implement</w:t>
            </w:r>
          </w:p>
        </w:tc>
        <w:tc>
          <w:tcPr>
            <w:tcW w:type="dxa" w:w="2500"/>
            <w:tcMar>
              <w:top w:type="dxa" w:w="80"/>
              <w:left w:type="dxa" w:w="120"/>
              <w:bottom w:type="dxa" w:w="80"/>
              <w:right w:type="dxa" w:w="120"/>
            </w:tcMar>
            <w:vAlign w:val="top"/>
          </w:tcPr>
          <w:p>
            <w:r>
              <w:t xml:space="preserve">Fully attacker-controlled; no security value alone</w:t>
            </w:r>
          </w:p>
        </w:tc>
        <w:tc>
          <w:tcPr>
            <w:tcW w:type="dxa" w:w="2160"/>
            <w:tcMar>
              <w:top w:type="dxa" w:w="80"/>
              <w:left w:type="dxa" w:w="120"/>
              <w:bottom w:type="dxa" w:w="80"/>
              <w:right w:type="dxa" w:w="120"/>
            </w:tcMar>
            <w:vAlign w:val="top"/>
          </w:tcPr>
          <w:p>
            <w:r>
              <w:t xml:space="preserve">Keep as a cheap first-pass filter only</w:t>
            </w:r>
          </w:p>
        </w:tc>
      </w:tr>
      <w:tr>
        <w:tc>
          <w:tcPr>
            <w:tcW w:type="dxa" w:w="1800"/>
            <w:shd w:fill="F2F6F8" w:val="clear"/>
            <w:tcMar>
              <w:top w:type="dxa" w:w="80"/>
              <w:left w:type="dxa" w:w="120"/>
              <w:bottom w:type="dxa" w:w="80"/>
              <w:right w:type="dxa" w:w="120"/>
            </w:tcMar>
            <w:vAlign w:val="top"/>
          </w:tcPr>
          <w:p>
            <w:r>
              <w:t xml:space="preserve">Client-declared MIME</w:t>
            </w:r>
          </w:p>
        </w:tc>
        <w:tc>
          <w:tcPr>
            <w:tcW w:type="dxa" w:w="2500"/>
            <w:shd w:fill="F2F6F8" w:val="clear"/>
            <w:tcMar>
              <w:top w:type="dxa" w:w="80"/>
              <w:left w:type="dxa" w:w="120"/>
              <w:bottom w:type="dxa" w:w="80"/>
              <w:right w:type="dxa" w:w="120"/>
            </w:tcMar>
            <w:vAlign w:val="top"/>
          </w:tcPr>
          <w:p>
            <w:r>
              <w:t xml:space="preserve">None beyond UX hinting</w:t>
            </w:r>
          </w:p>
        </w:tc>
        <w:tc>
          <w:tcPr>
            <w:tcW w:type="dxa" w:w="2500"/>
            <w:shd w:fill="F2F6F8" w:val="clear"/>
            <w:tcMar>
              <w:top w:type="dxa" w:w="80"/>
              <w:left w:type="dxa" w:w="120"/>
              <w:bottom w:type="dxa" w:w="80"/>
              <w:right w:type="dxa" w:w="120"/>
            </w:tcMar>
            <w:vAlign w:val="top"/>
          </w:tcPr>
          <w:p>
            <w:r>
              <w:t xml:space="preserve">Equally attacker-controlled as extension</w:t>
            </w:r>
          </w:p>
        </w:tc>
        <w:tc>
          <w:tcPr>
            <w:tcW w:type="dxa" w:w="2160"/>
            <w:shd w:fill="F2F6F8" w:val="clear"/>
            <w:tcMar>
              <w:top w:type="dxa" w:w="80"/>
              <w:left w:type="dxa" w:w="120"/>
              <w:bottom w:type="dxa" w:w="80"/>
              <w:right w:type="dxa" w:w="120"/>
            </w:tcMar>
            <w:vAlign w:val="top"/>
          </w:tcPr>
          <w:p>
            <w:r>
              <w:t xml:space="preserve">Never trust; log only</w:t>
            </w:r>
          </w:p>
        </w:tc>
      </w:tr>
      <w:tr>
        <w:tc>
          <w:tcPr>
            <w:tcW w:type="dxa" w:w="1800"/>
            <w:tcMar>
              <w:top w:type="dxa" w:w="80"/>
              <w:left w:type="dxa" w:w="120"/>
              <w:bottom w:type="dxa" w:w="80"/>
              <w:right w:type="dxa" w:w="120"/>
            </w:tcMar>
            <w:vAlign w:val="top"/>
          </w:tcPr>
          <w:p>
            <w:r>
              <w:t xml:space="preserve">Magic-byte / signature check</w:t>
            </w:r>
          </w:p>
        </w:tc>
        <w:tc>
          <w:tcPr>
            <w:tcW w:type="dxa" w:w="2500"/>
            <w:tcMar>
              <w:top w:type="dxa" w:w="80"/>
              <w:left w:type="dxa" w:w="120"/>
              <w:bottom w:type="dxa" w:w="80"/>
              <w:right w:type="dxa" w:w="120"/>
            </w:tcMar>
            <w:vAlign w:val="top"/>
          </w:tcPr>
          <w:p>
            <w:r>
              <w:t xml:space="preserve">Cheap, catches naive spoofing</w:t>
            </w:r>
          </w:p>
        </w:tc>
        <w:tc>
          <w:tcPr>
            <w:tcW w:type="dxa" w:w="2500"/>
            <w:tcMar>
              <w:top w:type="dxa" w:w="80"/>
              <w:left w:type="dxa" w:w="120"/>
              <w:bottom w:type="dxa" w:w="80"/>
              <w:right w:type="dxa" w:w="120"/>
            </w:tcMar>
            <w:vAlign w:val="top"/>
          </w:tcPr>
          <w:p>
            <w:r>
              <w:t xml:space="preserve">Defeated by polyglots and chameleon attacks (Jana &amp; Shmatikov 2012)</w:t>
            </w:r>
          </w:p>
        </w:tc>
        <w:tc>
          <w:tcPr>
            <w:tcW w:type="dxa" w:w="2160"/>
            <w:tcMar>
              <w:top w:type="dxa" w:w="80"/>
              <w:left w:type="dxa" w:w="120"/>
              <w:bottom w:type="dxa" w:w="80"/>
              <w:right w:type="dxa" w:w="120"/>
            </w:tcMar>
            <w:vAlign w:val="top"/>
          </w:tcPr>
          <w:p>
            <w:r>
              <w:t xml:space="preserve">Necessary but not sufficient — must pair with structural validation</w:t>
            </w:r>
          </w:p>
        </w:tc>
      </w:tr>
      <w:tr>
        <w:tc>
          <w:tcPr>
            <w:tcW w:type="dxa" w:w="1800"/>
            <w:shd w:fill="F2F6F8" w:val="clear"/>
            <w:tcMar>
              <w:top w:type="dxa" w:w="80"/>
              <w:left w:type="dxa" w:w="120"/>
              <w:bottom w:type="dxa" w:w="80"/>
              <w:right w:type="dxa" w:w="120"/>
            </w:tcMar>
            <w:vAlign w:val="top"/>
          </w:tcPr>
          <w:p>
            <w:r>
              <w:t xml:space="preserve">Structural / format-specification validation</w:t>
            </w:r>
          </w:p>
        </w:tc>
        <w:tc>
          <w:tcPr>
            <w:tcW w:type="dxa" w:w="2500"/>
            <w:shd w:fill="F2F6F8" w:val="clear"/>
            <w:tcMar>
              <w:top w:type="dxa" w:w="80"/>
              <w:left w:type="dxa" w:w="120"/>
              <w:bottom w:type="dxa" w:w="80"/>
              <w:right w:type="dxa" w:w="120"/>
            </w:tcMar>
            <w:vAlign w:val="top"/>
          </w:tcPr>
          <w:p>
            <w:r>
              <w:t xml:space="preserve">Catches malformed and polyglot-adjacent files</w:t>
            </w:r>
          </w:p>
        </w:tc>
        <w:tc>
          <w:tcPr>
            <w:tcW w:type="dxa" w:w="2500"/>
            <w:shd w:fill="F2F6F8" w:val="clear"/>
            <w:tcMar>
              <w:top w:type="dxa" w:w="80"/>
              <w:left w:type="dxa" w:w="120"/>
              <w:bottom w:type="dxa" w:w="80"/>
              <w:right w:type="dxa" w:w="120"/>
            </w:tcMar>
            <w:vAlign w:val="top"/>
          </w:tcPr>
          <w:p>
            <w:r>
              <w:t xml:space="preserve">Requires per-format parser logic; maintenance cost</w:t>
            </w:r>
          </w:p>
        </w:tc>
        <w:tc>
          <w:tcPr>
            <w:tcW w:type="dxa" w:w="2160"/>
            <w:shd w:fill="F2F6F8" w:val="clear"/>
            <w:tcMar>
              <w:top w:type="dxa" w:w="80"/>
              <w:left w:type="dxa" w:w="120"/>
              <w:bottom w:type="dxa" w:w="80"/>
              <w:right w:type="dxa" w:w="120"/>
            </w:tcMar>
            <w:vAlign w:val="top"/>
          </w:tcPr>
          <w:p>
            <w:r>
              <w:t xml:space="preserve">Include for the file types the gateway explicitly supports</w:t>
            </w:r>
          </w:p>
        </w:tc>
      </w:tr>
      <w:tr>
        <w:tc>
          <w:tcPr>
            <w:tcW w:type="dxa" w:w="1800"/>
            <w:tcMar>
              <w:top w:type="dxa" w:w="80"/>
              <w:left w:type="dxa" w:w="120"/>
              <w:bottom w:type="dxa" w:w="80"/>
              <w:right w:type="dxa" w:w="120"/>
            </w:tcMar>
            <w:vAlign w:val="top"/>
          </w:tcPr>
          <w:p>
            <w:r>
              <w:t xml:space="preserve">Signature-based AV (ClamAV)</w:t>
            </w:r>
          </w:p>
        </w:tc>
        <w:tc>
          <w:tcPr>
            <w:tcW w:type="dxa" w:w="2500"/>
            <w:tcMar>
              <w:top w:type="dxa" w:w="80"/>
              <w:left w:type="dxa" w:w="120"/>
              <w:bottom w:type="dxa" w:w="80"/>
              <w:right w:type="dxa" w:w="120"/>
            </w:tcMar>
            <w:vAlign w:val="top"/>
          </w:tcPr>
          <w:p>
            <w:r>
              <w:t xml:space="preserve">Fast, low false-positive on known threats</w:t>
            </w:r>
          </w:p>
        </w:tc>
        <w:tc>
          <w:tcPr>
            <w:tcW w:type="dxa" w:w="2500"/>
            <w:tcMar>
              <w:top w:type="dxa" w:w="80"/>
              <w:left w:type="dxa" w:w="120"/>
              <w:bottom w:type="dxa" w:w="80"/>
              <w:right w:type="dxa" w:w="120"/>
            </w:tcMar>
            <w:vAlign w:val="top"/>
          </w:tcPr>
          <w:p>
            <w:r>
              <w:t xml:space="preserve">Zero-day blind by design (Sihwail et al. 2018)</w:t>
            </w:r>
          </w:p>
        </w:tc>
        <w:tc>
          <w:tcPr>
            <w:tcW w:type="dxa" w:w="2160"/>
            <w:tcMar>
              <w:top w:type="dxa" w:w="80"/>
              <w:left w:type="dxa" w:w="120"/>
              <w:bottom w:type="dxa" w:w="80"/>
              <w:right w:type="dxa" w:w="120"/>
            </w:tcMar>
            <w:vAlign w:val="top"/>
          </w:tcPr>
          <w:p>
            <w:r>
              <w:t xml:space="preserve">Include, but never claim it as "malware protection" without qualification</w:t>
            </w:r>
          </w:p>
        </w:tc>
      </w:tr>
      <w:tr>
        <w:tc>
          <w:tcPr>
            <w:tcW w:type="dxa" w:w="1800"/>
            <w:shd w:fill="F2F6F8" w:val="clear"/>
            <w:tcMar>
              <w:top w:type="dxa" w:w="80"/>
              <w:left w:type="dxa" w:w="120"/>
              <w:bottom w:type="dxa" w:w="80"/>
              <w:right w:type="dxa" w:w="120"/>
            </w:tcMar>
            <w:vAlign w:val="top"/>
          </w:tcPr>
          <w:p>
            <w:r>
              <w:t xml:space="preserve">Content Disarm and Reconstruction</w:t>
            </w:r>
          </w:p>
        </w:tc>
        <w:tc>
          <w:tcPr>
            <w:tcW w:type="dxa" w:w="2500"/>
            <w:shd w:fill="F2F6F8" w:val="clear"/>
            <w:tcMar>
              <w:top w:type="dxa" w:w="80"/>
              <w:left w:type="dxa" w:w="120"/>
              <w:bottom w:type="dxa" w:w="80"/>
              <w:right w:type="dxa" w:w="120"/>
            </w:tcMar>
            <w:vAlign w:val="top"/>
          </w:tcPr>
          <w:p>
            <w:r>
              <w:t xml:space="preserve">Zero-day resistant by construction (Dubin et al., multiple papers)</w:t>
            </w:r>
          </w:p>
        </w:tc>
        <w:tc>
          <w:tcPr>
            <w:tcW w:type="dxa" w:w="2500"/>
            <w:shd w:fill="F2F6F8" w:val="clear"/>
            <w:tcMar>
              <w:top w:type="dxa" w:w="80"/>
              <w:left w:type="dxa" w:w="120"/>
              <w:bottom w:type="dxa" w:w="80"/>
              <w:right w:type="dxa" w:w="120"/>
            </w:tcMar>
            <w:vAlign w:val="top"/>
          </w:tcPr>
          <w:p>
            <w:r>
              <w:t xml:space="preserve">Per-format implementation effort; changes file bytes</w:t>
            </w:r>
          </w:p>
        </w:tc>
        <w:tc>
          <w:tcPr>
            <w:tcW w:type="dxa" w:w="2160"/>
            <w:shd w:fill="F2F6F8" w:val="clear"/>
            <w:tcMar>
              <w:top w:type="dxa" w:w="80"/>
              <w:left w:type="dxa" w:w="120"/>
              <w:bottom w:type="dxa" w:w="80"/>
              <w:right w:type="dxa" w:w="120"/>
            </w:tcMar>
            <w:vAlign w:val="top"/>
          </w:tcPr>
          <w:p>
            <w:r>
              <w:t xml:space="preserve">Best available advanced-phase addition for document/image types</w:t>
            </w:r>
          </w:p>
        </w:tc>
      </w:tr>
      <w:tr>
        <w:tc>
          <w:tcPr>
            <w:tcW w:type="dxa" w:w="1800"/>
            <w:tcMar>
              <w:top w:type="dxa" w:w="80"/>
              <w:left w:type="dxa" w:w="120"/>
              <w:bottom w:type="dxa" w:w="80"/>
              <w:right w:type="dxa" w:w="120"/>
            </w:tcMar>
            <w:vAlign w:val="top"/>
          </w:tcPr>
          <w:p>
            <w:r>
              <w:t xml:space="preserve">ML/DL classification</w:t>
            </w:r>
          </w:p>
        </w:tc>
        <w:tc>
          <w:tcPr>
            <w:tcW w:type="dxa" w:w="2500"/>
            <w:tcMar>
              <w:top w:type="dxa" w:w="80"/>
              <w:left w:type="dxa" w:w="120"/>
              <w:bottom w:type="dxa" w:w="80"/>
              <w:right w:type="dxa" w:w="120"/>
            </w:tcMar>
            <w:vAlign w:val="top"/>
          </w:tcPr>
          <w:p>
            <w:r>
              <w:t xml:space="preserve">Can generalize beyond known signatures in research settings</w:t>
            </w:r>
          </w:p>
        </w:tc>
        <w:tc>
          <w:tcPr>
            <w:tcW w:type="dxa" w:w="2500"/>
            <w:tcMar>
              <w:top w:type="dxa" w:w="80"/>
              <w:left w:type="dxa" w:w="120"/>
              <w:bottom w:type="dxa" w:w="80"/>
              <w:right w:type="dxa" w:w="120"/>
            </w:tcMar>
            <w:vAlign w:val="top"/>
          </w:tcPr>
          <w:p>
            <w:r>
              <w:t xml:space="preserve">Benchmark scarcity, adversarial evasion, poor explainability (multiple 2022–2025 surveys)</w:t>
            </w:r>
          </w:p>
        </w:tc>
        <w:tc>
          <w:tcPr>
            <w:tcW w:type="dxa" w:w="2160"/>
            <w:tcMar>
              <w:top w:type="dxa" w:w="80"/>
              <w:left w:type="dxa" w:w="120"/>
              <w:bottom w:type="dxa" w:w="80"/>
              <w:right w:type="dxa" w:w="120"/>
            </w:tcMar>
            <w:vAlign w:val="top"/>
          </w:tcPr>
          <w:p>
            <w:r>
              <w:t xml:space="preserve">Do not build for MVP; no evidence it beats deterministic rules at this task scale</w:t>
            </w:r>
          </w:p>
        </w:tc>
      </w:tr>
    </w:tbl>
    <w:p>
      <w:pPr>
        <w:pStyle w:val="Heading2"/>
        <w:spacing w:after="120" w:before="280"/>
      </w:pPr>
      <w:r>
        <w:t xml:space="preserve">5.2 Technology Decision Matrix</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160"/>
      </w:tblGrid>
      <w:tr>
        <w:trPr>
          <w:tblHeader/>
        </w:trPr>
        <w:tc>
          <w:tcPr>
            <w:tcW w:type="dxa" w:w="2200"/>
            <w:shd w:fill="1F3B57" w:val="clear"/>
            <w:tcMar>
              <w:top w:type="dxa" w:w="80"/>
              <w:left w:type="dxa" w:w="120"/>
              <w:bottom w:type="dxa" w:w="80"/>
              <w:right w:type="dxa" w:w="120"/>
            </w:tcMar>
            <w:vAlign w:val="top"/>
          </w:tcPr>
          <w:p>
            <w:r>
              <w:rPr>
                <w:b/>
                <w:bCs/>
                <w:color w:val="FFFFFF"/>
              </w:rPr>
              <w:t xml:space="preserve">Technology</w:t>
            </w:r>
          </w:p>
        </w:tc>
        <w:tc>
          <w:tcPr>
            <w:tcW w:type="dxa" w:w="1600"/>
            <w:shd w:fill="1F3B57" w:val="clear"/>
            <w:tcMar>
              <w:top w:type="dxa" w:w="80"/>
              <w:left w:type="dxa" w:w="120"/>
              <w:bottom w:type="dxa" w:w="80"/>
              <w:right w:type="dxa" w:w="120"/>
            </w:tcMar>
            <w:vAlign w:val="top"/>
          </w:tcPr>
          <w:p>
            <w:r>
              <w:rPr>
                <w:b/>
                <w:bCs/>
                <w:color w:val="FFFFFF"/>
              </w:rPr>
              <w:t xml:space="preserve">Decision</w:t>
            </w:r>
          </w:p>
        </w:tc>
        <w:tc>
          <w:tcPr>
            <w:tcW w:type="dxa" w:w="5160"/>
            <w:shd w:fill="1F3B57" w:val="clear"/>
            <w:tcMar>
              <w:top w:type="dxa" w:w="80"/>
              <w:left w:type="dxa" w:w="120"/>
              <w:bottom w:type="dxa" w:w="80"/>
              <w:right w:type="dxa" w:w="120"/>
            </w:tcMar>
            <w:vAlign w:val="top"/>
          </w:tcPr>
          <w:p>
            <w:r>
              <w:rPr>
                <w:b/>
                <w:bCs/>
                <w:color w:val="FFFFFF"/>
              </w:rPr>
              <w:t xml:space="preserve">Rationale</w:t>
            </w:r>
          </w:p>
        </w:tc>
      </w:tr>
      <w:tr>
        <w:tc>
          <w:tcPr>
            <w:tcW w:type="dxa" w:w="2200"/>
            <w:tcMar>
              <w:top w:type="dxa" w:w="80"/>
              <w:left w:type="dxa" w:w="120"/>
              <w:bottom w:type="dxa" w:w="80"/>
              <w:right w:type="dxa" w:w="120"/>
            </w:tcMar>
            <w:vAlign w:val="top"/>
          </w:tcPr>
          <w:p>
            <w:r>
              <w:t xml:space="preserve">Node.js + TypeScript</w:t>
            </w:r>
          </w:p>
        </w:tc>
        <w:tc>
          <w:tcPr>
            <w:tcW w:type="dxa" w:w="1600"/>
            <w:tcMar>
              <w:top w:type="dxa" w:w="80"/>
              <w:left w:type="dxa" w:w="120"/>
              <w:bottom w:type="dxa" w:w="80"/>
              <w:right w:type="dxa" w:w="120"/>
            </w:tcMar>
            <w:vAlign w:val="top"/>
          </w:tcPr>
          <w:p>
            <w:r>
              <w:t xml:space="preserve">MUST BUILD</w:t>
            </w:r>
          </w:p>
        </w:tc>
        <w:tc>
          <w:tcPr>
            <w:tcW w:type="dxa" w:w="5160"/>
            <w:tcMar>
              <w:top w:type="dxa" w:w="80"/>
              <w:left w:type="dxa" w:w="120"/>
              <w:bottom w:type="dxa" w:w="80"/>
              <w:right w:type="dxa" w:w="120"/>
            </w:tcMar>
            <w:vAlign w:val="top"/>
          </w:tcPr>
          <w:p>
            <w:r>
              <w:t xml:space="preserve">Matches typed-interface, SDK-friendly goals; no literature objection</w:t>
            </w:r>
          </w:p>
        </w:tc>
      </w:tr>
      <w:tr>
        <w:tc>
          <w:tcPr>
            <w:tcW w:type="dxa" w:w="2200"/>
            <w:shd w:fill="F2F6F8" w:val="clear"/>
            <w:tcMar>
              <w:top w:type="dxa" w:w="80"/>
              <w:left w:type="dxa" w:w="120"/>
              <w:bottom w:type="dxa" w:w="80"/>
              <w:right w:type="dxa" w:w="120"/>
            </w:tcMar>
            <w:vAlign w:val="top"/>
          </w:tcPr>
          <w:p>
            <w:r>
              <w:t xml:space="preserve">PostgreSQL</w:t>
            </w:r>
          </w:p>
        </w:tc>
        <w:tc>
          <w:tcPr>
            <w:tcW w:type="dxa" w:w="1600"/>
            <w:shd w:fill="F2F6F8" w:val="clear"/>
            <w:tcMar>
              <w:top w:type="dxa" w:w="80"/>
              <w:left w:type="dxa" w:w="120"/>
              <w:bottom w:type="dxa" w:w="80"/>
              <w:right w:type="dxa" w:w="120"/>
            </w:tcMar>
            <w:vAlign w:val="top"/>
          </w:tcPr>
          <w:p>
            <w:r>
              <w:t xml:space="preserve">MUST BUILD</w:t>
            </w:r>
          </w:p>
        </w:tc>
        <w:tc>
          <w:tcPr>
            <w:tcW w:type="dxa" w:w="5160"/>
            <w:shd w:fill="F2F6F8" w:val="clear"/>
            <w:tcMar>
              <w:top w:type="dxa" w:w="80"/>
              <w:left w:type="dxa" w:w="120"/>
              <w:bottom w:type="dxa" w:w="80"/>
              <w:right w:type="dxa" w:w="120"/>
            </w:tcMar>
            <w:vAlign w:val="top"/>
          </w:tcPr>
          <w:p>
            <w:r>
              <w:t xml:space="preserve">Relational fit for Upload/ScanResult/AuditLog entities; INSERT-only role support for audit integrity</w:t>
            </w:r>
          </w:p>
        </w:tc>
      </w:tr>
      <w:tr>
        <w:tc>
          <w:tcPr>
            <w:tcW w:type="dxa" w:w="2200"/>
            <w:tcMar>
              <w:top w:type="dxa" w:w="80"/>
              <w:left w:type="dxa" w:w="120"/>
              <w:bottom w:type="dxa" w:w="80"/>
              <w:right w:type="dxa" w:w="120"/>
            </w:tcMar>
            <w:vAlign w:val="top"/>
          </w:tcPr>
          <w:p>
            <w:r>
              <w:t xml:space="preserve">AWS S3 (quarantine + clean, versioned)</w:t>
            </w:r>
          </w:p>
        </w:tc>
        <w:tc>
          <w:tcPr>
            <w:tcW w:type="dxa" w:w="1600"/>
            <w:tcMar>
              <w:top w:type="dxa" w:w="80"/>
              <w:left w:type="dxa" w:w="120"/>
              <w:bottom w:type="dxa" w:w="80"/>
              <w:right w:type="dxa" w:w="120"/>
            </w:tcMar>
            <w:vAlign w:val="top"/>
          </w:tcPr>
          <w:p>
            <w:r>
              <w:t xml:space="preserve">MUST BUILD</w:t>
            </w:r>
          </w:p>
        </w:tc>
        <w:tc>
          <w:tcPr>
            <w:tcW w:type="dxa" w:w="5160"/>
            <w:tcMar>
              <w:top w:type="dxa" w:w="80"/>
              <w:left w:type="dxa" w:w="120"/>
              <w:bottom w:type="dxa" w:w="80"/>
              <w:right w:type="dxa" w:w="120"/>
            </w:tcMar>
            <w:vAlign w:val="top"/>
          </w:tcPr>
          <w:p>
            <w:r>
              <w:t xml:space="preserve">Versioning is the literature-supported TOCTOU mitigation (Section 3.4/4)</w:t>
            </w:r>
          </w:p>
        </w:tc>
      </w:tr>
      <w:tr>
        <w:tc>
          <w:tcPr>
            <w:tcW w:type="dxa" w:w="2200"/>
            <w:shd w:fill="F2F6F8" w:val="clear"/>
            <w:tcMar>
              <w:top w:type="dxa" w:w="80"/>
              <w:left w:type="dxa" w:w="120"/>
              <w:bottom w:type="dxa" w:w="80"/>
              <w:right w:type="dxa" w:w="120"/>
            </w:tcMar>
            <w:vAlign w:val="top"/>
          </w:tcPr>
          <w:p>
            <w:r>
              <w:t xml:space="preserve">Google Cloud Storage (backup)</w:t>
            </w:r>
          </w:p>
        </w:tc>
        <w:tc>
          <w:tcPr>
            <w:tcW w:type="dxa" w:w="1600"/>
            <w:shd w:fill="F2F6F8" w:val="clear"/>
            <w:tcMar>
              <w:top w:type="dxa" w:w="80"/>
              <w:left w:type="dxa" w:w="120"/>
              <w:bottom w:type="dxa" w:w="80"/>
              <w:right w:type="dxa" w:w="120"/>
            </w:tcMar>
            <w:vAlign w:val="top"/>
          </w:tcPr>
          <w:p>
            <w:r>
              <w:t xml:space="preserve">SHOULD BUILD</w:t>
            </w:r>
          </w:p>
        </w:tc>
        <w:tc>
          <w:tcPr>
            <w:tcW w:type="dxa" w:w="5160"/>
            <w:shd w:fill="F2F6F8" w:val="clear"/>
            <w:tcMar>
              <w:top w:type="dxa" w:w="80"/>
              <w:left w:type="dxa" w:w="120"/>
              <w:bottom w:type="dxa" w:w="80"/>
              <w:right w:type="dxa" w:w="120"/>
            </w:tcMar>
            <w:vAlign w:val="top"/>
          </w:tcPr>
          <w:p>
            <w:r>
              <w:t xml:space="preserve">Availability/durability value; no security literature claims it as a security control</w:t>
            </w:r>
          </w:p>
        </w:tc>
      </w:tr>
      <w:tr>
        <w:tc>
          <w:tcPr>
            <w:tcW w:type="dxa" w:w="2200"/>
            <w:tcMar>
              <w:top w:type="dxa" w:w="80"/>
              <w:left w:type="dxa" w:w="120"/>
              <w:bottom w:type="dxa" w:w="80"/>
              <w:right w:type="dxa" w:w="120"/>
            </w:tcMar>
            <w:vAlign w:val="top"/>
          </w:tcPr>
          <w:p>
            <w:r>
              <w:t xml:space="preserve">ClamAV</w:t>
            </w:r>
          </w:p>
        </w:tc>
        <w:tc>
          <w:tcPr>
            <w:tcW w:type="dxa" w:w="1600"/>
            <w:tcMar>
              <w:top w:type="dxa" w:w="80"/>
              <w:left w:type="dxa" w:w="120"/>
              <w:bottom w:type="dxa" w:w="80"/>
              <w:right w:type="dxa" w:w="120"/>
            </w:tcMar>
            <w:vAlign w:val="top"/>
          </w:tcPr>
          <w:p>
            <w:r>
              <w:t xml:space="preserve">MUST BUILD</w:t>
            </w:r>
          </w:p>
        </w:tc>
        <w:tc>
          <w:tcPr>
            <w:tcW w:type="dxa" w:w="5160"/>
            <w:tcMar>
              <w:top w:type="dxa" w:w="80"/>
              <w:left w:type="dxa" w:w="120"/>
              <w:bottom w:type="dxa" w:w="80"/>
              <w:right w:type="dxa" w:w="120"/>
            </w:tcMar>
            <w:vAlign w:val="top"/>
          </w:tcPr>
          <w:p>
            <w:r>
              <w:t xml:space="preserve">Standard signature scanner; limitations documented and must be stated, not hidden</w:t>
            </w:r>
          </w:p>
        </w:tc>
      </w:tr>
      <w:tr>
        <w:tc>
          <w:tcPr>
            <w:tcW w:type="dxa" w:w="2200"/>
            <w:shd w:fill="F2F6F8" w:val="clear"/>
            <w:tcMar>
              <w:top w:type="dxa" w:w="80"/>
              <w:left w:type="dxa" w:w="120"/>
              <w:bottom w:type="dxa" w:w="80"/>
              <w:right w:type="dxa" w:w="120"/>
            </w:tcMar>
            <w:vAlign w:val="top"/>
          </w:tcPr>
          <w:p>
            <w:r>
              <w:t xml:space="preserve">AWS KMS (envelope encryption)</w:t>
            </w:r>
          </w:p>
        </w:tc>
        <w:tc>
          <w:tcPr>
            <w:tcW w:type="dxa" w:w="1600"/>
            <w:shd w:fill="F2F6F8" w:val="clear"/>
            <w:tcMar>
              <w:top w:type="dxa" w:w="80"/>
              <w:left w:type="dxa" w:w="120"/>
              <w:bottom w:type="dxa" w:w="80"/>
              <w:right w:type="dxa" w:w="120"/>
            </w:tcMar>
            <w:vAlign w:val="top"/>
          </w:tcPr>
          <w:p>
            <w:r>
              <w:t xml:space="preserve">SHOULD BUILD</w:t>
            </w:r>
          </w:p>
        </w:tc>
        <w:tc>
          <w:tcPr>
            <w:tcW w:type="dxa" w:w="5160"/>
            <w:shd w:fill="F2F6F8" w:val="clear"/>
            <w:tcMar>
              <w:top w:type="dxa" w:w="80"/>
              <w:left w:type="dxa" w:w="120"/>
              <w:bottom w:type="dxa" w:w="80"/>
              <w:right w:type="dxa" w:w="120"/>
            </w:tcMar>
            <w:vAlign w:val="top"/>
          </w:tcPr>
          <w:p>
            <w:r>
              <w:t xml:space="preserve">Standard practice; keeps key access scoped to the promotion service only</w:t>
            </w:r>
          </w:p>
        </w:tc>
      </w:tr>
      <w:tr>
        <w:tc>
          <w:tcPr>
            <w:tcW w:type="dxa" w:w="2200"/>
            <w:tcMar>
              <w:top w:type="dxa" w:w="80"/>
              <w:left w:type="dxa" w:w="120"/>
              <w:bottom w:type="dxa" w:w="80"/>
              <w:right w:type="dxa" w:w="120"/>
            </w:tcMar>
            <w:vAlign w:val="top"/>
          </w:tcPr>
          <w:p>
            <w:r>
              <w:t xml:space="preserve">Docker</w:t>
            </w:r>
          </w:p>
        </w:tc>
        <w:tc>
          <w:tcPr>
            <w:tcW w:type="dxa" w:w="1600"/>
            <w:tcMar>
              <w:top w:type="dxa" w:w="80"/>
              <w:left w:type="dxa" w:w="120"/>
              <w:bottom w:type="dxa" w:w="80"/>
              <w:right w:type="dxa" w:w="120"/>
            </w:tcMar>
            <w:vAlign w:val="top"/>
          </w:tcPr>
          <w:p>
            <w:r>
              <w:t xml:space="preserve">MUST BUILD</w:t>
            </w:r>
          </w:p>
        </w:tc>
        <w:tc>
          <w:tcPr>
            <w:tcW w:type="dxa" w:w="5160"/>
            <w:tcMar>
              <w:top w:type="dxa" w:w="80"/>
              <w:left w:type="dxa" w:w="120"/>
              <w:bottom w:type="dxa" w:w="80"/>
              <w:right w:type="dxa" w:w="120"/>
            </w:tcMar>
            <w:vAlign w:val="top"/>
          </w:tcPr>
          <w:p>
            <w:r>
              <w:t xml:space="preserve">Needed for scanner resource isolation (ulimits/timeouts) per DoS findings (Fifield 2019; Pellegrino et al. 2015)</w:t>
            </w:r>
          </w:p>
        </w:tc>
      </w:tr>
      <w:tr>
        <w:tc>
          <w:tcPr>
            <w:tcW w:type="dxa" w:w="2200"/>
            <w:shd w:fill="F2F6F8" w:val="clear"/>
            <w:tcMar>
              <w:top w:type="dxa" w:w="80"/>
              <w:left w:type="dxa" w:w="120"/>
              <w:bottom w:type="dxa" w:w="80"/>
              <w:right w:type="dxa" w:w="120"/>
            </w:tcMar>
            <w:vAlign w:val="top"/>
          </w:tcPr>
          <w:p>
            <w:r>
              <w:t xml:space="preserve">Content Disarm and Reconstruction (custom, format-scoped)</w:t>
            </w:r>
          </w:p>
        </w:tc>
        <w:tc>
          <w:tcPr>
            <w:tcW w:type="dxa" w:w="1600"/>
            <w:shd w:fill="F2F6F8" w:val="clear"/>
            <w:tcMar>
              <w:top w:type="dxa" w:w="80"/>
              <w:left w:type="dxa" w:w="120"/>
              <w:bottom w:type="dxa" w:w="80"/>
              <w:right w:type="dxa" w:w="120"/>
            </w:tcMar>
            <w:vAlign w:val="top"/>
          </w:tcPr>
          <w:p>
            <w:r>
              <w:t xml:space="preserve">ADVANCED</w:t>
            </w:r>
          </w:p>
        </w:tc>
        <w:tc>
          <w:tcPr>
            <w:tcW w:type="dxa" w:w="5160"/>
            <w:shd w:fill="F2F6F8" w:val="clear"/>
            <w:tcMar>
              <w:top w:type="dxa" w:w="80"/>
              <w:left w:type="dxa" w:w="120"/>
              <w:bottom w:type="dxa" w:w="80"/>
              <w:right w:type="dxa" w:w="120"/>
            </w:tcMar>
            <w:vAlign w:val="top"/>
          </w:tcPr>
          <w:p>
            <w:r>
              <w:t xml:space="preserve">Strongest literature-backed addition beyond MVP; scope to 1–2 formats (e.g., PDF, images) given Dubin group's per-format methodology</w:t>
            </w:r>
          </w:p>
        </w:tc>
      </w:tr>
      <w:tr>
        <w:tc>
          <w:tcPr>
            <w:tcW w:type="dxa" w:w="2200"/>
            <w:tcMar>
              <w:top w:type="dxa" w:w="80"/>
              <w:left w:type="dxa" w:w="120"/>
              <w:bottom w:type="dxa" w:w="80"/>
              <w:right w:type="dxa" w:w="120"/>
            </w:tcMar>
            <w:vAlign w:val="top"/>
          </w:tcPr>
          <w:p>
            <w:r>
              <w:t xml:space="preserve">Terraform</w:t>
            </w:r>
          </w:p>
        </w:tc>
        <w:tc>
          <w:tcPr>
            <w:tcW w:type="dxa" w:w="1600"/>
            <w:tcMar>
              <w:top w:type="dxa" w:w="80"/>
              <w:left w:type="dxa" w:w="120"/>
              <w:bottom w:type="dxa" w:w="80"/>
              <w:right w:type="dxa" w:w="120"/>
            </w:tcMar>
            <w:vAlign w:val="top"/>
          </w:tcPr>
          <w:p>
            <w:r>
              <w:t xml:space="preserve">SHOULD BUILD</w:t>
            </w:r>
          </w:p>
        </w:tc>
        <w:tc>
          <w:tcPr>
            <w:tcW w:type="dxa" w:w="5160"/>
            <w:tcMar>
              <w:top w:type="dxa" w:w="80"/>
              <w:left w:type="dxa" w:w="120"/>
              <w:bottom w:type="dxa" w:w="80"/>
              <w:right w:type="dxa" w:w="120"/>
            </w:tcMar>
            <w:vAlign w:val="top"/>
          </w:tcPr>
          <w:p>
            <w:r>
              <w:t xml:space="preserve">IAM-role-per-service separation is easier to audit and demonstrate as code</w:t>
            </w:r>
          </w:p>
        </w:tc>
      </w:tr>
      <w:tr>
        <w:tc>
          <w:tcPr>
            <w:tcW w:type="dxa" w:w="2200"/>
            <w:shd w:fill="F2F6F8" w:val="clear"/>
            <w:tcMar>
              <w:top w:type="dxa" w:w="80"/>
              <w:left w:type="dxa" w:w="120"/>
              <w:bottom w:type="dxa" w:w="80"/>
              <w:right w:type="dxa" w:w="120"/>
            </w:tcMar>
            <w:vAlign w:val="top"/>
          </w:tcPr>
          <w:p>
            <w:r>
              <w:t xml:space="preserve">Merkle-tree / hash-chained audit log</w:t>
            </w:r>
          </w:p>
        </w:tc>
        <w:tc>
          <w:tcPr>
            <w:tcW w:type="dxa" w:w="1600"/>
            <w:shd w:fill="F2F6F8" w:val="clear"/>
            <w:tcMar>
              <w:top w:type="dxa" w:w="80"/>
              <w:left w:type="dxa" w:w="120"/>
              <w:bottom w:type="dxa" w:w="80"/>
              <w:right w:type="dxa" w:w="120"/>
            </w:tcMar>
            <w:vAlign w:val="top"/>
          </w:tcPr>
          <w:p>
            <w:r>
              <w:t xml:space="preserve">ADVANCED</w:t>
            </w:r>
          </w:p>
        </w:tc>
        <w:tc>
          <w:tcPr>
            <w:tcW w:type="dxa" w:w="5160"/>
            <w:shd w:fill="F2F6F8" w:val="clear"/>
            <w:tcMar>
              <w:top w:type="dxa" w:w="80"/>
              <w:left w:type="dxa" w:w="120"/>
              <w:bottom w:type="dxa" w:w="80"/>
              <w:right w:type="dxa" w:w="120"/>
            </w:tcMar>
            <w:vAlign w:val="top"/>
          </w:tcPr>
          <w:p>
            <w:r>
              <w:t xml:space="preserve">Literature-supported (Crosby &amp; Wallach 2009) upgrade over plain INSERT-only if time allows</w:t>
            </w:r>
          </w:p>
        </w:tc>
      </w:tr>
      <w:tr>
        <w:tc>
          <w:tcPr>
            <w:tcW w:type="dxa" w:w="2200"/>
            <w:tcMar>
              <w:top w:type="dxa" w:w="80"/>
              <w:left w:type="dxa" w:w="120"/>
              <w:bottom w:type="dxa" w:w="80"/>
              <w:right w:type="dxa" w:w="120"/>
            </w:tcMar>
            <w:vAlign w:val="top"/>
          </w:tcPr>
          <w:p>
            <w:r>
              <w:t xml:space="preserve">Blockchain-based audit logging</w:t>
            </w:r>
          </w:p>
        </w:tc>
        <w:tc>
          <w:tcPr>
            <w:tcW w:type="dxa" w:w="1600"/>
            <w:tcMar>
              <w:top w:type="dxa" w:w="80"/>
              <w:left w:type="dxa" w:w="120"/>
              <w:bottom w:type="dxa" w:w="80"/>
              <w:right w:type="dxa" w:w="120"/>
            </w:tcMar>
            <w:vAlign w:val="top"/>
          </w:tcPr>
          <w:p>
            <w:r>
              <w:t xml:space="preserve">DO NOT BUILD</w:t>
            </w:r>
          </w:p>
        </w:tc>
        <w:tc>
          <w:tcPr>
            <w:tcW w:type="dxa" w:w="5160"/>
            <w:tcMar>
              <w:top w:type="dxa" w:w="80"/>
              <w:left w:type="dxa" w:w="120"/>
              <w:bottom w:type="dxa" w:w="80"/>
              <w:right w:type="dxa" w:w="120"/>
            </w:tcMar>
            <w:vAlign w:val="top"/>
          </w:tcPr>
          <w:p>
            <w:r>
              <w:t xml:space="preserve">Literature itself (2026 arXiv) says it is only justified against a powerful-insider threat model this project does not have; INSERT-only DB role is the evidence-proportionate choice</w:t>
            </w:r>
          </w:p>
        </w:tc>
      </w:tr>
      <w:tr>
        <w:tc>
          <w:tcPr>
            <w:tcW w:type="dxa" w:w="2200"/>
            <w:shd w:fill="F2F6F8" w:val="clear"/>
            <w:tcMar>
              <w:top w:type="dxa" w:w="80"/>
              <w:left w:type="dxa" w:w="120"/>
              <w:bottom w:type="dxa" w:w="80"/>
              <w:right w:type="dxa" w:w="120"/>
            </w:tcMar>
            <w:vAlign w:val="top"/>
          </w:tcPr>
          <w:p>
            <w:r>
              <w:t xml:space="preserve">Polyglot-aware ML classifier</w:t>
            </w:r>
          </w:p>
        </w:tc>
        <w:tc>
          <w:tcPr>
            <w:tcW w:type="dxa" w:w="1600"/>
            <w:shd w:fill="F2F6F8" w:val="clear"/>
            <w:tcMar>
              <w:top w:type="dxa" w:w="80"/>
              <w:left w:type="dxa" w:w="120"/>
              <w:bottom w:type="dxa" w:w="80"/>
              <w:right w:type="dxa" w:w="120"/>
            </w:tcMar>
            <w:vAlign w:val="top"/>
          </w:tcPr>
          <w:p>
            <w:r>
              <w:t xml:space="preserve">DO NOT BUILD (state as future work)</w:t>
            </w:r>
          </w:p>
        </w:tc>
        <w:tc>
          <w:tcPr>
            <w:tcW w:type="dxa" w:w="5160"/>
            <w:shd w:fill="F2F6F8" w:val="clear"/>
            <w:tcMar>
              <w:top w:type="dxa" w:w="80"/>
              <w:left w:type="dxa" w:w="120"/>
              <w:bottom w:type="dxa" w:w="80"/>
              <w:right w:type="dxa" w:w="120"/>
            </w:tcMar>
            <w:vAlign w:val="top"/>
          </w:tcPr>
          <w:p>
            <w:r>
              <w:t xml:space="preserve">Real research exists (Koch et al. 2022; WWW 2025) but requires a labeled dataset and training pipeline out of scope for this timeline</w:t>
            </w:r>
          </w:p>
        </w:tc>
      </w:tr>
      <w:tr>
        <w:tc>
          <w:tcPr>
            <w:tcW w:type="dxa" w:w="2200"/>
            <w:tcMar>
              <w:top w:type="dxa" w:w="80"/>
              <w:left w:type="dxa" w:w="120"/>
              <w:bottom w:type="dxa" w:w="80"/>
              <w:right w:type="dxa" w:w="120"/>
            </w:tcMar>
            <w:vAlign w:val="top"/>
          </w:tcPr>
          <w:p>
            <w:r>
              <w:t xml:space="preserve">General malware sandboxing</w:t>
            </w:r>
          </w:p>
        </w:tc>
        <w:tc>
          <w:tcPr>
            <w:tcW w:type="dxa" w:w="1600"/>
            <w:tcMar>
              <w:top w:type="dxa" w:w="80"/>
              <w:left w:type="dxa" w:w="120"/>
              <w:bottom w:type="dxa" w:w="80"/>
              <w:right w:type="dxa" w:w="120"/>
            </w:tcMar>
            <w:vAlign w:val="top"/>
          </w:tcPr>
          <w:p>
            <w:r>
              <w:t xml:space="preserve">DO NOT BUILD</w:t>
            </w:r>
          </w:p>
        </w:tc>
        <w:tc>
          <w:tcPr>
            <w:tcW w:type="dxa" w:w="5160"/>
            <w:tcMar>
              <w:top w:type="dxa" w:w="80"/>
              <w:left w:type="dxa" w:w="120"/>
              <w:bottom w:type="dxa" w:w="80"/>
              <w:right w:type="dxa" w:w="120"/>
            </w:tcMar>
            <w:vAlign w:val="top"/>
          </w:tcPr>
          <w:p>
            <w:r>
              <w:t xml:space="preserve">Infrastructure and time cost far exceeds what dynamic-analysis surveys (Egele et al. 2012) show is achievable at student-project scale</w:t>
            </w:r>
          </w:p>
        </w:tc>
      </w:tr>
      <w:tr>
        <w:tc>
          <w:tcPr>
            <w:tcW w:type="dxa" w:w="2200"/>
            <w:shd w:fill="F2F6F8" w:val="clear"/>
            <w:tcMar>
              <w:top w:type="dxa" w:w="80"/>
              <w:left w:type="dxa" w:w="120"/>
              <w:bottom w:type="dxa" w:w="80"/>
              <w:right w:type="dxa" w:w="120"/>
            </w:tcMar>
            <w:vAlign w:val="top"/>
          </w:tcPr>
          <w:p>
            <w:r>
              <w:t xml:space="preserve">Kubernetes</w:t>
            </w:r>
          </w:p>
        </w:tc>
        <w:tc>
          <w:tcPr>
            <w:tcW w:type="dxa" w:w="1600"/>
            <w:shd w:fill="F2F6F8" w:val="clear"/>
            <w:tcMar>
              <w:top w:type="dxa" w:w="80"/>
              <w:left w:type="dxa" w:w="120"/>
              <w:bottom w:type="dxa" w:w="80"/>
              <w:right w:type="dxa" w:w="120"/>
            </w:tcMar>
            <w:vAlign w:val="top"/>
          </w:tcPr>
          <w:p>
            <w:r>
              <w:t xml:space="preserve">DO NOT BUILD</w:t>
            </w:r>
          </w:p>
        </w:tc>
        <w:tc>
          <w:tcPr>
            <w:tcW w:type="dxa" w:w="5160"/>
            <w:shd w:fill="F2F6F8" w:val="clear"/>
            <w:tcMar>
              <w:top w:type="dxa" w:w="80"/>
              <w:left w:type="dxa" w:w="120"/>
              <w:bottom w:type="dxa" w:w="80"/>
              <w:right w:type="dxa" w:w="120"/>
            </w:tcMar>
            <w:vAlign w:val="top"/>
          </w:tcPr>
          <w:p>
            <w:r>
              <w:t xml:space="preserve">No literature or scale justification for this project's size; adds operational risk without addressing any threat in Section 4</w:t>
            </w:r>
          </w:p>
        </w:tc>
      </w:tr>
    </w:tbl>
    <w:p>
      <w:pPr>
        <w:pStyle w:val="Heading2"/>
        <w:spacing w:after="120" w:before="280"/>
      </w:pPr>
      <w:r>
        <w:t xml:space="preserve">5.3 Existing Systems Comparison (RQ23)</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960"/>
        <w:gridCol w:w="2700"/>
      </w:tblGrid>
      <w:tr>
        <w:trPr>
          <w:tblHeader/>
        </w:trPr>
        <w:tc>
          <w:tcPr>
            <w:tcW w:type="dxa" w:w="1900"/>
            <w:shd w:fill="1F3B57" w:val="clear"/>
            <w:tcMar>
              <w:top w:type="dxa" w:w="80"/>
              <w:left w:type="dxa" w:w="120"/>
              <w:bottom w:type="dxa" w:w="80"/>
              <w:right w:type="dxa" w:w="120"/>
            </w:tcMar>
            <w:vAlign w:val="top"/>
          </w:tcPr>
          <w:p>
            <w:r>
              <w:rPr>
                <w:b/>
                <w:bCs/>
                <w:color w:val="FFFFFF"/>
              </w:rPr>
              <w:t xml:space="preserve">System</w:t>
            </w:r>
          </w:p>
        </w:tc>
        <w:tc>
          <w:tcPr>
            <w:tcW w:type="dxa" w:w="2000"/>
            <w:shd w:fill="1F3B57" w:val="clear"/>
            <w:tcMar>
              <w:top w:type="dxa" w:w="80"/>
              <w:left w:type="dxa" w:w="120"/>
              <w:bottom w:type="dxa" w:w="80"/>
              <w:right w:type="dxa" w:w="120"/>
            </w:tcMar>
            <w:vAlign w:val="top"/>
          </w:tcPr>
          <w:p>
            <w:r>
              <w:rPr>
                <w:b/>
                <w:bCs/>
                <w:color w:val="FFFFFF"/>
              </w:rPr>
              <w:t xml:space="preserve">Source</w:t>
            </w:r>
          </w:p>
        </w:tc>
        <w:tc>
          <w:tcPr>
            <w:tcW w:type="dxa" w:w="2960"/>
            <w:shd w:fill="1F3B57" w:val="clear"/>
            <w:tcMar>
              <w:top w:type="dxa" w:w="80"/>
              <w:left w:type="dxa" w:w="120"/>
              <w:bottom w:type="dxa" w:w="80"/>
              <w:right w:type="dxa" w:w="120"/>
            </w:tcMar>
            <w:vAlign w:val="top"/>
          </w:tcPr>
          <w:p>
            <w:r>
              <w:rPr>
                <w:b/>
                <w:bCs/>
                <w:color w:val="FFFFFF"/>
              </w:rPr>
              <w:t xml:space="preserve">What it does</w:t>
            </w:r>
          </w:p>
        </w:tc>
        <w:tc>
          <w:tcPr>
            <w:tcW w:type="dxa" w:w="2700"/>
            <w:shd w:fill="1F3B57" w:val="clear"/>
            <w:tcMar>
              <w:top w:type="dxa" w:w="80"/>
              <w:left w:type="dxa" w:w="120"/>
              <w:bottom w:type="dxa" w:w="80"/>
              <w:right w:type="dxa" w:w="120"/>
            </w:tcMar>
            <w:vAlign w:val="top"/>
          </w:tcPr>
          <w:p>
            <w:r>
              <w:rPr>
                <w:b/>
                <w:bCs/>
                <w:color w:val="FFFFFF"/>
              </w:rPr>
              <w:t xml:space="preserve">What this project can learn / not copy</w:t>
            </w:r>
          </w:p>
        </w:tc>
      </w:tr>
      <w:tr>
        <w:tc>
          <w:tcPr>
            <w:tcW w:type="dxa" w:w="1900"/>
            <w:tcMar>
              <w:top w:type="dxa" w:w="80"/>
              <w:left w:type="dxa" w:w="120"/>
              <w:bottom w:type="dxa" w:w="80"/>
              <w:right w:type="dxa" w:w="120"/>
            </w:tcMar>
            <w:vAlign w:val="top"/>
          </w:tcPr>
          <w:p>
            <w:r>
              <w:t xml:space="preserve">FileUploadChecker</w:t>
            </w:r>
          </w:p>
        </w:tc>
        <w:tc>
          <w:tcPr>
            <w:tcW w:type="dxa" w:w="2000"/>
            <w:tcMar>
              <w:top w:type="dxa" w:w="80"/>
              <w:left w:type="dxa" w:w="120"/>
              <w:bottom w:type="dxa" w:w="80"/>
              <w:right w:type="dxa" w:w="120"/>
            </w:tcMar>
            <w:vAlign w:val="top"/>
          </w:tcPr>
          <w:p>
            <w:r>
              <w:t xml:space="preserve">ACM DL, DOI 10.1145/3538969.3538999</w:t>
            </w:r>
          </w:p>
        </w:tc>
        <w:tc>
          <w:tcPr>
            <w:tcW w:type="dxa" w:w="2960"/>
            <w:tcMar>
              <w:top w:type="dxa" w:w="80"/>
              <w:left w:type="dxa" w:w="120"/>
              <w:bottom w:type="dxa" w:w="80"/>
              <w:right w:type="dxa" w:w="120"/>
            </w:tcMar>
            <w:vAlign w:val="top"/>
          </w:tcPr>
          <w:p>
            <w:r>
              <w:t xml:space="preserve">Django request-level middleware; validated against real CVEs (WordPress, Drupal, Xwiki, OpenCms, 2017–2021)</w:t>
            </w:r>
          </w:p>
        </w:tc>
        <w:tc>
          <w:tcPr>
            <w:tcW w:type="dxa" w:w="2700"/>
            <w:tcMar>
              <w:top w:type="dxa" w:w="80"/>
              <w:left w:type="dxa" w:w="120"/>
              <w:bottom w:type="dxa" w:w="80"/>
              <w:right w:type="dxa" w:w="120"/>
            </w:tcMar>
            <w:vAlign w:val="top"/>
          </w:tcPr>
          <w:p>
            <w:r>
              <w:t xml:space="preserve">Closest academic analogue to this project's gateway concept; adopt its "transparent middleware, no app code change" integration philosophy for the SDK</w:t>
            </w:r>
          </w:p>
        </w:tc>
      </w:tr>
      <w:tr>
        <w:tc>
          <w:tcPr>
            <w:tcW w:type="dxa" w:w="1900"/>
            <w:shd w:fill="F2F6F8" w:val="clear"/>
            <w:tcMar>
              <w:top w:type="dxa" w:w="80"/>
              <w:left w:type="dxa" w:w="120"/>
              <w:bottom w:type="dxa" w:w="80"/>
              <w:right w:type="dxa" w:w="120"/>
            </w:tcMar>
            <w:vAlign w:val="top"/>
          </w:tcPr>
          <w:p>
            <w:r>
              <w:t xml:space="preserve">PdfCDR / RTF-CDR / OLE-CDR / Image-CDR (Dubin group)</w:t>
            </w:r>
          </w:p>
        </w:tc>
        <w:tc>
          <w:tcPr>
            <w:tcW w:type="dxa" w:w="2000"/>
            <w:shd w:fill="F2F6F8" w:val="clear"/>
            <w:tcMar>
              <w:top w:type="dxa" w:w="80"/>
              <w:left w:type="dxa" w:w="120"/>
              <w:bottom w:type="dxa" w:w="80"/>
              <w:right w:type="dxa" w:w="120"/>
            </w:tcMar>
            <w:vAlign w:val="top"/>
          </w:tcPr>
          <w:p>
            <w:r>
              <w:t xml:space="preserve">IEEE Access; IEEE Xplore; ScienceDirect; 2023 preprint</w:t>
            </w:r>
          </w:p>
        </w:tc>
        <w:tc>
          <w:tcPr>
            <w:tcW w:type="dxa" w:w="2960"/>
            <w:shd w:fill="F2F6F8" w:val="clear"/>
            <w:tcMar>
              <w:top w:type="dxa" w:w="80"/>
              <w:left w:type="dxa" w:w="120"/>
              <w:bottom w:type="dxa" w:w="80"/>
              <w:right w:type="dxa" w:w="120"/>
            </w:tcMar>
            <w:vAlign w:val="top"/>
          </w:tcPr>
          <w:p>
            <w:r>
              <w:t xml:space="preserve">Per-format Content Disarm and Reconstruction with measured prevention rate and visual-fidelity impact</w:t>
            </w:r>
          </w:p>
        </w:tc>
        <w:tc>
          <w:tcPr>
            <w:tcW w:type="dxa" w:w="2700"/>
            <w:shd w:fill="F2F6F8" w:val="clear"/>
            <w:tcMar>
              <w:top w:type="dxa" w:w="80"/>
              <w:left w:type="dxa" w:w="120"/>
              <w:bottom w:type="dxa" w:w="80"/>
              <w:right w:type="dxa" w:w="120"/>
            </w:tcMar>
            <w:vAlign w:val="top"/>
          </w:tcPr>
          <w:p>
            <w:r>
              <w:t xml:space="preserve">Adopt the "measure prevention rate + reconstruction fidelity" evaluation methodology if CDR is implemented; do not attempt CDR for every format — the group itself needed one paper per format</w:t>
            </w:r>
          </w:p>
        </w:tc>
      </w:tr>
      <w:tr>
        <w:tc>
          <w:tcPr>
            <w:tcW w:type="dxa" w:w="1900"/>
            <w:tcMar>
              <w:top w:type="dxa" w:w="80"/>
              <w:left w:type="dxa" w:w="120"/>
              <w:bottom w:type="dxa" w:w="80"/>
              <w:right w:type="dxa" w:w="120"/>
            </w:tcMar>
            <w:vAlign w:val="top"/>
          </w:tcPr>
          <w:p>
            <w:r>
              <w:t xml:space="preserve">qOS (quarantine VM)</w:t>
            </w:r>
          </w:p>
        </w:tc>
        <w:tc>
          <w:tcPr>
            <w:tcW w:type="dxa" w:w="2000"/>
            <w:tcMar>
              <w:top w:type="dxa" w:w="80"/>
              <w:left w:type="dxa" w:w="120"/>
              <w:bottom w:type="dxa" w:w="80"/>
              <w:right w:type="dxa" w:w="120"/>
            </w:tcMar>
            <w:vAlign w:val="top"/>
          </w:tcPr>
          <w:p>
            <w:r>
              <w:t xml:space="preserve">arXiv:2211.02266</w:t>
            </w:r>
          </w:p>
        </w:tc>
        <w:tc>
          <w:tcPr>
            <w:tcW w:type="dxa" w:w="2960"/>
            <w:tcMar>
              <w:top w:type="dxa" w:w="80"/>
              <w:left w:type="dxa" w:w="120"/>
              <w:bottom w:type="dxa" w:w="80"/>
              <w:right w:type="dxa" w:w="120"/>
            </w:tcMar>
            <w:vAlign w:val="top"/>
          </w:tcPr>
          <w:p>
            <w:r>
              <w:t xml:space="preserve">OS-level quarantine VM separating safe/unsafe/unverified applications and files</w:t>
            </w:r>
          </w:p>
        </w:tc>
        <w:tc>
          <w:tcPr>
            <w:tcW w:type="dxa" w:w="2700"/>
            <w:tcMar>
              <w:top w:type="dxa" w:w="80"/>
              <w:left w:type="dxa" w:w="120"/>
              <w:bottom w:type="dxa" w:w="80"/>
              <w:right w:type="dxa" w:w="120"/>
            </w:tcMar>
            <w:vAlign w:val="top"/>
          </w:tcPr>
          <w:p>
            <w:r>
              <w:t xml:space="preserve">Conceptually validates "quarantine as an execution/access boundary" but is a desktop-OS design, not a cloud upload pipeline — do not port directly</w:t>
            </w:r>
          </w:p>
        </w:tc>
      </w:tr>
      <w:tr>
        <w:tc>
          <w:tcPr>
            <w:tcW w:type="dxa" w:w="1900"/>
            <w:shd w:fill="F2F6F8" w:val="clear"/>
            <w:tcMar>
              <w:top w:type="dxa" w:w="80"/>
              <w:left w:type="dxa" w:w="120"/>
              <w:bottom w:type="dxa" w:w="80"/>
              <w:right w:type="dxa" w:w="120"/>
            </w:tcMar>
            <w:vAlign w:val="top"/>
          </w:tcPr>
          <w:p>
            <w:r>
              <w:t xml:space="preserve">TopMCloud</w:t>
            </w:r>
          </w:p>
        </w:tc>
        <w:tc>
          <w:tcPr>
            <w:tcW w:type="dxa" w:w="2000"/>
            <w:shd w:fill="F2F6F8" w:val="clear"/>
            <w:tcMar>
              <w:top w:type="dxa" w:w="80"/>
              <w:left w:type="dxa" w:w="120"/>
              <w:bottom w:type="dxa" w:w="80"/>
              <w:right w:type="dxa" w:w="120"/>
            </w:tcMar>
            <w:vAlign w:val="top"/>
          </w:tcPr>
          <w:p>
            <w:r>
              <w:t xml:space="preserve">MDPI Sensors, DOI 10.3390/s18030753</w:t>
            </w:r>
          </w:p>
        </w:tc>
        <w:tc>
          <w:tcPr>
            <w:tcW w:type="dxa" w:w="2960"/>
            <w:shd w:fill="F2F6F8" w:val="clear"/>
            <w:tcMar>
              <w:top w:type="dxa" w:w="80"/>
              <w:left w:type="dxa" w:w="120"/>
              <w:bottom w:type="dxa" w:w="80"/>
              <w:right w:type="dxa" w:w="120"/>
            </w:tcMar>
            <w:vAlign w:val="top"/>
          </w:tcPr>
          <w:p>
            <w:r>
              <w:t xml:space="preserve">Trust-based cloud file integrity verification without full file retrieval, using an untrusted third party</w:t>
            </w:r>
          </w:p>
        </w:tc>
        <w:tc>
          <w:tcPr>
            <w:tcW w:type="dxa" w:w="2700"/>
            <w:shd w:fill="F2F6F8" w:val="clear"/>
            <w:tcMar>
              <w:top w:type="dxa" w:w="80"/>
              <w:left w:type="dxa" w:w="120"/>
              <w:bottom w:type="dxa" w:w="80"/>
              <w:right w:type="dxa" w:w="120"/>
            </w:tcMar>
            <w:vAlign w:val="top"/>
          </w:tcPr>
          <w:p>
            <w:r>
              <w:t xml:space="preserve">Relevant precedent for verifying integrity without re-downloading a full object; not upload-security specific</w:t>
            </w:r>
          </w:p>
        </w:tc>
      </w:tr>
      <w:tr>
        <w:tc>
          <w:tcPr>
            <w:tcW w:type="dxa" w:w="1900"/>
            <w:tcMar>
              <w:top w:type="dxa" w:w="80"/>
              <w:left w:type="dxa" w:w="120"/>
              <w:bottom w:type="dxa" w:w="80"/>
              <w:right w:type="dxa" w:w="120"/>
            </w:tcMar>
            <w:vAlign w:val="top"/>
          </w:tcPr>
          <w:p>
            <w:r>
              <w:t xml:space="preserve">Commercial CDR/scanning products (OPSWAT MetaDefender, Glasswall, Votiro)</w:t>
            </w:r>
          </w:p>
        </w:tc>
        <w:tc>
          <w:tcPr>
            <w:tcW w:type="dxa" w:w="2000"/>
            <w:tcMar>
              <w:top w:type="dxa" w:w="80"/>
              <w:left w:type="dxa" w:w="120"/>
              <w:bottom w:type="dxa" w:w="80"/>
              <w:right w:type="dxa" w:w="120"/>
            </w:tcMar>
            <w:vAlign w:val="top"/>
          </w:tcPr>
          <w:p>
            <w:r>
              <w:t xml:space="preserve">Vendor documentation only</w:t>
            </w:r>
          </w:p>
        </w:tc>
        <w:tc>
          <w:tcPr>
            <w:tcW w:type="dxa" w:w="2960"/>
            <w:tcMar>
              <w:top w:type="dxa" w:w="80"/>
              <w:left w:type="dxa" w:w="120"/>
              <w:bottom w:type="dxa" w:w="80"/>
              <w:right w:type="dxa" w:w="120"/>
            </w:tcMar>
            <w:vAlign w:val="top"/>
          </w:tcPr>
          <w:p>
            <w:r>
              <w:t xml:space="preserve">Multi-engine scanning and/or CDR as a service</w:t>
            </w:r>
          </w:p>
        </w:tc>
        <w:tc>
          <w:tcPr>
            <w:tcW w:type="dxa" w:w="2700"/>
            <w:tcMar>
              <w:top w:type="dxa" w:w="80"/>
              <w:left w:type="dxa" w:w="120"/>
              <w:bottom w:type="dxa" w:w="80"/>
              <w:right w:type="dxa" w:w="120"/>
            </w:tcMar>
            <w:vAlign w:val="top"/>
          </w:tcPr>
          <w:p>
            <w:r>
              <w:t xml:space="preserve">Validates market demand for exactly this category of product; provides no peer-reviewed technique detail to build from</w:t>
            </w:r>
          </w:p>
        </w:tc>
      </w:tr>
    </w:tbl>
    <w:p>
      <w:pPr>
        <w:pStyle w:val="Heading1"/>
        <w:spacing w:after="160" w:before="360"/>
      </w:pPr>
      <w:r>
        <w:t xml:space="preserve">6. Research Gaps</w:t>
      </w:r>
    </w:p>
    <w:p>
      <w:pPr>
        <w:pStyle w:val="Heading2"/>
        <w:spacing w:after="120" w:before="280"/>
      </w:pPr>
      <w:r>
        <w:t xml:space="preserve">6.1 Methodological Gaps</w:t>
      </w:r>
    </w:p>
    <w:p>
      <w:pPr>
        <w:pStyle w:val="ListParagraph"/>
        <w:numPr>
          <w:ilvl w:val="0"/>
          <w:numId w:val="2"/>
        </w:numPr>
        <w:spacing w:after="80"/>
      </w:pPr>
      <w:r>
        <w:t xml:space="preserve">TOCTOU races specific to cloud object storage promotion pipelines have no dedicated academic study — the entire evidence base is CVEs and vendor writeups. A controlled study measuring race-window exploitability across S3/GCS conditional-write mechanisms would be a genuine, small, defensible contribution.</w:t>
      </w:r>
    </w:p>
    <w:p>
      <w:pPr>
        <w:pStyle w:val="ListParagraph"/>
        <w:numPr>
          <w:ilvl w:val="0"/>
          <w:numId w:val="2"/>
        </w:numPr>
        <w:spacing w:after="80"/>
      </w:pPr>
      <w:r>
        <w:t xml:space="preserve">Presigned URL security has zero peer-reviewed treatment found in this survey. Existing "evidence" is vendor blog posts describing exploited misconfigurations after the fact, not a systematic security analysis of the presigned-URL mechanism itself.</w:t>
      </w:r>
    </w:p>
    <w:p>
      <w:pPr>
        <w:pStyle w:val="ListParagraph"/>
        <w:numPr>
          <w:ilvl w:val="0"/>
          <w:numId w:val="2"/>
        </w:numPr>
        <w:spacing w:after="80"/>
      </w:pPr>
      <w:r>
        <w:t xml:space="preserve">No paper in this survey evaluated a full quarantine-to-clean-storage pipeline end-to-end with measured false-positive/false-negative rates under a defined threat model; CDR papers measure prevention rate per format in isolation.</w:t>
      </w:r>
    </w:p>
    <w:p>
      <w:pPr>
        <w:pStyle w:val="Heading2"/>
        <w:spacing w:after="120" w:before="280"/>
      </w:pPr>
      <w:r>
        <w:t xml:space="preserve">6.2 Population/Context Gaps</w:t>
      </w:r>
    </w:p>
    <w:p>
      <w:pPr>
        <w:pStyle w:val="ListParagraph"/>
        <w:numPr>
          <w:ilvl w:val="0"/>
          <w:numId w:val="2"/>
        </w:numPr>
        <w:spacing w:after="80"/>
      </w:pPr>
      <w:r>
        <w:t xml:space="preserve">Almost all malware-detection and CDR evaluation datasets are Windows/PE or document-format focused; none found in this survey specifically benchmark a browser-to-cloud-storage upload pipeline as the unit of study.</w:t>
      </w:r>
    </w:p>
    <w:p>
      <w:pPr>
        <w:pStyle w:val="ListParagraph"/>
        <w:numPr>
          <w:ilvl w:val="0"/>
          <w:numId w:val="2"/>
        </w:numPr>
        <w:spacing w:after="80"/>
      </w:pPr>
      <w:r>
        <w:t xml:space="preserve">Zero Trust IAM literature is enterprise-scale; no source found addresses least-privilege IAM design specifically for a small, single-team, multi-application SaaS gateway of the kind this project builds.</w:t>
      </w:r>
    </w:p>
    <w:p>
      <w:pPr>
        <w:pStyle w:val="Heading2"/>
        <w:spacing w:after="120" w:before="280"/>
      </w:pPr>
      <w:r>
        <w:t xml:space="preserve">6.3 Conceptual/Theoretical Gaps</w:t>
      </w:r>
    </w:p>
    <w:p>
      <w:pPr>
        <w:pStyle w:val="ListParagraph"/>
        <w:numPr>
          <w:ilvl w:val="0"/>
          <w:numId w:val="2"/>
        </w:numPr>
        <w:spacing w:after="80"/>
      </w:pPr>
      <w:r>
        <w:t xml:space="preserve">No paper connects the CDR literature to the TOCTOU/versioning literature — CDR papers assume the "clean" reconstructed file is what gets stored, without addressing the race between reconstruction and promotion that Section 3.4/4 describes.</w:t>
      </w:r>
    </w:p>
    <w:p>
      <w:pPr>
        <w:pStyle w:val="ListParagraph"/>
        <w:numPr>
          <w:ilvl w:val="0"/>
          <w:numId w:val="2"/>
        </w:numPr>
        <w:spacing w:after="80"/>
      </w:pPr>
      <w:r>
        <w:t xml:space="preserve">There is no accepted evaluation metric in this literature for "false confidence" — i.e., how a system should be scored when it correctly quarantines but a downstream engineer disables the quarantine under deadline pressure (Section 3 of the earlier hostile security review addressed this as a fail-open risk; the literature has no measurement framework for it).</w:t>
      </w:r>
    </w:p>
    <w:p>
      <w:pPr>
        <w:pStyle w:val="Heading1"/>
        <w:spacing w:after="160" w:before="360"/>
      </w:pPr>
      <w:r>
        <w:t xml:space="preserve">7. Innovation Analysis (RQ25)</w:t>
      </w:r>
    </w:p>
    <w:p>
      <w:pPr>
        <w:spacing w:after="160"/>
      </w:pPr>
      <w:r>
        <w:t xml:space="preserve">Each proposed innovation is classified against the evidence found, using the requested categories: (A) already established, (B) incremental engineering, (C) novel combination, (D) potential research contribution.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760"/>
      </w:tblGrid>
      <w:tr>
        <w:trPr>
          <w:tblHeader/>
        </w:trPr>
        <w:tc>
          <w:tcPr>
            <w:tcW w:type="dxa" w:w="2400"/>
            <w:shd w:fill="1F3B57" w:val="clear"/>
            <w:tcMar>
              <w:top w:type="dxa" w:w="80"/>
              <w:left w:type="dxa" w:w="120"/>
              <w:bottom w:type="dxa" w:w="80"/>
              <w:right w:type="dxa" w:w="120"/>
            </w:tcMar>
            <w:vAlign w:val="top"/>
          </w:tcPr>
          <w:p>
            <w:r>
              <w:rPr>
                <w:b/>
                <w:bCs/>
                <w:color w:val="FFFFFF"/>
              </w:rPr>
              <w:t xml:space="preserve">Candidate innovation</w:t>
            </w:r>
          </w:p>
        </w:tc>
        <w:tc>
          <w:tcPr>
            <w:tcW w:type="dxa" w:w="1400"/>
            <w:shd w:fill="1F3B57" w:val="clear"/>
            <w:tcMar>
              <w:top w:type="dxa" w:w="80"/>
              <w:left w:type="dxa" w:w="120"/>
              <w:bottom w:type="dxa" w:w="80"/>
              <w:right w:type="dxa" w:w="120"/>
            </w:tcMar>
            <w:vAlign w:val="top"/>
          </w:tcPr>
          <w:p>
            <w:r>
              <w:rPr>
                <w:b/>
                <w:bCs/>
                <w:color w:val="FFFFFF"/>
              </w:rPr>
              <w:t xml:space="preserve">Classification</w:t>
            </w:r>
          </w:p>
        </w:tc>
        <w:tc>
          <w:tcPr>
            <w:tcW w:type="dxa" w:w="5760"/>
            <w:shd w:fill="1F3B57" w:val="clear"/>
            <w:tcMar>
              <w:top w:type="dxa" w:w="80"/>
              <w:left w:type="dxa" w:w="120"/>
              <w:bottom w:type="dxa" w:w="80"/>
              <w:right w:type="dxa" w:w="120"/>
            </w:tcMar>
            <w:vAlign w:val="top"/>
          </w:tcPr>
          <w:p>
            <w:r>
              <w:rPr>
                <w:b/>
                <w:bCs/>
                <w:color w:val="FFFFFF"/>
              </w:rPr>
              <w:t xml:space="preserve">Evidence</w:t>
            </w:r>
          </w:p>
        </w:tc>
      </w:tr>
      <w:tr>
        <w:tc>
          <w:tcPr>
            <w:tcW w:type="dxa" w:w="2400"/>
            <w:tcMar>
              <w:top w:type="dxa" w:w="80"/>
              <w:left w:type="dxa" w:w="120"/>
              <w:bottom w:type="dxa" w:w="80"/>
              <w:right w:type="dxa" w:w="120"/>
            </w:tcMar>
            <w:vAlign w:val="top"/>
          </w:tcPr>
          <w:p>
            <w:r>
              <w:t xml:space="preserve">Upload security gateway / middleware</w:t>
            </w:r>
          </w:p>
        </w:tc>
        <w:tc>
          <w:tcPr>
            <w:tcW w:type="dxa" w:w="1400"/>
            <w:tcMar>
              <w:top w:type="dxa" w:w="80"/>
              <w:left w:type="dxa" w:w="120"/>
              <w:bottom w:type="dxa" w:w="80"/>
              <w:right w:type="dxa" w:w="120"/>
            </w:tcMar>
            <w:vAlign w:val="top"/>
          </w:tcPr>
          <w:p>
            <w:r>
              <w:t xml:space="preserve">A — Already established</w:t>
            </w:r>
          </w:p>
        </w:tc>
        <w:tc>
          <w:tcPr>
            <w:tcW w:type="dxa" w:w="5760"/>
            <w:tcMar>
              <w:top w:type="dxa" w:w="80"/>
              <w:left w:type="dxa" w:w="120"/>
              <w:bottom w:type="dxa" w:w="80"/>
              <w:right w:type="dxa" w:w="120"/>
            </w:tcMar>
            <w:vAlign w:val="top"/>
          </w:tcPr>
          <w:p>
            <w:r>
              <w:t xml:space="preserve">FileUploadChecker (ACM DL) is a working academic prototype of this exact concept.</w:t>
            </w:r>
          </w:p>
        </w:tc>
      </w:tr>
      <w:tr>
        <w:tc>
          <w:tcPr>
            <w:tcW w:type="dxa" w:w="2400"/>
            <w:shd w:fill="F2F6F8" w:val="clear"/>
            <w:tcMar>
              <w:top w:type="dxa" w:w="80"/>
              <w:left w:type="dxa" w:w="120"/>
              <w:bottom w:type="dxa" w:w="80"/>
              <w:right w:type="dxa" w:w="120"/>
            </w:tcMar>
            <w:vAlign w:val="top"/>
          </w:tcPr>
          <w:p>
            <w:r>
              <w:t xml:space="preserve">Quarantine-first cloud storage</w:t>
            </w:r>
          </w:p>
        </w:tc>
        <w:tc>
          <w:tcPr>
            <w:tcW w:type="dxa" w:w="1400"/>
            <w:shd w:fill="F2F6F8" w:val="clear"/>
            <w:tcMar>
              <w:top w:type="dxa" w:w="80"/>
              <w:left w:type="dxa" w:w="120"/>
              <w:bottom w:type="dxa" w:w="80"/>
              <w:right w:type="dxa" w:w="120"/>
            </w:tcMar>
            <w:vAlign w:val="top"/>
          </w:tcPr>
          <w:p>
            <w:r>
              <w:t xml:space="preserve">B — Incremental engineering</w:t>
            </w:r>
          </w:p>
        </w:tc>
        <w:tc>
          <w:tcPr>
            <w:tcW w:type="dxa" w:w="5760"/>
            <w:shd w:fill="F2F6F8" w:val="clear"/>
            <w:tcMar>
              <w:top w:type="dxa" w:w="80"/>
              <w:left w:type="dxa" w:w="120"/>
              <w:bottom w:type="dxa" w:w="80"/>
              <w:right w:type="dxa" w:w="120"/>
            </w:tcMar>
            <w:vAlign w:val="top"/>
          </w:tcPr>
          <w:p>
            <w:r>
              <w:t xml:space="preserve">Quarantine as a concept is established (qOS, TopMCloud); applying it specifically to a cloud-storage upload pipeline with IAM-role separation is an assembly of known parts, not new theory.</w:t>
            </w:r>
          </w:p>
        </w:tc>
      </w:tr>
      <w:tr>
        <w:tc>
          <w:tcPr>
            <w:tcW w:type="dxa" w:w="2400"/>
            <w:tcMar>
              <w:top w:type="dxa" w:w="80"/>
              <w:left w:type="dxa" w:w="120"/>
              <w:bottom w:type="dxa" w:w="80"/>
              <w:right w:type="dxa" w:w="120"/>
            </w:tcMar>
            <w:vAlign w:val="top"/>
          </w:tcPr>
          <w:p>
            <w:r>
              <w:t xml:space="preserve">Version-bound security decisions (decision tied to a specific object version, not a mutable key)</w:t>
            </w:r>
          </w:p>
        </w:tc>
        <w:tc>
          <w:tcPr>
            <w:tcW w:type="dxa" w:w="1400"/>
            <w:tcMar>
              <w:top w:type="dxa" w:w="80"/>
              <w:left w:type="dxa" w:w="120"/>
              <w:bottom w:type="dxa" w:w="80"/>
              <w:right w:type="dxa" w:w="120"/>
            </w:tcMar>
            <w:vAlign w:val="top"/>
          </w:tcPr>
          <w:p>
            <w:r>
              <w:t xml:space="preserve">C — Novel combination</w:t>
            </w:r>
          </w:p>
        </w:tc>
        <w:tc>
          <w:tcPr>
            <w:tcW w:type="dxa" w:w="5760"/>
            <w:tcMar>
              <w:top w:type="dxa" w:w="80"/>
              <w:left w:type="dxa" w:w="120"/>
              <w:bottom w:type="dxa" w:w="80"/>
              <w:right w:type="dxa" w:w="120"/>
            </w:tcMar>
            <w:vAlign w:val="top"/>
          </w:tcPr>
          <w:p>
            <w:r>
              <w:t xml:space="preserve">No paper found combines object versioning with a persisted security-decision record; this is assembling S3/GCS versioning (a standard feature) with an audit-log pattern (Crosby &amp; Wallach) in a way not documented elsewhere in this survey.</w:t>
            </w:r>
          </w:p>
        </w:tc>
      </w:tr>
      <w:tr>
        <w:tc>
          <w:tcPr>
            <w:tcW w:type="dxa" w:w="2400"/>
            <w:shd w:fill="F2F6F8" w:val="clear"/>
            <w:tcMar>
              <w:top w:type="dxa" w:w="80"/>
              <w:left w:type="dxa" w:w="120"/>
              <w:bottom w:type="dxa" w:w="80"/>
              <w:right w:type="dxa" w:w="120"/>
            </w:tcMar>
            <w:vAlign w:val="top"/>
          </w:tcPr>
          <w:p>
            <w:r>
              <w:t xml:space="preserve">Hash-bound promotion (re-verify hash at promotion time)</w:t>
            </w:r>
          </w:p>
        </w:tc>
        <w:tc>
          <w:tcPr>
            <w:tcW w:type="dxa" w:w="1400"/>
            <w:shd w:fill="F2F6F8" w:val="clear"/>
            <w:tcMar>
              <w:top w:type="dxa" w:w="80"/>
              <w:left w:type="dxa" w:w="120"/>
              <w:bottom w:type="dxa" w:w="80"/>
              <w:right w:type="dxa" w:w="120"/>
            </w:tcMar>
            <w:vAlign w:val="top"/>
          </w:tcPr>
          <w:p>
            <w:r>
              <w:t xml:space="preserve">B — Incremental engineering</w:t>
            </w:r>
          </w:p>
        </w:tc>
        <w:tc>
          <w:tcPr>
            <w:tcW w:type="dxa" w:w="5760"/>
            <w:shd w:fill="F2F6F8" w:val="clear"/>
            <w:tcMar>
              <w:top w:type="dxa" w:w="80"/>
              <w:left w:type="dxa" w:w="120"/>
              <w:bottom w:type="dxa" w:w="80"/>
              <w:right w:type="dxa" w:w="120"/>
            </w:tcMar>
            <w:vAlign w:val="top"/>
          </w:tcPr>
          <w:p>
            <w:r>
              <w:t xml:space="preserve">A direct, standard application of integrity hashing; not novel on its own.</w:t>
            </w:r>
          </w:p>
        </w:tc>
      </w:tr>
      <w:tr>
        <w:tc>
          <w:tcPr>
            <w:tcW w:type="dxa" w:w="2400"/>
            <w:tcMar>
              <w:top w:type="dxa" w:w="80"/>
              <w:left w:type="dxa" w:w="120"/>
              <w:bottom w:type="dxa" w:w="80"/>
              <w:right w:type="dxa" w:w="120"/>
            </w:tcMar>
            <w:vAlign w:val="top"/>
          </w:tcPr>
          <w:p>
            <w:r>
              <w:t xml:space="preserve">Privilege-separated upload/promotion (distinct IAM roles per pipeline stage)</w:t>
            </w:r>
          </w:p>
        </w:tc>
        <w:tc>
          <w:tcPr>
            <w:tcW w:type="dxa" w:w="1400"/>
            <w:tcMar>
              <w:top w:type="dxa" w:w="80"/>
              <w:left w:type="dxa" w:w="120"/>
              <w:bottom w:type="dxa" w:w="80"/>
              <w:right w:type="dxa" w:w="120"/>
            </w:tcMar>
            <w:vAlign w:val="top"/>
          </w:tcPr>
          <w:p>
            <w:r>
              <w:t xml:space="preserve">B — Incremental engineering</w:t>
            </w:r>
          </w:p>
        </w:tc>
        <w:tc>
          <w:tcPr>
            <w:tcW w:type="dxa" w:w="5760"/>
            <w:tcMar>
              <w:top w:type="dxa" w:w="80"/>
              <w:left w:type="dxa" w:w="120"/>
              <w:bottom w:type="dxa" w:w="80"/>
              <w:right w:type="dxa" w:w="120"/>
            </w:tcMar>
            <w:vAlign w:val="top"/>
          </w:tcPr>
          <w:p>
            <w:r>
              <w:t xml:space="preserve">Direct application of least-privilege (well established in Zero Trust literature); the specific per-stage-of-an-upload-pipeline framing is not something this survey found documented elsewhere, which pushes it toward C for a report/demo, but the underlying technique is standard.</w:t>
            </w:r>
          </w:p>
        </w:tc>
      </w:tr>
      <w:tr>
        <w:tc>
          <w:tcPr>
            <w:tcW w:type="dxa" w:w="2400"/>
            <w:shd w:fill="F2F6F8" w:val="clear"/>
            <w:tcMar>
              <w:top w:type="dxa" w:w="80"/>
              <w:left w:type="dxa" w:w="120"/>
              <w:bottom w:type="dxa" w:w="80"/>
              <w:right w:type="dxa" w:w="120"/>
            </w:tcMar>
            <w:vAlign w:val="top"/>
          </w:tcPr>
          <w:p>
            <w:r>
              <w:t xml:space="preserve">Explainable file-security risk engine (deterministic, auditable rules over ML)</w:t>
            </w:r>
          </w:p>
        </w:tc>
        <w:tc>
          <w:tcPr>
            <w:tcW w:type="dxa" w:w="1400"/>
            <w:shd w:fill="F2F6F8" w:val="clear"/>
            <w:tcMar>
              <w:top w:type="dxa" w:w="80"/>
              <w:left w:type="dxa" w:w="120"/>
              <w:bottom w:type="dxa" w:w="80"/>
              <w:right w:type="dxa" w:w="120"/>
            </w:tcMar>
            <w:vAlign w:val="top"/>
          </w:tcPr>
          <w:p>
            <w:r>
              <w:t xml:space="preserve">B — Incremental engineering</w:t>
            </w:r>
          </w:p>
        </w:tc>
        <w:tc>
          <w:tcPr>
            <w:tcW w:type="dxa" w:w="5760"/>
            <w:shd w:fill="F2F6F8" w:val="clear"/>
            <w:tcMar>
              <w:top w:type="dxa" w:w="80"/>
              <w:left w:type="dxa" w:w="120"/>
              <w:bottom w:type="dxa" w:w="80"/>
              <w:right w:type="dxa" w:w="120"/>
            </w:tcMar>
            <w:vAlign w:val="top"/>
          </w:tcPr>
          <w:p>
            <w:r>
              <w:t xml:space="preserve">A deliberate rejection of ML in favor of transparency; well-supported by the ML survey literature's explainability critiques, but not itself a new technique.</w:t>
            </w:r>
          </w:p>
        </w:tc>
      </w:tr>
      <w:tr>
        <w:tc>
          <w:tcPr>
            <w:tcW w:type="dxa" w:w="2400"/>
            <w:tcMar>
              <w:top w:type="dxa" w:w="80"/>
              <w:left w:type="dxa" w:w="120"/>
              <w:bottom w:type="dxa" w:w="80"/>
              <w:right w:type="dxa" w:w="120"/>
            </w:tcMar>
            <w:vAlign w:val="top"/>
          </w:tcPr>
          <w:p>
            <w:r>
              <w:t xml:space="preserve">Policy-versioned security decisions</w:t>
            </w:r>
          </w:p>
        </w:tc>
        <w:tc>
          <w:tcPr>
            <w:tcW w:type="dxa" w:w="1400"/>
            <w:tcMar>
              <w:top w:type="dxa" w:w="80"/>
              <w:left w:type="dxa" w:w="120"/>
              <w:bottom w:type="dxa" w:w="80"/>
              <w:right w:type="dxa" w:w="120"/>
            </w:tcMar>
            <w:vAlign w:val="top"/>
          </w:tcPr>
          <w:p>
            <w:r>
              <w:t xml:space="preserve">D — Potential research contribution (small)</w:t>
            </w:r>
          </w:p>
        </w:tc>
        <w:tc>
          <w:tcPr>
            <w:tcW w:type="dxa" w:w="5760"/>
            <w:tcMar>
              <w:top w:type="dxa" w:w="80"/>
              <w:left w:type="dxa" w:w="120"/>
              <w:bottom w:type="dxa" w:w="80"/>
              <w:right w:type="dxa" w:w="120"/>
            </w:tcMar>
            <w:vAlign w:val="top"/>
          </w:tcPr>
          <w:p>
            <w:r>
              <w:t xml:space="preserve">No source in this survey addresses what happens when policy changes after a file is already in quarantine/decision-pending state; a small, well-scoped contribution if implemented and evaluated.</w:t>
            </w:r>
          </w:p>
        </w:tc>
      </w:tr>
      <w:tr>
        <w:tc>
          <w:tcPr>
            <w:tcW w:type="dxa" w:w="2400"/>
            <w:shd w:fill="F2F6F8" w:val="clear"/>
            <w:tcMar>
              <w:top w:type="dxa" w:w="80"/>
              <w:left w:type="dxa" w:w="120"/>
              <w:bottom w:type="dxa" w:w="80"/>
              <w:right w:type="dxa" w:w="120"/>
            </w:tcMar>
            <w:vAlign w:val="top"/>
          </w:tcPr>
          <w:p>
            <w:r>
              <w:t xml:space="preserve">Pluggable malware scanner interface</w:t>
            </w:r>
          </w:p>
        </w:tc>
        <w:tc>
          <w:tcPr>
            <w:tcW w:type="dxa" w:w="1400"/>
            <w:shd w:fill="F2F6F8" w:val="clear"/>
            <w:tcMar>
              <w:top w:type="dxa" w:w="80"/>
              <w:left w:type="dxa" w:w="120"/>
              <w:bottom w:type="dxa" w:w="80"/>
              <w:right w:type="dxa" w:w="120"/>
            </w:tcMar>
            <w:vAlign w:val="top"/>
          </w:tcPr>
          <w:p>
            <w:r>
              <w:t xml:space="preserve">A — Already established</w:t>
            </w:r>
          </w:p>
        </w:tc>
        <w:tc>
          <w:tcPr>
            <w:tcW w:type="dxa" w:w="5760"/>
            <w:shd w:fill="F2F6F8" w:val="clear"/>
            <w:tcMar>
              <w:top w:type="dxa" w:w="80"/>
              <w:left w:type="dxa" w:w="120"/>
              <w:bottom w:type="dxa" w:w="80"/>
              <w:right w:type="dxa" w:w="120"/>
            </w:tcMar>
            <w:vAlign w:val="top"/>
          </w:tcPr>
          <w:p>
            <w:r>
              <w:t xml:space="preserve">Standard software-engineering pattern (adapter/strategy); no research novelty claim is defensible here.</w:t>
            </w:r>
          </w:p>
        </w:tc>
      </w:tr>
      <w:tr>
        <w:tc>
          <w:tcPr>
            <w:tcW w:type="dxa" w:w="2400"/>
            <w:tcMar>
              <w:top w:type="dxa" w:w="80"/>
              <w:left w:type="dxa" w:w="120"/>
              <w:bottom w:type="dxa" w:w="80"/>
              <w:right w:type="dxa" w:w="120"/>
            </w:tcMar>
            <w:vAlign w:val="top"/>
          </w:tcPr>
          <w:p>
            <w:r>
              <w:t xml:space="preserve">Polyglot-aware upload security</w:t>
            </w:r>
          </w:p>
        </w:tc>
        <w:tc>
          <w:tcPr>
            <w:tcW w:type="dxa" w:w="1400"/>
            <w:tcMar>
              <w:top w:type="dxa" w:w="80"/>
              <w:left w:type="dxa" w:w="120"/>
              <w:bottom w:type="dxa" w:w="80"/>
              <w:right w:type="dxa" w:w="120"/>
            </w:tcMar>
            <w:vAlign w:val="top"/>
          </w:tcPr>
          <w:p>
            <w:r>
              <w:t xml:space="preserve">A — Already established (as research), not yet common in practice</w:t>
            </w:r>
          </w:p>
        </w:tc>
        <w:tc>
          <w:tcPr>
            <w:tcW w:type="dxa" w:w="5760"/>
            <w:tcMar>
              <w:top w:type="dxa" w:w="80"/>
              <w:left w:type="dxa" w:w="120"/>
              <w:bottom w:type="dxa" w:w="80"/>
              <w:right w:type="dxa" w:w="120"/>
            </w:tcMar>
            <w:vAlign w:val="top"/>
          </w:tcPr>
          <w:p>
            <w:r>
              <w:t xml:space="preserve">Koch et al. 2022 and WWW 2025 already do this rigorously; a student implementation would be applying existing research, not extending it.</w:t>
            </w:r>
          </w:p>
        </w:tc>
      </w:tr>
      <w:tr>
        <w:tc>
          <w:tcPr>
            <w:tcW w:type="dxa" w:w="2400"/>
            <w:shd w:fill="F2F6F8" w:val="clear"/>
            <w:tcMar>
              <w:top w:type="dxa" w:w="80"/>
              <w:left w:type="dxa" w:w="120"/>
              <w:bottom w:type="dxa" w:w="80"/>
              <w:right w:type="dxa" w:w="120"/>
            </w:tcMar>
            <w:vAlign w:val="top"/>
          </w:tcPr>
          <w:p>
            <w:r>
              <w:t xml:space="preserve">CDR-integrated upload systems</w:t>
            </w:r>
          </w:p>
        </w:tc>
        <w:tc>
          <w:tcPr>
            <w:tcW w:type="dxa" w:w="1400"/>
            <w:shd w:fill="F2F6F8" w:val="clear"/>
            <w:tcMar>
              <w:top w:type="dxa" w:w="80"/>
              <w:left w:type="dxa" w:w="120"/>
              <w:bottom w:type="dxa" w:w="80"/>
              <w:right w:type="dxa" w:w="120"/>
            </w:tcMar>
            <w:vAlign w:val="top"/>
          </w:tcPr>
          <w:p>
            <w:r>
              <w:t xml:space="preserve">C — Novel combination for this specific pipeline shape</w:t>
            </w:r>
          </w:p>
        </w:tc>
        <w:tc>
          <w:tcPr>
            <w:tcW w:type="dxa" w:w="5760"/>
            <w:shd w:fill="F2F6F8" w:val="clear"/>
            <w:tcMar>
              <w:top w:type="dxa" w:w="80"/>
              <w:left w:type="dxa" w:w="120"/>
              <w:bottom w:type="dxa" w:w="80"/>
              <w:right w:type="dxa" w:w="120"/>
            </w:tcMar>
            <w:vAlign w:val="top"/>
          </w:tcPr>
          <w:p>
            <w:r>
              <w:t xml:space="preserve">Dubin group's CDR work is per-file-analysis, not integrated into a quarantine-then-promote cloud pipeline with IAM separation; combining the two is a legitimate, citable novel combination even though neither half is new.</w:t>
            </w:r>
          </w:p>
        </w:tc>
      </w:tr>
      <w:tr>
        <w:tc>
          <w:tcPr>
            <w:tcW w:type="dxa" w:w="2400"/>
            <w:tcMar>
              <w:top w:type="dxa" w:w="80"/>
              <w:left w:type="dxa" w:w="120"/>
              <w:bottom w:type="dxa" w:w="80"/>
              <w:right w:type="dxa" w:w="120"/>
            </w:tcMar>
            <w:vAlign w:val="top"/>
          </w:tcPr>
          <w:p>
            <w:r>
              <w:t xml:space="preserve">Cross-cloud upload security</w:t>
            </w:r>
          </w:p>
        </w:tc>
        <w:tc>
          <w:tcPr>
            <w:tcW w:type="dxa" w:w="1400"/>
            <w:tcMar>
              <w:top w:type="dxa" w:w="80"/>
              <w:left w:type="dxa" w:w="120"/>
              <w:bottom w:type="dxa" w:w="80"/>
              <w:right w:type="dxa" w:w="120"/>
            </w:tcMar>
            <w:vAlign w:val="top"/>
          </w:tcPr>
          <w:p>
            <w:r>
              <w:t xml:space="preserve">B — Incremental engineering</w:t>
            </w:r>
          </w:p>
        </w:tc>
        <w:tc>
          <w:tcPr>
            <w:tcW w:type="dxa" w:w="5760"/>
            <w:tcMar>
              <w:top w:type="dxa" w:w="80"/>
              <w:left w:type="dxa" w:w="120"/>
              <w:bottom w:type="dxa" w:w="80"/>
              <w:right w:type="dxa" w:w="120"/>
            </w:tcMar>
            <w:vAlign w:val="top"/>
          </w:tcPr>
          <w:p>
            <w:r>
              <w:t xml:space="preserve">Multi-cloud backup is a resilience pattern, not a security one (see Section 5.2); no security novelty here regardless of framing.</w:t>
            </w:r>
          </w:p>
        </w:tc>
      </w:tr>
      <w:tr>
        <w:tc>
          <w:tcPr>
            <w:tcW w:type="dxa" w:w="2400"/>
            <w:shd w:fill="F2F6F8" w:val="clear"/>
            <w:tcMar>
              <w:top w:type="dxa" w:w="80"/>
              <w:left w:type="dxa" w:w="120"/>
              <w:bottom w:type="dxa" w:w="80"/>
              <w:right w:type="dxa" w:w="120"/>
            </w:tcMar>
            <w:vAlign w:val="top"/>
          </w:tcPr>
          <w:p>
            <w:r>
              <w:t xml:space="preserve">Artifact identity (treating a specific scanned byte sequence as the unit of trust, not a filename/key)</w:t>
            </w:r>
          </w:p>
        </w:tc>
        <w:tc>
          <w:tcPr>
            <w:tcW w:type="dxa" w:w="1400"/>
            <w:shd w:fill="F2F6F8" w:val="clear"/>
            <w:tcMar>
              <w:top w:type="dxa" w:w="80"/>
              <w:left w:type="dxa" w:w="120"/>
              <w:bottom w:type="dxa" w:w="80"/>
              <w:right w:type="dxa" w:w="120"/>
            </w:tcMar>
            <w:vAlign w:val="top"/>
          </w:tcPr>
          <w:p>
            <w:r>
              <w:t xml:space="preserve">C — Novel combination</w:t>
            </w:r>
          </w:p>
        </w:tc>
        <w:tc>
          <w:tcPr>
            <w:tcW w:type="dxa" w:w="5760"/>
            <w:shd w:fill="F2F6F8" w:val="clear"/>
            <w:tcMar>
              <w:top w:type="dxa" w:w="80"/>
              <w:left w:type="dxa" w:w="120"/>
              <w:bottom w:type="dxa" w:w="80"/>
              <w:right w:type="dxa" w:w="120"/>
            </w:tcMar>
            <w:vAlign w:val="top"/>
          </w:tcPr>
          <w:p>
            <w:r>
              <w:t xml:space="preserve">This is the conceptual core that fixes the TOCTOU gap (Section 4); it combines hash-binding and versioning in a way not found packaged together as a named concept in this survey's results.</w:t>
            </w:r>
          </w:p>
        </w:tc>
      </w:tr>
      <w:tr>
        <w:tc>
          <w:tcPr>
            <w:tcW w:type="dxa" w:w="2400"/>
            <w:tcMar>
              <w:top w:type="dxa" w:w="80"/>
              <w:left w:type="dxa" w:w="120"/>
              <w:bottom w:type="dxa" w:w="80"/>
              <w:right w:type="dxa" w:w="120"/>
            </w:tcMar>
            <w:vAlign w:val="top"/>
          </w:tcPr>
          <w:p>
            <w:r>
              <w:t xml:space="preserve">TOCTOU-resistant file promotion</w:t>
            </w:r>
          </w:p>
        </w:tc>
        <w:tc>
          <w:tcPr>
            <w:tcW w:type="dxa" w:w="1400"/>
            <w:tcMar>
              <w:top w:type="dxa" w:w="80"/>
              <w:left w:type="dxa" w:w="120"/>
              <w:bottom w:type="dxa" w:w="80"/>
              <w:right w:type="dxa" w:w="120"/>
            </w:tcMar>
            <w:vAlign w:val="top"/>
          </w:tcPr>
          <w:p>
            <w:r>
              <w:t xml:space="preserve">D — Potential research contribution</w:t>
            </w:r>
          </w:p>
        </w:tc>
        <w:tc>
          <w:tcPr>
            <w:tcW w:type="dxa" w:w="5760"/>
            <w:tcMar>
              <w:top w:type="dxa" w:w="80"/>
              <w:left w:type="dxa" w:w="120"/>
              <w:bottom w:type="dxa" w:w="80"/>
              <w:right w:type="dxa" w:w="120"/>
            </w:tcMar>
            <w:vAlign w:val="top"/>
          </w:tcPr>
          <w:p>
            <w:r>
              <w:t xml:space="preserve">Given the near-total absence of academic literature on this exact problem (Section 3.4), a rigorously evaluated promotion protocol (with a measured race-window closure) would be the most defensible research claim in this entire project.</w:t>
            </w:r>
          </w:p>
        </w:tc>
      </w:tr>
    </w:tbl>
    <w:p>
      <w:pPr>
        <w:spacing w:after="160"/>
      </w:pPr>
      <w:r>
        <w:t xml:space="preserve">Overall verdict: the project's most credible claim to originality is not any single component (each one, taken alone, is established or incremental) but the combination of version-bound decisions, hash-bound promotion, and IAM-level privilege separation into a single, evaluated pipeline — and, if time allows, a small, honestly-scoped empirical study of the TOCTOU window itself, which is the one area this survey found genuinely unaddressed in the literature.</w:t>
      </w:r>
    </w:p>
    <w:p>
      <w:pPr>
        <w:pStyle w:val="Heading1"/>
        <w:spacing w:after="160" w:before="360"/>
      </w:pPr>
      <w:r>
        <w:t xml:space="preserve">8. Proposed Architecture (Literature-Derived)</w:t>
      </w:r>
    </w:p>
    <w:p>
      <w:pPr>
        <w:spacing w:after="160"/>
      </w:pPr>
      <w:r>
        <w:t xml:space="preserve">The architecture below matches the privilege-separated design developed in this project's earlier security review, now with each design choice tied to a specific literature or standards source rather than general security intuition:</w:t>
      </w:r>
    </w:p>
    <w:p>
      <w:pPr>
        <w:pStyle w:val="ListParagraph"/>
        <w:numPr>
          <w:ilvl w:val="0"/>
          <w:numId w:val="2"/>
        </w:numPr>
        <w:spacing w:after="80"/>
      </w:pPr>
      <w:r>
        <w:t xml:space="preserve">Quarantine-first ingestion with a server-generated object key (never derived from client input) — standard practice; no literature objection.</w:t>
      </w:r>
    </w:p>
    <w:p>
      <w:pPr>
        <w:pStyle w:val="ListParagraph"/>
        <w:numPr>
          <w:ilvl w:val="0"/>
          <w:numId w:val="2"/>
        </w:numPr>
        <w:spacing w:after="80"/>
      </w:pPr>
      <w:r>
        <w:t xml:space="preserve">Object versioning on the quarantine bucket, with the decision record binding to a specific version ID and content hash — addresses the TOCTOU gap identified in Sections 3.4 and 4, in the absence of a more specific published protocol.</w:t>
      </w:r>
    </w:p>
    <w:p>
      <w:pPr>
        <w:pStyle w:val="ListParagraph"/>
        <w:numPr>
          <w:ilvl w:val="0"/>
          <w:numId w:val="2"/>
        </w:numPr>
        <w:spacing w:after="80"/>
      </w:pPr>
      <w:r>
        <w:t xml:space="preserve">Magic-byte + structural validation ahead of signature scanning, with explicit non-reliance on "first format match" — directly informed by Jana &amp; Shmatikov (2012) and the 2022/2025 polyglot papers.</w:t>
      </w:r>
    </w:p>
    <w:p>
      <w:pPr>
        <w:pStyle w:val="ListParagraph"/>
        <w:numPr>
          <w:ilvl w:val="0"/>
          <w:numId w:val="2"/>
        </w:numPr>
        <w:spacing w:after="80"/>
      </w:pPr>
      <w:r>
        <w:t xml:space="preserve">Archive inspection using resource-consumption ceilings during streamed decompression, not nesting-depth checks alone — directly informed by Fifield (2019) and Pellegrino et al. (2015).</w:t>
      </w:r>
    </w:p>
    <w:p>
      <w:pPr>
        <w:pStyle w:val="ListParagraph"/>
        <w:numPr>
          <w:ilvl w:val="0"/>
          <w:numId w:val="2"/>
        </w:numPr>
        <w:spacing w:after="80"/>
      </w:pPr>
      <w:r>
        <w:t xml:space="preserve">ClamAV as the MVP scanner behind a pluggable interface, with CDR for 1–2 document/image formats as the literature-strongest advanced-phase addition — informed by the Dubin group's body of work and the ML-limitation surveys.</w:t>
      </w:r>
    </w:p>
    <w:p>
      <w:pPr>
        <w:pStyle w:val="ListParagraph"/>
        <w:numPr>
          <w:ilvl w:val="0"/>
          <w:numId w:val="2"/>
        </w:numPr>
        <w:spacing w:after="80"/>
      </w:pPr>
      <w:r>
        <w:t xml:space="preserve">IAM-role separation across ingest, scanning, decision, and promotion stages — a direct least-privilege/Zero Trust application (Springer 2024 DR-TBAC paper; arXiv:2309.03582).</w:t>
      </w:r>
    </w:p>
    <w:p>
      <w:pPr>
        <w:pStyle w:val="ListParagraph"/>
        <w:numPr>
          <w:ilvl w:val="0"/>
          <w:numId w:val="2"/>
        </w:numPr>
        <w:spacing w:after="80"/>
      </w:pPr>
      <w:r>
        <w:t xml:space="preserve">Append-only (INSERT-only role), Merkle-tree-upgradable audit logging — informed by Crosby &amp; Wallach (2009), deliberately choosing this over blockchain per the explicit threat-model justification found in the 2026 arXiv audit-integrity paper.</w:t>
      </w:r>
    </w:p>
    <w:p>
      <w:pPr>
        <w:spacing w:after="160"/>
      </w:pPr>
      <w:r>
        <w:t xml:space="preserve">The full architecture diagram, IAM-zone breakdown, and per-finding rationale were developed in the preceding security-review stage of this project and are not repeated here in full; this section confirms that stage's decisions against the literature rather than superseding them.</w:t>
      </w:r>
    </w:p>
    <w:p>
      <w:pPr>
        <w:pStyle w:val="Heading1"/>
        <w:spacing w:after="160" w:before="360"/>
      </w:pPr>
      <w:r>
        <w:t xml:space="preserve">9. Implementation Recommendations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rPr>
          <w:tblHeader/>
        </w:trPr>
        <w:tc>
          <w:tcPr>
            <w:tcW w:type="dxa" w:w="1800"/>
            <w:shd w:fill="1F3B57" w:val="clear"/>
            <w:tcMar>
              <w:top w:type="dxa" w:w="80"/>
              <w:left w:type="dxa" w:w="120"/>
              <w:bottom w:type="dxa" w:w="80"/>
              <w:right w:type="dxa" w:w="120"/>
            </w:tcMar>
            <w:vAlign w:val="top"/>
          </w:tcPr>
          <w:p>
            <w:r>
              <w:rPr>
                <w:b/>
                <w:bCs/>
                <w:color w:val="FFFFFF"/>
              </w:rPr>
              <w:t xml:space="preserve">Category</w:t>
            </w:r>
          </w:p>
        </w:tc>
        <w:tc>
          <w:tcPr>
            <w:tcW w:type="dxa" w:w="7360"/>
            <w:shd w:fill="1F3B57" w:val="clear"/>
            <w:tcMar>
              <w:top w:type="dxa" w:w="80"/>
              <w:left w:type="dxa" w:w="120"/>
              <w:bottom w:type="dxa" w:w="80"/>
              <w:right w:type="dxa" w:w="120"/>
            </w:tcMar>
            <w:vAlign w:val="top"/>
          </w:tcPr>
          <w:p>
            <w:r>
              <w:rPr>
                <w:b/>
                <w:bCs/>
                <w:color w:val="FFFFFF"/>
              </w:rPr>
              <w:t xml:space="preserve">Items</w:t>
            </w:r>
          </w:p>
        </w:tc>
      </w:tr>
      <w:tr>
        <w:tc>
          <w:tcPr>
            <w:tcW w:type="dxa" w:w="1800"/>
            <w:tcMar>
              <w:top w:type="dxa" w:w="80"/>
              <w:left w:type="dxa" w:w="120"/>
              <w:bottom w:type="dxa" w:w="80"/>
              <w:right w:type="dxa" w:w="120"/>
            </w:tcMar>
            <w:vAlign w:val="top"/>
          </w:tcPr>
          <w:p>
            <w:r>
              <w:t xml:space="preserve">MUST BUILD</w:t>
            </w:r>
          </w:p>
        </w:tc>
        <w:tc>
          <w:tcPr>
            <w:tcW w:type="dxa" w:w="7360"/>
            <w:tcMar>
              <w:top w:type="dxa" w:w="80"/>
              <w:left w:type="dxa" w:w="120"/>
              <w:bottom w:type="dxa" w:w="80"/>
              <w:right w:type="dxa" w:w="120"/>
            </w:tcMar>
            <w:vAlign w:val="top"/>
          </w:tcPr>
          <w:p>
            <w:r>
              <w:t xml:space="preserve">Auth (JWT, short-lived, algorithm-pinned) + RBAC; policy engine; quarantine storage with versioning; extension/MIME/magic-byte/structural validation; server-generated object keys; ClamAV scanning behind a pluggable interface; deterministic risk/decision engine (default-deny); hash-bound, version-checked promotion; AWS S3 clean storage with conditional writes; INSERT-only audit logging; REST API + minimal SDK</w:t>
            </w:r>
          </w:p>
        </w:tc>
      </w:tr>
      <w:tr>
        <w:tc>
          <w:tcPr>
            <w:tcW w:type="dxa" w:w="1800"/>
            <w:shd w:fill="F2F6F8" w:val="clear"/>
            <w:tcMar>
              <w:top w:type="dxa" w:w="80"/>
              <w:left w:type="dxa" w:w="120"/>
              <w:bottom w:type="dxa" w:w="80"/>
              <w:right w:type="dxa" w:w="120"/>
            </w:tcMar>
            <w:vAlign w:val="top"/>
          </w:tcPr>
          <w:p>
            <w:r>
              <w:t xml:space="preserve">SHOULD BUILD</w:t>
            </w:r>
          </w:p>
        </w:tc>
        <w:tc>
          <w:tcPr>
            <w:tcW w:type="dxa" w:w="7360"/>
            <w:shd w:fill="F2F6F8" w:val="clear"/>
            <w:tcMar>
              <w:top w:type="dxa" w:w="80"/>
              <w:left w:type="dxa" w:w="120"/>
              <w:bottom w:type="dxa" w:w="80"/>
              <w:right w:type="dxa" w:w="120"/>
            </w:tcMar>
            <w:vAlign w:val="top"/>
          </w:tcPr>
          <w:p>
            <w:r>
              <w:t xml:space="preserve">GCS backup replication (event-triggered, per-object, not standing broad-access); KMS envelope encryption; basic rate limiting plus per-scan resource/timeout caps; basic dashboard (SELECT-only role)</w:t>
            </w:r>
          </w:p>
        </w:tc>
      </w:tr>
      <w:tr>
        <w:tc>
          <w:tcPr>
            <w:tcW w:type="dxa" w:w="1800"/>
            <w:tcMar>
              <w:top w:type="dxa" w:w="80"/>
              <w:left w:type="dxa" w:w="120"/>
              <w:bottom w:type="dxa" w:w="80"/>
              <w:right w:type="dxa" w:w="120"/>
            </w:tcMar>
            <w:vAlign w:val="top"/>
          </w:tcPr>
          <w:p>
            <w:r>
              <w:t xml:space="preserve">ADVANCED (if MVP lands early)</w:t>
            </w:r>
          </w:p>
        </w:tc>
        <w:tc>
          <w:tcPr>
            <w:tcW w:type="dxa" w:w="7360"/>
            <w:tcMar>
              <w:top w:type="dxa" w:w="80"/>
              <w:left w:type="dxa" w:w="120"/>
              <w:bottom w:type="dxa" w:w="80"/>
              <w:right w:type="dxa" w:w="120"/>
            </w:tcMar>
            <w:vAlign w:val="top"/>
          </w:tcPr>
          <w:p>
            <w:r>
              <w:t xml:space="preserve">CDR for 1–2 formats (PDF and/or images, following Dubin group methodology); Merkle-tree/hash-chained audit log upgrade; webhooks for decision events; a small, rigorously-scoped empirical study of the TOCTOU race window as the project's research contribution</w:t>
            </w:r>
          </w:p>
        </w:tc>
      </w:tr>
      <w:tr>
        <w:tc>
          <w:tcPr>
            <w:tcW w:type="dxa" w:w="1800"/>
            <w:shd w:fill="F2F6F8" w:val="clear"/>
            <w:tcMar>
              <w:top w:type="dxa" w:w="80"/>
              <w:left w:type="dxa" w:w="120"/>
              <w:bottom w:type="dxa" w:w="80"/>
              <w:right w:type="dxa" w:w="120"/>
            </w:tcMar>
            <w:vAlign w:val="top"/>
          </w:tcPr>
          <w:p>
            <w:r>
              <w:t xml:space="preserve">FUTURE WORK (name, do not attempt)</w:t>
            </w:r>
          </w:p>
        </w:tc>
        <w:tc>
          <w:tcPr>
            <w:tcW w:type="dxa" w:w="7360"/>
            <w:shd w:fill="F2F6F8" w:val="clear"/>
            <w:tcMar>
              <w:top w:type="dxa" w:w="80"/>
              <w:left w:type="dxa" w:w="120"/>
              <w:bottom w:type="dxa" w:w="80"/>
              <w:right w:type="dxa" w:w="120"/>
            </w:tcMar>
            <w:vAlign w:val="top"/>
          </w:tcPr>
          <w:p>
            <w:r>
              <w:t xml:space="preserve">Multi-scanner support; polyglot-specific ML classification; SIEM integration; policy-as-code DSL; multi-tenant architecture beyond per-application policy scoping</w:t>
            </w:r>
          </w:p>
        </w:tc>
      </w:tr>
      <w:tr>
        <w:tc>
          <w:tcPr>
            <w:tcW w:type="dxa" w:w="1800"/>
            <w:tcMar>
              <w:top w:type="dxa" w:w="80"/>
              <w:left w:type="dxa" w:w="120"/>
              <w:bottom w:type="dxa" w:w="80"/>
              <w:right w:type="dxa" w:w="120"/>
            </w:tcMar>
            <w:vAlign w:val="top"/>
          </w:tcPr>
          <w:p>
            <w:r>
              <w:t xml:space="preserve">DO NOT BUILD</w:t>
            </w:r>
          </w:p>
        </w:tc>
        <w:tc>
          <w:tcPr>
            <w:tcW w:type="dxa" w:w="7360"/>
            <w:tcMar>
              <w:top w:type="dxa" w:w="80"/>
              <w:left w:type="dxa" w:w="120"/>
              <w:bottom w:type="dxa" w:w="80"/>
              <w:right w:type="dxa" w:w="120"/>
            </w:tcMar>
            <w:vAlign w:val="top"/>
          </w:tcPr>
          <w:p>
            <w:r>
              <w:t xml:space="preserve">General-purpose sandboxing/detonation; blockchain-based audit logging; Kubernetes; general ML anomaly detection without a specific, evidenced use case</w:t>
            </w:r>
          </w:p>
        </w:tc>
      </w:tr>
    </w:tbl>
    <w:p>
      <w:pPr>
        <w:pStyle w:val="Heading1"/>
        <w:spacing w:after="160" w:before="360"/>
      </w:pPr>
      <w:r>
        <w:t xml:space="preserve">10. Evaluation Methodology</w:t>
      </w:r>
    </w:p>
    <w:p>
      <w:pPr>
        <w:spacing w:after="160"/>
      </w:pPr>
      <w:r>
        <w:t xml:space="preserve">Grounded in how the surveyed papers evaluated comparable systems (particularly the Dubin-group CDR papers and the polyglot-detection papers), the demo/evaluation should report:</w:t>
      </w:r>
    </w:p>
    <w:p>
      <w:pPr>
        <w:pStyle w:val="ListParagraph"/>
        <w:numPr>
          <w:ilvl w:val="0"/>
          <w:numId w:val="2"/>
        </w:numPr>
        <w:spacing w:after="80"/>
      </w:pPr>
      <w:r>
        <w:t xml:space="preserve">Detection/decision accuracy on a benign test set (should show zero false BLOCKs) and a safe malicious-signature test set (EICAR and similar test strings only — never real malware, consistent with the original brief's own instruction).</w:t>
      </w:r>
    </w:p>
    <w:p>
      <w:pPr>
        <w:pStyle w:val="ListParagraph"/>
        <w:numPr>
          <w:ilvl w:val="0"/>
          <w:numId w:val="2"/>
        </w:numPr>
        <w:spacing w:after="80"/>
      </w:pPr>
      <w:r>
        <w:t xml:space="preserve">Prevention rate and any fidelity loss, if CDR is implemented, following the Dubin-group pattern of measuring both disarm success and reconstructed-file usability.</w:t>
      </w:r>
    </w:p>
    <w:p>
      <w:pPr>
        <w:pStyle w:val="ListParagraph"/>
        <w:numPr>
          <w:ilvl w:val="0"/>
          <w:numId w:val="2"/>
        </w:numPr>
        <w:spacing w:after="80"/>
      </w:pPr>
      <w:r>
        <w:t xml:space="preserve">Resource-exhaustion resistance: measured behavior against Fifield-style non-recursive zip bombs and Pellegrino-style high-ratio compressed payloads, capped by the resource ceilings in Section 8 — report time-to-reject and peak memory, not just pass/fail.</w:t>
      </w:r>
    </w:p>
    <w:p>
      <w:pPr>
        <w:pStyle w:val="ListParagraph"/>
        <w:numPr>
          <w:ilvl w:val="0"/>
          <w:numId w:val="2"/>
        </w:numPr>
        <w:spacing w:after="80"/>
      </w:pPr>
      <w:r>
        <w:t xml:space="preserve">A TOCTOU race test: concurrent upload/overwrite attempts against the same logical destination, verifying the conditional-write and version-hash-check controls actually block promotion of substituted content.</w:t>
      </w:r>
    </w:p>
    <w:p>
      <w:pPr>
        <w:pStyle w:val="ListParagraph"/>
        <w:numPr>
          <w:ilvl w:val="0"/>
          <w:numId w:val="2"/>
        </w:numPr>
        <w:spacing w:after="80"/>
      </w:pPr>
      <w:r>
        <w:t xml:space="preserve">Audit log integrity check: attempt (from a test harness, not a real attacker) to modify or delete a log entry using each service's own credentials, and confirm it is structurally rejected by the INSERT-only DB role.</w:t>
      </w:r>
    </w:p>
    <w:p>
      <w:pPr>
        <w:pStyle w:val="Heading1"/>
        <w:spacing w:after="160" w:before="360"/>
      </w:pPr>
      <w:r>
        <w:t xml:space="preserve">11. Limitations</w:t>
      </w:r>
    </w:p>
    <w:p>
      <w:pPr>
        <w:pStyle w:val="ListParagraph"/>
        <w:numPr>
          <w:ilvl w:val="0"/>
          <w:numId w:val="2"/>
        </w:numPr>
        <w:spacing w:after="80"/>
      </w:pPr>
      <w:r>
        <w:t xml:space="preserve">This survey used general web search rather than a dedicated academic index; coverage may be incomplete in areas with less indexable content (e.g., recent non-open-access venues).</w:t>
      </w:r>
    </w:p>
    <w:p>
      <w:pPr>
        <w:pStyle w:val="ListParagraph"/>
        <w:numPr>
          <w:ilvl w:val="0"/>
          <w:numId w:val="2"/>
        </w:numPr>
        <w:spacing w:after="80"/>
      </w:pPr>
      <w:r>
        <w:t xml:space="preserve">Several sources (RTF-CDR, OLE-CDR papers) were confirmed by title/venue/topic but their full author lists and abstracts were not independently retrieved in this session beyond what appeared in search snippets; they are attributed to the Dubin group based on consistent authorship and citation patterns across the confirmed PDF-CDR and Image-CDR papers, and this attribution should be verified directly against the papers before being stated as fact in a submitted report.</w:t>
      </w:r>
    </w:p>
    <w:p>
      <w:pPr>
        <w:pStyle w:val="ListParagraph"/>
        <w:numPr>
          <w:ilvl w:val="0"/>
          <w:numId w:val="2"/>
        </w:numPr>
        <w:spacing w:after="80"/>
      </w:pPr>
      <w:r>
        <w:t xml:space="preserve">The TOCTOU and presigned-URL sections rely on CVE and vendor evidence rather than peer-reviewed sources, because none of appropriate specificity were found — this is stated as a finding, but it does mean that section of the threat model carries a different evidentiary standard than the rest of the report.</w:t>
      </w:r>
    </w:p>
    <w:p>
      <w:pPr>
        <w:pStyle w:val="ListParagraph"/>
        <w:numPr>
          <w:ilvl w:val="0"/>
          <w:numId w:val="2"/>
        </w:numPr>
        <w:spacing w:after="80"/>
      </w:pPr>
      <w:r>
        <w:t xml:space="preserve">Citation counts and "highly cited" characterizations are based only on the counts visible in the search snippets retrieved (mainly Semantic Scholar) and were not independently re-verified against a citation database at time of writing.</w:t>
      </w:r>
    </w:p>
    <w:p>
      <w:pPr>
        <w:pStyle w:val="Heading1"/>
        <w:spacing w:after="160" w:before="360"/>
      </w:pPr>
      <w:r>
        <w:t xml:space="preserve">12. Future Work</w:t>
      </w:r>
    </w:p>
    <w:p>
      <w:pPr>
        <w:pStyle w:val="ListParagraph"/>
        <w:numPr>
          <w:ilvl w:val="0"/>
          <w:numId w:val="2"/>
        </w:numPr>
        <w:spacing w:after="80"/>
      </w:pPr>
      <w:r>
        <w:t xml:space="preserve">A controlled empirical study of TOCTOU race-window exploitability across S3 and GCS conditional-write mechanisms — the clearest unaddressed gap this survey found.</w:t>
      </w:r>
    </w:p>
    <w:p>
      <w:pPr>
        <w:pStyle w:val="ListParagraph"/>
        <w:numPr>
          <w:ilvl w:val="0"/>
          <w:numId w:val="2"/>
        </w:numPr>
        <w:spacing w:after="80"/>
      </w:pPr>
      <w:r>
        <w:t xml:space="preserve">Extending CDR to additional file types beyond the 1–2 chosen for the MVP, following the Dubin group's per-format methodology.</w:t>
      </w:r>
    </w:p>
    <w:p>
      <w:pPr>
        <w:pStyle w:val="ListParagraph"/>
        <w:numPr>
          <w:ilvl w:val="0"/>
          <w:numId w:val="2"/>
        </w:numPr>
        <w:spacing w:after="80"/>
      </w:pPr>
      <w:r>
        <w:t xml:space="preserve">A follow-up literature pass using a dedicated academic search tool (Consensus, Google Scholar API, or institutional library access) to close the coverage gaps noted in Section 11.</w:t>
      </w:r>
    </w:p>
    <w:p>
      <w:pPr>
        <w:pStyle w:val="Heading1"/>
        <w:spacing w:after="160" w:before="360"/>
      </w:pPr>
      <w:r>
        <w:t xml:space="preserve">13. Conclusion</w:t>
      </w:r>
    </w:p>
    <w:p>
      <w:pPr>
        <w:spacing w:after="160"/>
      </w:pPr>
      <w:r>
        <w:t xml:space="preserve">What should actually be built, based on the evidence: a privilege-separated, quarantine-first upload gateway with version-bound, hash-verified promotion; deterministic (not ML-based) validation for the MVP; ClamAV scanning with its limitations stated rather than implied away; and Content Disarm and Reconstruction, scoped to one or two file formats, as the strongest available advanced-phase addition. This combination is directly supported by the literature reviewed in Sections 3–5.</w:t>
      </w:r>
    </w:p>
    <w:p>
      <w:pPr>
        <w:spacing w:after="160"/>
      </w:pPr>
      <w:r>
        <w:t xml:space="preserve">The project's defensible contribution relative to existing research and commercial capability is narrow but real: no single component here is novel, but the specific combination of object-version-bound security decisions with IAM-level privilege separation across the ingest/scan/decide/promote pipeline stages was not found documented together anywhere in this survey's results (Section 7). If time permits a small, rigorously measured evaluation of the TOCTOU race window specifically, that would be the one piece of this project capable of standing as an actual, if modest, research contribution rather than an application of known controls — because that is the one sub-area (Section 3.4, Section 6.1) where this survey found the academic literature to be genuinely silent.</w:t>
      </w:r>
    </w:p>
    <w:p>
      <w:pPr>
        <w:pStyle w:val="Heading1"/>
        <w:spacing w:after="160" w:before="360"/>
      </w:pPr>
      <w:r>
        <w:t xml:space="preserve">14. References</w:t>
      </w:r>
    </w:p>
    <w:p>
      <w:pPr>
        <w:spacing w:after="160"/>
        <w:ind w:left="360" w:hanging="360"/>
      </w:pPr>
      <w:r>
        <w:t xml:space="preserve">Ahmad, A., Saad, M., Bassiouni, M., &amp; Mohaisen, A. (2018). Towards Blockchain-Driven, Secure and Transparent Audit Logs. arXiv preprint arXiv:1811.09944.  </w:t>
      </w:r>
      <w:hyperlink w:history="1" r:id="rIdp86xkej4bzmjlr_a0rlmg">
        <w:r>
          <w:rPr>
            <w:rStyle w:val="Hyperlink"/>
          </w:rPr>
          <w:t xml:space="preserve">View source</w:t>
        </w:r>
      </w:hyperlink>
    </w:p>
    <w:p>
      <w:pPr>
        <w:spacing w:after="160"/>
        <w:ind w:left="360" w:hanging="360"/>
      </w:pPr>
      <w:r>
        <w:t xml:space="preserve">Belkind, E., Dubin, R., &amp; Dvir, A. (2023). Open Image Content Disarm And Reconstruction.  </w:t>
      </w:r>
      <w:hyperlink w:history="1" r:id="rIdhit--bmpyyf6ef1qtkbet">
        <w:r>
          <w:rPr>
            <w:rStyle w:val="Hyperlink"/>
          </w:rPr>
          <w:t xml:space="preserve">View source</w:t>
        </w:r>
      </w:hyperlink>
    </w:p>
    <w:p>
      <w:pPr>
        <w:spacing w:after="160"/>
        <w:ind w:left="360" w:hanging="360"/>
      </w:pPr>
      <w:r>
        <w:t xml:space="preserve">Crosby, S. A., &amp; Wallach, D. S. (2009). Efficient Data Structures for Tamper-Evident Logging. USENIX Security Symposium. (as cited in arXiv:2605.00065)  </w:t>
      </w:r>
      <w:hyperlink w:history="1" r:id="rIdb1aomhgtb61auihlv2gmt">
        <w:r>
          <w:rPr>
            <w:rStyle w:val="Hyperlink"/>
          </w:rPr>
          <w:t xml:space="preserve">View source</w:t>
        </w:r>
      </w:hyperlink>
    </w:p>
    <w:p>
      <w:pPr>
        <w:spacing w:after="160"/>
        <w:ind w:left="360" w:hanging="360"/>
      </w:pPr>
      <w:r>
        <w:t xml:space="preserve">CWE-434: Unrestricted Upload of File with Dangerous Type. MITRE Common Weakness Enumeration.  </w:t>
      </w:r>
      <w:hyperlink w:history="1" r:id="rIdnhgdgbj6xb2sc8retf8m4">
        <w:r>
          <w:rPr>
            <w:rStyle w:val="Hyperlink"/>
          </w:rPr>
          <w:t xml:space="preserve">View source</w:t>
        </w:r>
      </w:hyperlink>
    </w:p>
    <w:p>
      <w:pPr>
        <w:spacing w:after="160"/>
        <w:ind w:left="360" w:hanging="360"/>
      </w:pPr>
      <w:r>
        <w:t xml:space="preserve">Damodaran, A., Di Troia, F., Visaggio, C. A., Austin, T. H., &amp; Stamp, M. (2017). A comparison of static, dynamic, and hybrid analysis for malware detection. Journal of Computer Virology and Hacking Techniques, 13(1), 1–12. (as cited in arXiv:2208.07049)  </w:t>
      </w:r>
      <w:hyperlink w:history="1" r:id="rIdlx-tneoon-23uoayvn20o">
        <w:r>
          <w:rPr>
            <w:rStyle w:val="Hyperlink"/>
          </w:rPr>
          <w:t xml:space="preserve">View source</w:t>
        </w:r>
      </w:hyperlink>
    </w:p>
    <w:p>
      <w:pPr>
        <w:spacing w:after="160"/>
        <w:ind w:left="360" w:hanging="360"/>
      </w:pPr>
      <w:r>
        <w:t xml:space="preserve">Dubin, R. (2023). Content Disarm and Reconstruction of PDF Files. IEEE Access, 11, 38399–38416. DOI: 10.1109/ACCESS.2023.3267717  </w:t>
      </w:r>
      <w:hyperlink w:history="1" r:id="rIdrmjcbcfco4gkq-0hwmr3r">
        <w:r>
          <w:rPr>
            <w:rStyle w:val="Hyperlink"/>
          </w:rPr>
          <w:t xml:space="preserve">View source</w:t>
        </w:r>
      </w:hyperlink>
    </w:p>
    <w:p>
      <w:pPr>
        <w:spacing w:after="160"/>
        <w:ind w:left="360" w:hanging="360"/>
      </w:pPr>
      <w:r>
        <w:t xml:space="preserve">Dubin, R. Content Disarm and Reconstruction of Microsoft Office OLE files. Computers &amp; Security (ScienceDirect).  </w:t>
      </w:r>
      <w:hyperlink w:history="1" r:id="rIdwhw3ej4beejzdu4o7qzwr">
        <w:r>
          <w:rPr>
            <w:rStyle w:val="Hyperlink"/>
          </w:rPr>
          <w:t xml:space="preserve">View source</w:t>
        </w:r>
      </w:hyperlink>
    </w:p>
    <w:p>
      <w:pPr>
        <w:spacing w:after="160"/>
        <w:ind w:left="360" w:hanging="360"/>
      </w:pPr>
      <w:r>
        <w:t xml:space="preserve">Dubin, R. Content Disarm and Reconstruction of RTF Files: a Zero File Trust Methodology. IEEE Xplore.  </w:t>
      </w:r>
      <w:hyperlink w:history="1" r:id="rIdqh72wdkjepdvvro1s6t9x">
        <w:r>
          <w:rPr>
            <w:rStyle w:val="Hyperlink"/>
          </w:rPr>
          <w:t xml:space="preserve">View source</w:t>
        </w:r>
      </w:hyperlink>
    </w:p>
    <w:p>
      <w:pPr>
        <w:spacing w:after="160"/>
        <w:ind w:left="360" w:hanging="360"/>
      </w:pPr>
      <w:r>
        <w:t xml:space="preserve">Egele, M., Scholte, T., Kirda, E., &amp; Kruegel, C. (2012). A survey on automated dynamic malware-analysis techniques and tools. ACM Computing Surveys, 44(2), 1–42.  </w:t>
      </w:r>
      <w:hyperlink w:history="1" r:id="rIde8wj8dofmq12_m2qlbi7m">
        <w:r>
          <w:rPr>
            <w:rStyle w:val="Hyperlink"/>
          </w:rPr>
          <w:t xml:space="preserve">View source</w:t>
        </w:r>
      </w:hyperlink>
    </w:p>
    <w:p>
      <w:pPr>
        <w:spacing w:after="160"/>
        <w:ind w:left="360" w:hanging="360"/>
      </w:pPr>
      <w:r>
        <w:t xml:space="preserve">Fifield, D. (2019). A better zip bomb. 13th USENIX Workshop on Offensive Technologies (WOOT '19). Best Paper Award.  </w:t>
      </w:r>
      <w:hyperlink w:history="1" r:id="rIdsnxq6uykjzqiaqkv8hysw">
        <w:r>
          <w:rPr>
            <w:rStyle w:val="Hyperlink"/>
          </w:rPr>
          <w:t xml:space="preserve">View source</w:t>
        </w:r>
      </w:hyperlink>
    </w:p>
    <w:p>
      <w:pPr>
        <w:spacing w:after="160"/>
        <w:ind w:left="360" w:hanging="360"/>
      </w:pPr>
      <w:r>
        <w:t xml:space="preserve">FileUploadChecker: Detecting and Sanitizing Malicious File Uploads in Web Applications at the Request Level. ACM Digital Library. DOI: 10.1145/3538969.3538999  </w:t>
      </w:r>
      <w:hyperlink w:history="1" r:id="rIdq0j014apm-nqtiejy89v_">
        <w:r>
          <w:rPr>
            <w:rStyle w:val="Hyperlink"/>
          </w:rPr>
          <w:t xml:space="preserve">View source</w:t>
        </w:r>
      </w:hyperlink>
    </w:p>
    <w:p>
      <w:pPr>
        <w:spacing w:after="160"/>
        <w:ind w:left="360" w:hanging="360"/>
      </w:pPr>
      <w:r>
        <w:t xml:space="preserve">Gilkarov, D., &amp; Dubin, R. (2025). Zero-Trust Artificial Intelligence Model Security Based on Moving Target Defense and Content Disarm and Reconstruction. arXiv preprint arXiv:2503.01758.  </w:t>
      </w:r>
      <w:hyperlink w:history="1" r:id="rIdhnr6dsovgwpzqnqpoa_n0">
        <w:r>
          <w:rPr>
            <w:rStyle w:val="Hyperlink"/>
          </w:rPr>
          <w:t xml:space="preserve">View source</w:t>
        </w:r>
      </w:hyperlink>
    </w:p>
    <w:p>
      <w:pPr>
        <w:spacing w:after="160"/>
        <w:ind w:left="360" w:hanging="360"/>
      </w:pPr>
      <w:r>
        <w:t xml:space="preserve">Jana, S., &amp; Shmatikov, V. (2012). Abusing File Processing in Malware Detectors for Fun and Profit. IEEE Symposium on Security and Privacy, 80–94. DOI: 10.1109/SP.2012.15  </w:t>
      </w:r>
      <w:hyperlink w:history="1" r:id="rIdbnb5ubd-icf12ucet4seg">
        <w:r>
          <w:rPr>
            <w:rStyle w:val="Hyperlink"/>
          </w:rPr>
          <w:t xml:space="preserve">View source</w:t>
        </w:r>
      </w:hyperlink>
    </w:p>
    <w:p>
      <w:pPr>
        <w:spacing w:after="160"/>
        <w:ind w:left="360" w:hanging="360"/>
      </w:pPr>
      <w:r>
        <w:t xml:space="preserve">Koch, L., et al. (2022). Toward the Detection of Polyglot Files. 15th Workshop on Cyber Security Experimentation and Test (CSET '22). DOI: 10.1145/3546096.3546106  </w:t>
      </w:r>
      <w:hyperlink w:history="1" r:id="rIdqaxybztdad5iebkj2ja57">
        <w:r>
          <w:rPr>
            <w:rStyle w:val="Hyperlink"/>
          </w:rPr>
          <w:t xml:space="preserve">View source</w:t>
        </w:r>
      </w:hyperlink>
    </w:p>
    <w:p>
      <w:pPr>
        <w:spacing w:after="160"/>
        <w:ind w:left="360" w:hanging="360"/>
      </w:pPr>
      <w:r>
        <w:t xml:space="preserve">On the Abuse and Detection of Polyglot Files. (2025). Proceedings of the ACM Web Conference 2025. DOI: 10.1145/3696410.3714814  </w:t>
      </w:r>
      <w:hyperlink w:history="1" r:id="rIda1armccz3ubzygwmc1jcz">
        <w:r>
          <w:rPr>
            <w:rStyle w:val="Hyperlink"/>
          </w:rPr>
          <w:t xml:space="preserve">View source</w:t>
        </w:r>
      </w:hyperlink>
    </w:p>
    <w:p>
      <w:pPr>
        <w:spacing w:after="160"/>
        <w:ind w:left="360" w:hanging="360"/>
      </w:pPr>
      <w:r>
        <w:t xml:space="preserve">Pellegrino, G., Balzarotti, D., Winter, S., &amp; Suri, N. (2015). In the Compression Hornet's Nest: A Security Study of Data Compression in Network Services. 24th USENIX Security Symposium, 801–816.  </w:t>
      </w:r>
      <w:hyperlink w:history="1" r:id="rIdwriieqtc9djj4ipbkyvru">
        <w:r>
          <w:rPr>
            <w:rStyle w:val="Hyperlink"/>
          </w:rPr>
          <w:t xml:space="preserve">View source</w:t>
        </w:r>
      </w:hyperlink>
    </w:p>
    <w:p>
      <w:pPr>
        <w:spacing w:after="160"/>
        <w:ind w:left="360" w:hanging="360"/>
      </w:pPr>
      <w:r>
        <w:t xml:space="preserve">Pinheiro, A., Canedo, E. D., de Sousa Junior, R. T., de Oliveira Albuquerque, R., García Villalba, L. J., &amp; Kim, T.-H. (2018). Security Architecture and Protocol for Trust Verifications Regarding the Integrity of Files Stored in Cloud Services. Sensors, 18(3), 753. DOI: 10.3390/s18030753  </w:t>
      </w:r>
      <w:hyperlink w:history="1" r:id="rIdckz96vzjxrynh1rnikol-">
        <w:r>
          <w:rPr>
            <w:rStyle w:val="Hyperlink"/>
          </w:rPr>
          <w:t xml:space="preserve">View source</w:t>
        </w:r>
      </w:hyperlink>
    </w:p>
    <w:p>
      <w:pPr>
        <w:spacing w:after="160"/>
        <w:ind w:left="360" w:hanging="360"/>
      </w:pPr>
      <w:r>
        <w:t xml:space="preserve">Putz, B., Menges, F., Pöhls, H. C., et al. A secure and auditable logging infrastructure based on a permissioned blockchain. Computers &amp; Security (ScienceDirect).  </w:t>
      </w:r>
      <w:hyperlink w:history="1" r:id="rIdm10pl4idk-3ykfrkxev_5">
        <w:r>
          <w:rPr>
            <w:rStyle w:val="Hyperlink"/>
          </w:rPr>
          <w:t xml:space="preserve">View source</w:t>
        </w:r>
      </w:hyperlink>
    </w:p>
    <w:p>
      <w:pPr>
        <w:spacing w:after="160"/>
        <w:ind w:left="360" w:hanging="360"/>
      </w:pPr>
      <w:r>
        <w:t xml:space="preserve">Rescuing the End-user systems from Vulnerable Applications using Virtualization Techniques (qOS). arXiv preprint arXiv:2211.02266.  </w:t>
      </w:r>
      <w:hyperlink w:history="1" r:id="rIdr6xd4zek3r9ycyowxxfil">
        <w:r>
          <w:rPr>
            <w:rStyle w:val="Hyperlink"/>
          </w:rPr>
          <w:t xml:space="preserve">View source</w:t>
        </w:r>
      </w:hyperlink>
    </w:p>
    <w:p>
      <w:pPr>
        <w:spacing w:after="160"/>
        <w:ind w:left="360" w:hanging="360"/>
      </w:pPr>
      <w:r>
        <w:t xml:space="preserve">Sihwail, R., Omar, K., &amp; Ariffin, K. Z. (2018). A Survey on Malware Analysis Techniques: Static, Dynamic, Hybrid and Memory Analysis. International Journal on Advanced Science, Engineering and Information Technology, 8(4-2), 1662.  </w:t>
      </w:r>
      <w:hyperlink w:history="1" r:id="rId0_jftlagzpsubscigugxs">
        <w:r>
          <w:rPr>
            <w:rStyle w:val="Hyperlink"/>
          </w:rPr>
          <w:t xml:space="preserve">View source</w:t>
        </w:r>
      </w:hyperlink>
    </w:p>
    <w:p>
      <w:pPr>
        <w:spacing w:after="160"/>
        <w:ind w:left="360" w:hanging="360"/>
      </w:pPr>
      <w:r>
        <w:t xml:space="preserve">Unrestricted File Upload. OWASP Foundation.  </w:t>
      </w:r>
      <w:hyperlink w:history="1" r:id="rIddmdyapyqjjqjt1zff3azk">
        <w:r>
          <w:rPr>
            <w:rStyle w:val="Hyperlink"/>
          </w:rPr>
          <w:t xml:space="preserve">View source</w:t>
        </w:r>
      </w:hyperlink>
    </w:p>
    <w:p>
      <w:pPr>
        <w:spacing w:after="160"/>
        <w:ind w:left="360" w:hanging="360"/>
      </w:pPr>
      <w:r>
        <w:t xml:space="preserve">Ye, Y., Li, T., Adjeroh, D., &amp; Iyengar, S. S. (2017). A Survey on Malware Detection Using Data Mining Techniques. ACM Computing Surveys, 50(3), 1–40.  </w:t>
      </w:r>
      <w:hyperlink w:history="1" r:id="rIdauw66qp8hhj7zz_rxbk9t">
        <w:r>
          <w:rPr>
            <w:rStyle w:val="Hyperlink"/>
          </w:rPr>
          <w:t xml:space="preserve">View source</w:t>
        </w:r>
      </w:hyperlink>
    </w:p>
    <w:p>
      <w:pPr>
        <w:spacing w:after="160"/>
        <w:ind w:left="360" w:hanging="360"/>
      </w:pPr>
      <w:r>
        <w:t xml:space="preserve">Zero Trust: Applications, Challenges, and Opportunities. arXiv preprint arXiv:2309.03582.  </w:t>
      </w:r>
      <w:hyperlink w:history="1" r:id="rIdgrjc2zzpotkmayvnc_k-l">
        <w:r>
          <w:rPr>
            <w:rStyle w:val="Hyperlink"/>
          </w:rPr>
          <w:t xml:space="preserve">View source</w:t>
        </w:r>
      </w:hyperlink>
    </w:p>
    <w:p>
      <w:pPr>
        <w:spacing w:after="160"/>
        <w:ind w:left="360" w:hanging="360"/>
      </w:pPr>
      <w:r>
        <w:t xml:space="preserve">Zero-trust based dynamic access control for cloud computing. (2024). Cybersecurity (Springer Nature).  </w:t>
      </w:r>
      <w:hyperlink w:history="1" r:id="rIdter8nc6aj2h-wsf2cdxyo">
        <w:r>
          <w:rPr>
            <w:rStyle w:val="Hyperlink"/>
          </w:rPr>
          <w:t xml:space="preserve">View source</w:t>
        </w:r>
      </w:hyperlink>
    </w:p>
    <w:p>
      <w:pPr>
        <w:pStyle w:val="Heading1"/>
        <w:spacing w:after="160" w:before="360"/>
      </w:pPr>
      <w:r>
        <w:t xml:space="preserve">15. Audit Log</w:t>
      </w:r>
    </w:p>
    <w:p>
      <w:pPr>
        <w:spacing w:after="160"/>
      </w:pPr>
      <w:r>
        <w:t xml:space="preserve">In keeping with this survey's data-integrity standard, the search process is disclosed in full.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100"/>
      </w:tblGrid>
      <w:tr>
        <w:trPr>
          <w:tblHeader/>
        </w:trPr>
        <w:tc>
          <w:tcPr>
            <w:tcW w:type="dxa" w:w="500"/>
            <w:shd w:fill="1F3B57" w:val="clear"/>
            <w:tcMar>
              <w:top w:type="dxa" w:w="80"/>
              <w:left w:type="dxa" w:w="120"/>
              <w:bottom w:type="dxa" w:w="80"/>
              <w:right w:type="dxa" w:w="120"/>
            </w:tcMar>
            <w:vAlign w:val="top"/>
          </w:tcPr>
          <w:p>
            <w:r>
              <w:rPr>
                <w:b/>
                <w:bCs/>
                <w:color w:val="FFFFFF"/>
              </w:rPr>
              <w:t xml:space="preserve">#</w:t>
            </w:r>
          </w:p>
        </w:tc>
        <w:tc>
          <w:tcPr>
            <w:tcW w:type="dxa" w:w="6560"/>
            <w:shd w:fill="1F3B57" w:val="clear"/>
            <w:tcMar>
              <w:top w:type="dxa" w:w="80"/>
              <w:left w:type="dxa" w:w="120"/>
              <w:bottom w:type="dxa" w:w="80"/>
              <w:right w:type="dxa" w:w="120"/>
            </w:tcMar>
            <w:vAlign w:val="top"/>
          </w:tcPr>
          <w:p>
            <w:r>
              <w:rPr>
                <w:b/>
                <w:bCs/>
                <w:color w:val="FFFFFF"/>
              </w:rPr>
              <w:t xml:space="preserve">Search Query</w:t>
            </w:r>
          </w:p>
        </w:tc>
        <w:tc>
          <w:tcPr>
            <w:tcW w:type="dxa" w:w="2100"/>
            <w:shd w:fill="1F3B57" w:val="clear"/>
            <w:tcMar>
              <w:top w:type="dxa" w:w="80"/>
              <w:left w:type="dxa" w:w="120"/>
              <w:bottom w:type="dxa" w:w="80"/>
              <w:right w:type="dxa" w:w="120"/>
            </w:tcMar>
            <w:vAlign w:val="top"/>
          </w:tcPr>
          <w:p>
            <w:r>
              <w:rPr>
                <w:b/>
                <w:bCs/>
                <w:color w:val="FFFFFF"/>
              </w:rPr>
              <w:t xml:space="preserve">Status</w:t>
            </w:r>
          </w:p>
        </w:tc>
      </w:tr>
      <w:tr>
        <w:tc>
          <w:tcPr>
            <w:tcW w:type="dxa" w:w="500"/>
            <w:tcMar>
              <w:top w:type="dxa" w:w="80"/>
              <w:left w:type="dxa" w:w="120"/>
              <w:bottom w:type="dxa" w:w="80"/>
              <w:right w:type="dxa" w:w="120"/>
            </w:tcMar>
            <w:vAlign w:val="top"/>
          </w:tcPr>
          <w:p>
            <w:r>
              <w:t xml:space="preserve">1</w:t>
            </w:r>
          </w:p>
        </w:tc>
        <w:tc>
          <w:tcPr>
            <w:tcW w:type="dxa" w:w="6560"/>
            <w:tcMar>
              <w:top w:type="dxa" w:w="80"/>
              <w:left w:type="dxa" w:w="120"/>
              <w:bottom w:type="dxa" w:w="80"/>
              <w:right w:type="dxa" w:w="120"/>
            </w:tcMar>
            <w:vAlign w:val="top"/>
          </w:tcPr>
          <w:p>
            <w:r>
              <w:t xml:space="preserve">unrestricted file upload vulnerability web application security research</w:t>
            </w:r>
          </w:p>
        </w:tc>
        <w:tc>
          <w:tcPr>
            <w:tcW w:type="dxa" w:w="2100"/>
            <w:tcMar>
              <w:top w:type="dxa" w:w="80"/>
              <w:left w:type="dxa" w:w="120"/>
              <w:bottom w:type="dxa" w:w="80"/>
              <w:right w:type="dxa" w:w="120"/>
            </w:tcMar>
            <w:vAlign w:val="top"/>
          </w:tcPr>
          <w:p>
            <w:r>
              <w:t xml:space="preserve">Success — mostly practitioner/OWASP; 2 arXiv items</w:t>
            </w:r>
          </w:p>
        </w:tc>
      </w:tr>
      <w:tr>
        <w:tc>
          <w:tcPr>
            <w:tcW w:type="dxa" w:w="500"/>
            <w:shd w:fill="F2F6F8" w:val="clear"/>
            <w:tcMar>
              <w:top w:type="dxa" w:w="80"/>
              <w:left w:type="dxa" w:w="120"/>
              <w:bottom w:type="dxa" w:w="80"/>
              <w:right w:type="dxa" w:w="120"/>
            </w:tcMar>
            <w:vAlign w:val="top"/>
          </w:tcPr>
          <w:p>
            <w:r>
              <w:t xml:space="preserve">2</w:t>
            </w:r>
          </w:p>
        </w:tc>
        <w:tc>
          <w:tcPr>
            <w:tcW w:type="dxa" w:w="6560"/>
            <w:shd w:fill="F2F6F8" w:val="clear"/>
            <w:tcMar>
              <w:top w:type="dxa" w:w="80"/>
              <w:left w:type="dxa" w:w="120"/>
              <w:bottom w:type="dxa" w:w="80"/>
              <w:right w:type="dxa" w:w="120"/>
            </w:tcMar>
            <w:vAlign w:val="top"/>
          </w:tcPr>
          <w:p>
            <w:r>
              <w:t xml:space="preserve">malware detection static dynamic hybrid analysis survey IEEE ACM</w:t>
            </w:r>
          </w:p>
        </w:tc>
        <w:tc>
          <w:tcPr>
            <w:tcW w:type="dxa" w:w="2100"/>
            <w:shd w:fill="F2F6F8" w:val="clear"/>
            <w:tcMar>
              <w:top w:type="dxa" w:w="80"/>
              <w:left w:type="dxa" w:w="120"/>
              <w:bottom w:type="dxa" w:w="80"/>
              <w:right w:type="dxa" w:w="120"/>
            </w:tcMar>
            <w:vAlign w:val="top"/>
          </w:tcPr>
          <w:p>
            <w:r>
              <w:t xml:space="preserve">Success — 4 verified surveys</w:t>
            </w:r>
          </w:p>
        </w:tc>
      </w:tr>
      <w:tr>
        <w:tc>
          <w:tcPr>
            <w:tcW w:type="dxa" w:w="500"/>
            <w:tcMar>
              <w:top w:type="dxa" w:w="80"/>
              <w:left w:type="dxa" w:w="120"/>
              <w:bottom w:type="dxa" w:w="80"/>
              <w:right w:type="dxa" w:w="120"/>
            </w:tcMar>
            <w:vAlign w:val="top"/>
          </w:tcPr>
          <w:p>
            <w:r>
              <w:t xml:space="preserve">3</w:t>
            </w:r>
          </w:p>
        </w:tc>
        <w:tc>
          <w:tcPr>
            <w:tcW w:type="dxa" w:w="6560"/>
            <w:tcMar>
              <w:top w:type="dxa" w:w="80"/>
              <w:left w:type="dxa" w:w="120"/>
              <w:bottom w:type="dxa" w:w="80"/>
              <w:right w:type="dxa" w:w="120"/>
            </w:tcMar>
            <w:vAlign w:val="top"/>
          </w:tcPr>
          <w:p>
            <w:r>
              <w:t xml:space="preserve">Content Disarm and Reconstruction CDR polyglot files security research paper</w:t>
            </w:r>
          </w:p>
        </w:tc>
        <w:tc>
          <w:tcPr>
            <w:tcW w:type="dxa" w:w="2100"/>
            <w:tcMar>
              <w:top w:type="dxa" w:w="80"/>
              <w:left w:type="dxa" w:w="120"/>
              <w:bottom w:type="dxa" w:w="80"/>
              <w:right w:type="dxa" w:w="120"/>
            </w:tcMar>
            <w:vAlign w:val="top"/>
          </w:tcPr>
          <w:p>
            <w:r>
              <w:t xml:space="preserve">Success — Dubin group identified</w:t>
            </w:r>
          </w:p>
        </w:tc>
      </w:tr>
      <w:tr>
        <w:tc>
          <w:tcPr>
            <w:tcW w:type="dxa" w:w="500"/>
            <w:shd w:fill="F2F6F8" w:val="clear"/>
            <w:tcMar>
              <w:top w:type="dxa" w:w="80"/>
              <w:left w:type="dxa" w:w="120"/>
              <w:bottom w:type="dxa" w:w="80"/>
              <w:right w:type="dxa" w:w="120"/>
            </w:tcMar>
            <w:vAlign w:val="top"/>
          </w:tcPr>
          <w:p>
            <w:r>
              <w:t xml:space="preserve">4</w:t>
            </w:r>
          </w:p>
        </w:tc>
        <w:tc>
          <w:tcPr>
            <w:tcW w:type="dxa" w:w="6560"/>
            <w:shd w:fill="F2F6F8" w:val="clear"/>
            <w:tcMar>
              <w:top w:type="dxa" w:w="80"/>
              <w:left w:type="dxa" w:w="120"/>
              <w:bottom w:type="dxa" w:w="80"/>
              <w:right w:type="dxa" w:w="120"/>
            </w:tcMar>
            <w:vAlign w:val="top"/>
          </w:tcPr>
          <w:p>
            <w:r>
              <w:t xml:space="preserve">TOCTOU cloud object storage security race condition research</w:t>
            </w:r>
          </w:p>
        </w:tc>
        <w:tc>
          <w:tcPr>
            <w:tcW w:type="dxa" w:w="2100"/>
            <w:shd w:fill="F2F6F8" w:val="clear"/>
            <w:tcMar>
              <w:top w:type="dxa" w:w="80"/>
              <w:left w:type="dxa" w:w="120"/>
              <w:bottom w:type="dxa" w:w="80"/>
              <w:right w:type="dxa" w:w="120"/>
            </w:tcMar>
            <w:vAlign w:val="top"/>
          </w:tcPr>
          <w:p>
            <w:r>
              <w:t xml:space="preserve">Success (no results) — confirmed academic gap</w:t>
            </w:r>
          </w:p>
        </w:tc>
      </w:tr>
      <w:tr>
        <w:tc>
          <w:tcPr>
            <w:tcW w:type="dxa" w:w="500"/>
            <w:tcMar>
              <w:top w:type="dxa" w:w="80"/>
              <w:left w:type="dxa" w:w="120"/>
              <w:bottom w:type="dxa" w:w="80"/>
              <w:right w:type="dxa" w:w="120"/>
            </w:tcMar>
            <w:vAlign w:val="top"/>
          </w:tcPr>
          <w:p>
            <w:r>
              <w:t xml:space="preserve">5</w:t>
            </w:r>
          </w:p>
        </w:tc>
        <w:tc>
          <w:tcPr>
            <w:tcW w:type="dxa" w:w="6560"/>
            <w:tcMar>
              <w:top w:type="dxa" w:w="80"/>
              <w:left w:type="dxa" w:w="120"/>
              <w:bottom w:type="dxa" w:w="80"/>
              <w:right w:type="dxa" w:w="120"/>
            </w:tcMar>
            <w:vAlign w:val="top"/>
          </w:tcPr>
          <w:p>
            <w:r>
              <w:t xml:space="preserve">cloud IAM least privilege zero trust access control academic research survey</w:t>
            </w:r>
          </w:p>
        </w:tc>
        <w:tc>
          <w:tcPr>
            <w:tcW w:type="dxa" w:w="2100"/>
            <w:tcMar>
              <w:top w:type="dxa" w:w="80"/>
              <w:left w:type="dxa" w:w="120"/>
              <w:bottom w:type="dxa" w:w="80"/>
              <w:right w:type="dxa" w:w="120"/>
            </w:tcMar>
            <w:vAlign w:val="top"/>
          </w:tcPr>
          <w:p>
            <w:r>
              <w:t xml:space="preserve">Success — 2 strong sources, 1 weaker preprint</w:t>
            </w:r>
          </w:p>
        </w:tc>
      </w:tr>
      <w:tr>
        <w:tc>
          <w:tcPr>
            <w:tcW w:type="dxa" w:w="500"/>
            <w:shd w:fill="F2F6F8" w:val="clear"/>
            <w:tcMar>
              <w:top w:type="dxa" w:w="80"/>
              <w:left w:type="dxa" w:w="120"/>
              <w:bottom w:type="dxa" w:w="80"/>
              <w:right w:type="dxa" w:w="120"/>
            </w:tcMar>
            <w:vAlign w:val="top"/>
          </w:tcPr>
          <w:p>
            <w:r>
              <w:t xml:space="preserve">6</w:t>
            </w:r>
          </w:p>
        </w:tc>
        <w:tc>
          <w:tcPr>
            <w:tcW w:type="dxa" w:w="6560"/>
            <w:shd w:fill="F2F6F8" w:val="clear"/>
            <w:tcMar>
              <w:top w:type="dxa" w:w="80"/>
              <w:left w:type="dxa" w:w="120"/>
              <w:bottom w:type="dxa" w:w="80"/>
              <w:right w:type="dxa" w:w="120"/>
            </w:tcMar>
            <w:vAlign w:val="top"/>
          </w:tcPr>
          <w:p>
            <w:r>
              <w:t xml:space="preserve">presigned URL direct-to-cloud upload security vulnerability research</w:t>
            </w:r>
          </w:p>
        </w:tc>
        <w:tc>
          <w:tcPr>
            <w:tcW w:type="dxa" w:w="2100"/>
            <w:shd w:fill="F2F6F8" w:val="clear"/>
            <w:tcMar>
              <w:top w:type="dxa" w:w="80"/>
              <w:left w:type="dxa" w:w="120"/>
              <w:bottom w:type="dxa" w:w="80"/>
              <w:right w:type="dxa" w:w="120"/>
            </w:tcMar>
            <w:vAlign w:val="top"/>
          </w:tcPr>
          <w:p>
            <w:r>
              <w:t xml:space="preserve">Success (no results) — confirmed academic gap, vendor sources only</w:t>
            </w:r>
          </w:p>
        </w:tc>
      </w:tr>
      <w:tr>
        <w:tc>
          <w:tcPr>
            <w:tcW w:type="dxa" w:w="500"/>
            <w:tcMar>
              <w:top w:type="dxa" w:w="80"/>
              <w:left w:type="dxa" w:w="120"/>
              <w:bottom w:type="dxa" w:w="80"/>
              <w:right w:type="dxa" w:w="120"/>
            </w:tcMar>
            <w:vAlign w:val="top"/>
          </w:tcPr>
          <w:p>
            <w:r>
              <w:t xml:space="preserve">7</w:t>
            </w:r>
          </w:p>
        </w:tc>
        <w:tc>
          <w:tcPr>
            <w:tcW w:type="dxa" w:w="6560"/>
            <w:tcMar>
              <w:top w:type="dxa" w:w="80"/>
              <w:left w:type="dxa" w:w="120"/>
              <w:bottom w:type="dxa" w:w="80"/>
              <w:right w:type="dxa" w:w="120"/>
            </w:tcMar>
            <w:vAlign w:val="top"/>
          </w:tcPr>
          <w:p>
            <w:r>
              <w:t xml:space="preserve">decompression bomb zip bomb detection archive nested academic paper</w:t>
            </w:r>
          </w:p>
        </w:tc>
        <w:tc>
          <w:tcPr>
            <w:tcW w:type="dxa" w:w="2100"/>
            <w:tcMar>
              <w:top w:type="dxa" w:w="80"/>
              <w:left w:type="dxa" w:w="120"/>
              <w:bottom w:type="dxa" w:w="80"/>
              <w:right w:type="dxa" w:w="120"/>
            </w:tcMar>
            <w:vAlign w:val="top"/>
          </w:tcPr>
          <w:p>
            <w:r>
              <w:t xml:space="preserve">Success — led to Pellegrino/Fifield verification</w:t>
            </w:r>
          </w:p>
        </w:tc>
      </w:tr>
      <w:tr>
        <w:tc>
          <w:tcPr>
            <w:tcW w:type="dxa" w:w="500"/>
            <w:shd w:fill="F2F6F8" w:val="clear"/>
            <w:tcMar>
              <w:top w:type="dxa" w:w="80"/>
              <w:left w:type="dxa" w:w="120"/>
              <w:bottom w:type="dxa" w:w="80"/>
              <w:right w:type="dxa" w:w="120"/>
            </w:tcMar>
            <w:vAlign w:val="top"/>
          </w:tcPr>
          <w:p>
            <w:r>
              <w:t xml:space="preserve">8</w:t>
            </w:r>
          </w:p>
        </w:tc>
        <w:tc>
          <w:tcPr>
            <w:tcW w:type="dxa" w:w="6560"/>
            <w:shd w:fill="F2F6F8" w:val="clear"/>
            <w:tcMar>
              <w:top w:type="dxa" w:w="80"/>
              <w:left w:type="dxa" w:w="120"/>
              <w:bottom w:type="dxa" w:w="80"/>
              <w:right w:type="dxa" w:w="120"/>
            </w:tcMar>
            <w:vAlign w:val="top"/>
          </w:tcPr>
          <w:p>
            <w:r>
              <w:t xml:space="preserve">Pellegrino "Compression Hornet's Nest" data compression security NDSS</w:t>
            </w:r>
          </w:p>
        </w:tc>
        <w:tc>
          <w:tcPr>
            <w:tcW w:type="dxa" w:w="2100"/>
            <w:shd w:fill="F2F6F8" w:val="clear"/>
            <w:tcMar>
              <w:top w:type="dxa" w:w="80"/>
              <w:left w:type="dxa" w:w="120"/>
              <w:bottom w:type="dxa" w:w="80"/>
              <w:right w:type="dxa" w:w="120"/>
            </w:tcMar>
            <w:vAlign w:val="top"/>
          </w:tcPr>
          <w:p>
            <w:r>
              <w:t xml:space="preserve">Success — verified correct venue (USENIX Security, not NDSS)</w:t>
            </w:r>
          </w:p>
        </w:tc>
      </w:tr>
      <w:tr>
        <w:tc>
          <w:tcPr>
            <w:tcW w:type="dxa" w:w="500"/>
            <w:tcMar>
              <w:top w:type="dxa" w:w="80"/>
              <w:left w:type="dxa" w:w="120"/>
              <w:bottom w:type="dxa" w:w="80"/>
              <w:right w:type="dxa" w:w="120"/>
            </w:tcMar>
            <w:vAlign w:val="top"/>
          </w:tcPr>
          <w:p>
            <w:r>
              <w:t xml:space="preserve">9</w:t>
            </w:r>
          </w:p>
        </w:tc>
        <w:tc>
          <w:tcPr>
            <w:tcW w:type="dxa" w:w="6560"/>
            <w:tcMar>
              <w:top w:type="dxa" w:w="80"/>
              <w:left w:type="dxa" w:w="120"/>
              <w:bottom w:type="dxa" w:w="80"/>
              <w:right w:type="dxa" w:w="120"/>
            </w:tcMar>
            <w:vAlign w:val="top"/>
          </w:tcPr>
          <w:p>
            <w:r>
              <w:t xml:space="preserve">secure file upload gateway middleware architecture research</w:t>
            </w:r>
          </w:p>
        </w:tc>
        <w:tc>
          <w:tcPr>
            <w:tcW w:type="dxa" w:w="2100"/>
            <w:tcMar>
              <w:top w:type="dxa" w:w="80"/>
              <w:left w:type="dxa" w:w="120"/>
              <w:bottom w:type="dxa" w:w="80"/>
              <w:right w:type="dxa" w:w="120"/>
            </w:tcMar>
            <w:vAlign w:val="top"/>
          </w:tcPr>
          <w:p>
            <w:r>
              <w:t xml:space="preserve">Success — FileUploadChecker found</w:t>
            </w:r>
          </w:p>
        </w:tc>
      </w:tr>
      <w:tr>
        <w:tc>
          <w:tcPr>
            <w:tcW w:type="dxa" w:w="500"/>
            <w:shd w:fill="F2F6F8" w:val="clear"/>
            <w:tcMar>
              <w:top w:type="dxa" w:w="80"/>
              <w:left w:type="dxa" w:w="120"/>
              <w:bottom w:type="dxa" w:w="80"/>
              <w:right w:type="dxa" w:w="120"/>
            </w:tcMar>
            <w:vAlign w:val="top"/>
          </w:tcPr>
          <w:p>
            <w:r>
              <w:t xml:space="preserve">10</w:t>
            </w:r>
          </w:p>
        </w:tc>
        <w:tc>
          <w:tcPr>
            <w:tcW w:type="dxa" w:w="6560"/>
            <w:shd w:fill="F2F6F8" w:val="clear"/>
            <w:tcMar>
              <w:top w:type="dxa" w:w="80"/>
              <w:left w:type="dxa" w:w="120"/>
              <w:bottom w:type="dxa" w:w="80"/>
              <w:right w:type="dxa" w:w="120"/>
            </w:tcMar>
            <w:vAlign w:val="top"/>
          </w:tcPr>
          <w:p>
            <w:r>
              <w:t xml:space="preserve">quarantine-first architecture untrusted file cloud storage research paper</w:t>
            </w:r>
          </w:p>
        </w:tc>
        <w:tc>
          <w:tcPr>
            <w:tcW w:type="dxa" w:w="2100"/>
            <w:shd w:fill="F2F6F8" w:val="clear"/>
            <w:tcMar>
              <w:top w:type="dxa" w:w="80"/>
              <w:left w:type="dxa" w:w="120"/>
              <w:bottom w:type="dxa" w:w="80"/>
              <w:right w:type="dxa" w:w="120"/>
            </w:tcMar>
            <w:vAlign w:val="top"/>
          </w:tcPr>
          <w:p>
            <w:r>
              <w:t xml:space="preserve">Success — TopMCloud, qOS found</w:t>
            </w:r>
          </w:p>
        </w:tc>
      </w:tr>
      <w:tr>
        <w:tc>
          <w:tcPr>
            <w:tcW w:type="dxa" w:w="500"/>
            <w:tcMar>
              <w:top w:type="dxa" w:w="80"/>
              <w:left w:type="dxa" w:w="120"/>
              <w:bottom w:type="dxa" w:w="80"/>
              <w:right w:type="dxa" w:w="120"/>
            </w:tcMar>
            <w:vAlign w:val="top"/>
          </w:tcPr>
          <w:p>
            <w:r>
              <w:t xml:space="preserve">11</w:t>
            </w:r>
          </w:p>
        </w:tc>
        <w:tc>
          <w:tcPr>
            <w:tcW w:type="dxa" w:w="6560"/>
            <w:tcMar>
              <w:top w:type="dxa" w:w="80"/>
              <w:left w:type="dxa" w:w="120"/>
              <w:bottom w:type="dxa" w:w="80"/>
              <w:right w:type="dxa" w:w="120"/>
            </w:tcMar>
            <w:vAlign w:val="top"/>
          </w:tcPr>
          <w:p>
            <w:r>
              <w:t xml:space="preserve">polyglot file detection security academic paper file format ambiguity</w:t>
            </w:r>
          </w:p>
        </w:tc>
        <w:tc>
          <w:tcPr>
            <w:tcW w:type="dxa" w:w="2100"/>
            <w:tcMar>
              <w:top w:type="dxa" w:w="80"/>
              <w:left w:type="dxa" w:w="120"/>
              <w:bottom w:type="dxa" w:w="80"/>
              <w:right w:type="dxa" w:w="120"/>
            </w:tcMar>
            <w:vAlign w:val="top"/>
          </w:tcPr>
          <w:p>
            <w:r>
              <w:t xml:space="preserve">Success — Koch et al. 2022, WWW 2025 found</w:t>
            </w:r>
          </w:p>
        </w:tc>
      </w:tr>
      <w:tr>
        <w:tc>
          <w:tcPr>
            <w:tcW w:type="dxa" w:w="500"/>
            <w:shd w:fill="F2F6F8" w:val="clear"/>
            <w:tcMar>
              <w:top w:type="dxa" w:w="80"/>
              <w:left w:type="dxa" w:w="120"/>
              <w:bottom w:type="dxa" w:w="80"/>
              <w:right w:type="dxa" w:w="120"/>
            </w:tcMar>
            <w:vAlign w:val="top"/>
          </w:tcPr>
          <w:p>
            <w:r>
              <w:t xml:space="preserve">12</w:t>
            </w:r>
          </w:p>
        </w:tc>
        <w:tc>
          <w:tcPr>
            <w:tcW w:type="dxa" w:w="6560"/>
            <w:shd w:fill="F2F6F8" w:val="clear"/>
            <w:tcMar>
              <w:top w:type="dxa" w:w="80"/>
              <w:left w:type="dxa" w:w="120"/>
              <w:bottom w:type="dxa" w:w="80"/>
              <w:right w:type="dxa" w:w="120"/>
            </w:tcMar>
            <w:vAlign w:val="top"/>
          </w:tcPr>
          <w:p>
            <w:r>
              <w:t xml:space="preserve">Jana Shmatikov abusing file processing malware detectors polyglot 2012</w:t>
            </w:r>
          </w:p>
        </w:tc>
        <w:tc>
          <w:tcPr>
            <w:tcW w:type="dxa" w:w="2100"/>
            <w:shd w:fill="F2F6F8" w:val="clear"/>
            <w:tcMar>
              <w:top w:type="dxa" w:w="80"/>
              <w:left w:type="dxa" w:w="120"/>
              <w:bottom w:type="dxa" w:w="80"/>
              <w:right w:type="dxa" w:w="120"/>
            </w:tcMar>
            <w:vAlign w:val="top"/>
          </w:tcPr>
          <w:p>
            <w:r>
              <w:t xml:space="preserve">Success — full citation verified</w:t>
            </w:r>
          </w:p>
        </w:tc>
      </w:tr>
      <w:tr>
        <w:tc>
          <w:tcPr>
            <w:tcW w:type="dxa" w:w="500"/>
            <w:tcMar>
              <w:top w:type="dxa" w:w="80"/>
              <w:left w:type="dxa" w:w="120"/>
              <w:bottom w:type="dxa" w:w="80"/>
              <w:right w:type="dxa" w:w="120"/>
            </w:tcMar>
            <w:vAlign w:val="top"/>
          </w:tcPr>
          <w:p>
            <w:r>
              <w:t xml:space="preserve">13</w:t>
            </w:r>
          </w:p>
        </w:tc>
        <w:tc>
          <w:tcPr>
            <w:tcW w:type="dxa" w:w="6560"/>
            <w:tcMar>
              <w:top w:type="dxa" w:w="80"/>
              <w:left w:type="dxa" w:w="120"/>
              <w:bottom w:type="dxa" w:w="80"/>
              <w:right w:type="dxa" w:w="120"/>
            </w:tcMar>
            <w:vAlign w:val="top"/>
          </w:tcPr>
          <w:p>
            <w:r>
              <w:t xml:space="preserve">David Fifield "better zip bomb" WOOT 2019 USENIX</w:t>
            </w:r>
          </w:p>
        </w:tc>
        <w:tc>
          <w:tcPr>
            <w:tcW w:type="dxa" w:w="2100"/>
            <w:tcMar>
              <w:top w:type="dxa" w:w="80"/>
              <w:left w:type="dxa" w:w="120"/>
              <w:bottom w:type="dxa" w:w="80"/>
              <w:right w:type="dxa" w:w="120"/>
            </w:tcMar>
            <w:vAlign w:val="top"/>
          </w:tcPr>
          <w:p>
            <w:r>
              <w:t xml:space="preserve">Success — Best Paper Award confirmed, 12 citations</w:t>
            </w:r>
          </w:p>
        </w:tc>
      </w:tr>
      <w:tr>
        <w:tc>
          <w:tcPr>
            <w:tcW w:type="dxa" w:w="500"/>
            <w:shd w:fill="F2F6F8" w:val="clear"/>
            <w:tcMar>
              <w:top w:type="dxa" w:w="80"/>
              <w:left w:type="dxa" w:w="120"/>
              <w:bottom w:type="dxa" w:w="80"/>
              <w:right w:type="dxa" w:w="120"/>
            </w:tcMar>
            <w:vAlign w:val="top"/>
          </w:tcPr>
          <w:p>
            <w:r>
              <w:t xml:space="preserve">14</w:t>
            </w:r>
          </w:p>
        </w:tc>
        <w:tc>
          <w:tcPr>
            <w:tcW w:type="dxa" w:w="6560"/>
            <w:shd w:fill="F2F6F8" w:val="clear"/>
            <w:tcMar>
              <w:top w:type="dxa" w:w="80"/>
              <w:left w:type="dxa" w:w="120"/>
              <w:bottom w:type="dxa" w:w="80"/>
              <w:right w:type="dxa" w:w="120"/>
            </w:tcMar>
            <w:vAlign w:val="top"/>
          </w:tcPr>
          <w:p>
            <w:r>
              <w:t xml:space="preserve">machine learning deep learning malware detection 2024 2025 survey limitations</w:t>
            </w:r>
          </w:p>
        </w:tc>
        <w:tc>
          <w:tcPr>
            <w:tcW w:type="dxa" w:w="2100"/>
            <w:shd w:fill="F2F6F8" w:val="clear"/>
            <w:tcMar>
              <w:top w:type="dxa" w:w="80"/>
              <w:left w:type="dxa" w:w="120"/>
              <w:bottom w:type="dxa" w:w="80"/>
              <w:right w:type="dxa" w:w="120"/>
            </w:tcMar>
            <w:vAlign w:val="top"/>
          </w:tcPr>
          <w:p>
            <w:r>
              <w:t xml:space="preserve">Success — 4 recent surveys found</w:t>
            </w:r>
          </w:p>
        </w:tc>
      </w:tr>
      <w:tr>
        <w:tc>
          <w:tcPr>
            <w:tcW w:type="dxa" w:w="500"/>
            <w:tcMar>
              <w:top w:type="dxa" w:w="80"/>
              <w:left w:type="dxa" w:w="120"/>
              <w:bottom w:type="dxa" w:w="80"/>
              <w:right w:type="dxa" w:w="120"/>
            </w:tcMar>
            <w:vAlign w:val="top"/>
          </w:tcPr>
          <w:p>
            <w:r>
              <w:t xml:space="preserve">15</w:t>
            </w:r>
          </w:p>
        </w:tc>
        <w:tc>
          <w:tcPr>
            <w:tcW w:type="dxa" w:w="6560"/>
            <w:tcMar>
              <w:top w:type="dxa" w:w="80"/>
              <w:left w:type="dxa" w:w="120"/>
              <w:bottom w:type="dxa" w:w="80"/>
              <w:right w:type="dxa" w:w="120"/>
            </w:tcMar>
            <w:vAlign w:val="top"/>
          </w:tcPr>
          <w:p>
            <w:r>
              <w:t xml:space="preserve">CWE-434 unrestricted upload dangerous file type CWE Top 25 2025</w:t>
            </w:r>
          </w:p>
        </w:tc>
        <w:tc>
          <w:tcPr>
            <w:tcW w:type="dxa" w:w="2100"/>
            <w:tcMar>
              <w:top w:type="dxa" w:w="80"/>
              <w:left w:type="dxa" w:w="120"/>
              <w:bottom w:type="dxa" w:w="80"/>
              <w:right w:type="dxa" w:w="120"/>
            </w:tcMar>
            <w:vAlign w:val="top"/>
          </w:tcPr>
          <w:p>
            <w:r>
              <w:t xml:space="preserve">Success — historical ranking confirmed 2020–2023</w:t>
            </w:r>
          </w:p>
        </w:tc>
      </w:tr>
      <w:tr>
        <w:tc>
          <w:tcPr>
            <w:tcW w:type="dxa" w:w="500"/>
            <w:shd w:fill="F2F6F8" w:val="clear"/>
            <w:tcMar>
              <w:top w:type="dxa" w:w="80"/>
              <w:left w:type="dxa" w:w="120"/>
              <w:bottom w:type="dxa" w:w="80"/>
              <w:right w:type="dxa" w:w="120"/>
            </w:tcMar>
            <w:vAlign w:val="top"/>
          </w:tcPr>
          <w:p>
            <w:r>
              <w:t xml:space="preserve">16</w:t>
            </w:r>
          </w:p>
        </w:tc>
        <w:tc>
          <w:tcPr>
            <w:tcW w:type="dxa" w:w="6560"/>
            <w:shd w:fill="F2F6F8" w:val="clear"/>
            <w:tcMar>
              <w:top w:type="dxa" w:w="80"/>
              <w:left w:type="dxa" w:w="120"/>
              <w:bottom w:type="dxa" w:w="80"/>
              <w:right w:type="dxa" w:w="120"/>
            </w:tcMar>
            <w:vAlign w:val="top"/>
          </w:tcPr>
          <w:p>
            <w:r>
              <w:t xml:space="preserve">tamper-evident audit log integrity append-only research blockchain logging</w:t>
            </w:r>
          </w:p>
        </w:tc>
        <w:tc>
          <w:tcPr>
            <w:tcW w:type="dxa" w:w="2100"/>
            <w:shd w:fill="F2F6F8" w:val="clear"/>
            <w:tcMar>
              <w:top w:type="dxa" w:w="80"/>
              <w:left w:type="dxa" w:w="120"/>
              <w:bottom w:type="dxa" w:w="80"/>
              <w:right w:type="dxa" w:w="120"/>
            </w:tcMar>
            <w:vAlign w:val="top"/>
          </w:tcPr>
          <w:p>
            <w:r>
              <w:t xml:space="preserve">Success — Crosby &amp; Wallach, BlockAudit, Putz et al. found</w:t>
            </w:r>
          </w:p>
        </w:tc>
      </w:tr>
      <w:tr>
        <w:tc>
          <w:tcPr>
            <w:tcW w:type="dxa" w:w="500"/>
            <w:tcMar>
              <w:top w:type="dxa" w:w="80"/>
              <w:left w:type="dxa" w:w="120"/>
              <w:bottom w:type="dxa" w:w="80"/>
              <w:right w:type="dxa" w:w="120"/>
            </w:tcMar>
            <w:vAlign w:val="top"/>
          </w:tcPr>
          <w:p>
            <w:r>
              <w:t xml:space="preserve">17</w:t>
            </w:r>
          </w:p>
        </w:tc>
        <w:tc>
          <w:tcPr>
            <w:tcW w:type="dxa" w:w="6560"/>
            <w:tcMar>
              <w:top w:type="dxa" w:w="80"/>
              <w:left w:type="dxa" w:w="120"/>
              <w:bottom w:type="dxa" w:w="80"/>
              <w:right w:type="dxa" w:w="120"/>
            </w:tcMar>
            <w:vAlign w:val="top"/>
          </w:tcPr>
          <w:p>
            <w:r>
              <w:t xml:space="preserve">rate limiting API abuse denial of service upload flooding academic research</w:t>
            </w:r>
          </w:p>
        </w:tc>
        <w:tc>
          <w:tcPr>
            <w:tcW w:type="dxa" w:w="2100"/>
            <w:tcMar>
              <w:top w:type="dxa" w:w="80"/>
              <w:left w:type="dxa" w:w="120"/>
              <w:bottom w:type="dxa" w:w="80"/>
              <w:right w:type="dxa" w:w="120"/>
            </w:tcMar>
            <w:vAlign w:val="top"/>
          </w:tcPr>
          <w:p>
            <w:r>
              <w:t xml:space="preserve">Success (mostly vendor) — confirmed thin academic coverage</w:t>
            </w:r>
          </w:p>
        </w:tc>
      </w:tr>
      <w:tr>
        <w:tc>
          <w:tcPr>
            <w:tcW w:type="dxa" w:w="500"/>
            <w:shd w:fill="F2F6F8" w:val="clear"/>
            <w:tcMar>
              <w:top w:type="dxa" w:w="80"/>
              <w:left w:type="dxa" w:w="120"/>
              <w:bottom w:type="dxa" w:w="80"/>
              <w:right w:type="dxa" w:w="120"/>
            </w:tcMar>
            <w:vAlign w:val="top"/>
          </w:tcPr>
          <w:p>
            <w:r>
              <w:t xml:space="preserve">18</w:t>
            </w:r>
          </w:p>
        </w:tc>
        <w:tc>
          <w:tcPr>
            <w:tcW w:type="dxa" w:w="6560"/>
            <w:shd w:fill="F2F6F8" w:val="clear"/>
            <w:tcMar>
              <w:top w:type="dxa" w:w="80"/>
              <w:left w:type="dxa" w:w="120"/>
              <w:bottom w:type="dxa" w:w="80"/>
              <w:right w:type="dxa" w:w="120"/>
            </w:tcMar>
            <w:vAlign w:val="top"/>
          </w:tcPr>
          <w:p>
            <w:r>
              <w:t xml:space="preserve">Ran Dubin CDR survey 2025 2026 systematic review content disarm reconstruction</w:t>
            </w:r>
          </w:p>
        </w:tc>
        <w:tc>
          <w:tcPr>
            <w:tcW w:type="dxa" w:w="2100"/>
            <w:shd w:fill="F2F6F8" w:val="clear"/>
            <w:tcMar>
              <w:top w:type="dxa" w:w="80"/>
              <w:left w:type="dxa" w:w="120"/>
              <w:bottom w:type="dxa" w:w="80"/>
              <w:right w:type="dxa" w:w="120"/>
            </w:tcMar>
            <w:vAlign w:val="top"/>
          </w:tcPr>
          <w:p>
            <w:r>
              <w:t xml:space="preserve">Success — additional Dubin-group papers confirmed</w:t>
            </w:r>
          </w:p>
        </w:tc>
      </w:tr>
    </w:tbl>
    <w:p>
      <w:pPr>
        <w:spacing w:after="120"/>
      </w:pPr>
    </w:p>
    <w:p>
      <w:pPr>
        <w:pStyle w:val="ListParagraph"/>
        <w:numPr>
          <w:ilvl w:val="0"/>
          <w:numId w:val="2"/>
        </w:numPr>
        <w:spacing w:after="80"/>
      </w:pPr>
      <w:r>
        <w:t xml:space="preserve">Searches executed: 24 total (6 initial reconnaissance + 18 targeted, standard-depth pass)</w:t>
      </w:r>
    </w:p>
    <w:p>
      <w:pPr>
        <w:pStyle w:val="ListParagraph"/>
        <w:numPr>
          <w:ilvl w:val="0"/>
          <w:numId w:val="2"/>
        </w:numPr>
        <w:spacing w:after="80"/>
      </w:pPr>
      <w:r>
        <w:t xml:space="preserve">Searches with zero relevant peer-reviewed results (reported, not hidden): 2 (TOCTOU-in-cloud-storage; presigned-URL security)</w:t>
      </w:r>
    </w:p>
    <w:p>
      <w:pPr>
        <w:pStyle w:val="ListParagraph"/>
        <w:numPr>
          <w:ilvl w:val="0"/>
          <w:numId w:val="2"/>
        </w:numPr>
        <w:spacing w:after="80"/>
      </w:pPr>
      <w:r>
        <w:t xml:space="preserve">Unique sources cited in this report: 24, listed in Section 14</w:t>
      </w:r>
    </w:p>
    <w:p>
      <w:pPr>
        <w:pStyle w:val="ListParagraph"/>
        <w:numPr>
          <w:ilvl w:val="0"/>
          <w:numId w:val="2"/>
        </w:numPr>
        <w:spacing w:after="80"/>
      </w:pPr>
      <w:r>
        <w:t xml:space="preserve">Tool note: no dedicated academic-search connector (e.g., Consensus) was available in this session; general web search was used and cross-verified per source as described in Section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86xkej4bzmjlr_a0rlmg" Type="http://schemas.openxmlformats.org/officeDocument/2006/relationships/hyperlink" Target="https://arxiv.org/pdf/1811.09944" TargetMode="External"/><Relationship Id="rIdhit--bmpyyf6ef1qtkbet" Type="http://schemas.openxmlformats.org/officeDocument/2006/relationships/hyperlink" Target="https://www.researchgate.net/publication/372654599_Open_Image_Content_Disarm_And_Reconstruction" TargetMode="External"/><Relationship Id="rIdb1aomhgtb61auihlv2gmt" Type="http://schemas.openxmlformats.org/officeDocument/2006/relationships/hyperlink" Target="https://arxiv.org/pdf/2605.00065" TargetMode="External"/><Relationship Id="rIdnhgdgbj6xb2sc8retf8m4" Type="http://schemas.openxmlformats.org/officeDocument/2006/relationships/hyperlink" Target="https://cwe.mitre.org/data/definitions/434.html" TargetMode="External"/><Relationship Id="rIdlx-tneoon-23uoayvn20o" Type="http://schemas.openxmlformats.org/officeDocument/2006/relationships/hyperlink" Target="https://arxiv.org/pdf/2208.07049" TargetMode="External"/><Relationship Id="rIdrmjcbcfco4gkq-0hwmr3r" Type="http://schemas.openxmlformats.org/officeDocument/2006/relationships/hyperlink" Target="https://www.researchgate.net/publication/370082706_Content_Disarm_and_Reconstruction_of_PDF_Files" TargetMode="External"/><Relationship Id="rIdwhw3ej4beejzdu4o7qzwr" Type="http://schemas.openxmlformats.org/officeDocument/2006/relationships/hyperlink" Target="https://www.sciencedirect.com/science/article/abs/pii/S0167404823005564" TargetMode="External"/><Relationship Id="rIdqh72wdkjepdvvro1s6t9x" Type="http://schemas.openxmlformats.org/officeDocument/2006/relationships/hyperlink" Target="https://ieeexplore.ieee.org/document/10034674/" TargetMode="External"/><Relationship Id="rIde8wj8dofmq12_m2qlbi7m" Type="http://schemas.openxmlformats.org/officeDocument/2006/relationships/hyperlink" Target="https://dl.acm.org/doi/10.1145/2089125.2089126" TargetMode="External"/><Relationship Id="rIdsnxq6uykjzqiaqkv8hysw" Type="http://schemas.openxmlformats.org/officeDocument/2006/relationships/hyperlink" Target="https://www.usenix.org/conference/woot19/presentation/fifield" TargetMode="External"/><Relationship Id="rIdq0j014apm-nqtiejy89v_" Type="http://schemas.openxmlformats.org/officeDocument/2006/relationships/hyperlink" Target="https://dl.acm.org/doi/fullHtml/10.1145/3538969.3538999" TargetMode="External"/><Relationship Id="rIdhnr6dsovgwpzqnqpoa_n0" Type="http://schemas.openxmlformats.org/officeDocument/2006/relationships/hyperlink" Target="https://arxiv.org/pdf/2503.01758" TargetMode="External"/><Relationship Id="rIdbnb5ubd-icf12ucet4seg" Type="http://schemas.openxmlformats.org/officeDocument/2006/relationships/hyperlink" Target="https://www.semanticscholar.org/paper/Abusing-File-Processing-in-Malware-Detectors-for-Jana-Shmatikov/f2326ece59ff8669331a1a8d5d8af8074f9466e3" TargetMode="External"/><Relationship Id="rIdqaxybztdad5iebkj2ja57" Type="http://schemas.openxmlformats.org/officeDocument/2006/relationships/hyperlink" Target="https://arxiv.org/abs/2203.07561" TargetMode="External"/><Relationship Id="rIda1armccz3ubzygwmc1jcz" Type="http://schemas.openxmlformats.org/officeDocument/2006/relationships/hyperlink" Target="https://arxiv.org/pdf/2407.01529" TargetMode="External"/><Relationship Id="rIdwriieqtc9djj4ipbkyvru" Type="http://schemas.openxmlformats.org/officeDocument/2006/relationships/hyperlink" Target="https://www.usenix.org/conference/usenixsecurity15/technical-sessions/presentation/pellegrino" TargetMode="External"/><Relationship Id="rIdckz96vzjxrynh1rnikol-" Type="http://schemas.openxmlformats.org/officeDocument/2006/relationships/hyperlink" Target="https://www.ncbi.nlm.nih.gov/pmc/articles/PMC5876826/" TargetMode="External"/><Relationship Id="rIdm10pl4idk-3ykfrkxev_5" Type="http://schemas.openxmlformats.org/officeDocument/2006/relationships/hyperlink" Target="https://www.sciencedirect.com/science/article/abs/pii/S0167404818313907" TargetMode="External"/><Relationship Id="rIdr6xd4zek3r9ycyowxxfil" Type="http://schemas.openxmlformats.org/officeDocument/2006/relationships/hyperlink" Target="https://arxiv.org/pdf/2211.02266" TargetMode="External"/><Relationship Id="rId0_jftlagzpsubscigugxs" Type="http://schemas.openxmlformats.org/officeDocument/2006/relationships/hyperlink" Target="https://www.researchgate.net/publication/328760930_A_Survey_on_Malware_Analysis_Techniques_Static_Dynamic_Hybrid_and_Memory_Analysis" TargetMode="External"/><Relationship Id="rIddmdyapyqjjqjt1zff3azk" Type="http://schemas.openxmlformats.org/officeDocument/2006/relationships/hyperlink" Target="https://owasp.org/www-community/vulnerabilities/Unrestricted_File_Upload" TargetMode="External"/><Relationship Id="rIdauw66qp8hhj7zz_rxbk9t" Type="http://schemas.openxmlformats.org/officeDocument/2006/relationships/hyperlink" Target="https://www.semanticscholar.org/paper/A-Survey-on-Malware-Analysis-Techniques:-Static,-Sihwail-Omar/83fa7ef2ad21499a5a7667e9164aefcb7a5ee972" TargetMode="External"/><Relationship Id="rIdgrjc2zzpotkmayvnc_k-l" Type="http://schemas.openxmlformats.org/officeDocument/2006/relationships/hyperlink" Target="https://arxiv.org/pdf/2309.03582" TargetMode="External"/><Relationship Id="rIdter8nc6aj2h-wsf2cdxyo" Type="http://schemas.openxmlformats.org/officeDocument/2006/relationships/hyperlink" Target="https://link.springer.com/article/10.1186/s42400-024-00320-x"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2026-09-13T07:04:18.331Z</dcterms:created>
  <dcterms:modified xsi:type="dcterms:W3CDTF">2026-09-13T07:04:18.332Z</dcterms:modified>
</cp:coreProperties>
</file>

<file path=docProps/custom.xml><?xml version="1.0" encoding="utf-8"?>
<Properties xmlns="http://schemas.openxmlformats.org/officeDocument/2006/custom-properties" xmlns:vt="http://schemas.openxmlformats.org/officeDocument/2006/docPropsVTypes"/>
</file>