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val="false"/>
          <w:bCs w:val="false"/>
        </w:rPr>
        <w:t xml:space="preserve">© 2025 Anonymous </w:t>
      </w:r>
    </w:p>
    <w:p>
      <w:pPr>
        <w:pStyle w:val="Normal"/>
        <w:rPr/>
      </w:pPr>
      <w:r>
        <w:rPr>
          <w:b w:val="false"/>
          <w:bCs w:val="false"/>
        </w:rPr>
        <w:t xml:space="preserve">This work has been dedicated to the public domain under the Creative Commons CC0 1.0 Universal Public Domain Dedication. </w:t>
      </w:r>
    </w:p>
    <w:p>
      <w:pPr>
        <w:pStyle w:val="Normal"/>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pPr>
      <w:r>
        <w:rPr>
          <w:b w:val="false"/>
          <w:bCs w:val="false"/>
        </w:rPr>
        <w:t>Begin Commentary</w:t>
      </w:r>
    </w:p>
    <w:p>
      <w:pPr>
        <w:pStyle w:val="BodyText"/>
        <w:spacing w:lineRule="auto" w:line="278" w:before="0" w:after="160"/>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pPr>
      <w:r>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pPr>
      <w:r>
        <w:rPr/>
        <w:tab/>
        <w:t>SPEC: Possible connection to the Greek legend of Oceanus. The Greek God who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pPr>
      <w:r>
        <w:rPr/>
        <w:tab/>
        <w:t>There is a timeline question here. The reader might be wondering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pPr>
      <w:r>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Part 2 begins with this passage.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pPr>
      <w:r>
        <w:rPr>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pP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AC: And if, purely hypothetically, they would praise me, then how could I ever relax in their fame that they built for me? Not the ownership. Their fame. Most of us think of our fame, Zarathustra by his word choices is fully distancing himself from that potential fame.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pPr>
      <w:r>
        <w:rPr/>
        <w:tab/>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pPr>
      <w:r>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[3_49:22] </w:t>
      </w:r>
      <w:r>
        <w:rPr>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pPr>
      <w:r>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[3_49:23] </w:t>
      </w:r>
      <w:r>
        <w:rPr>
          <w:shd w:fill="FFFF00" w:val="clear"/>
        </w:rPr>
        <w:t xml:space="preserve">To small virtues would they fain lure and laud me; to the ticktack of small happiness would they fain persuade my foot. </w:t>
      </w:r>
    </w:p>
    <w:p>
      <w:pPr>
        <w:pStyle w:val="BodyText"/>
        <w:spacing w:lineRule="auto" w:line="278" w:before="0" w:after="160"/>
        <w:rPr/>
      </w:pPr>
      <w:r>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[3_49:24] </w:t>
      </w:r>
      <w:r>
        <w:rPr>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tab/>
        <w:t xml:space="preserve">This repetition of the beginning resembles a biblical literary structure called an Inclusio </w:t>
      </w:r>
      <w:r>
        <w:rPr>
          <w:rStyle w:val="FootnoteReference"/>
        </w:rPr>
        <w:footnoteReference w:id="10"/>
      </w:r>
      <w:r>
        <w:rPr/>
        <w:t xml:space="preserve">. Earlier it was perception, now it is diagnosis. </w:t>
      </w:r>
    </w:p>
    <w:p>
      <w:pPr>
        <w:pStyle w:val="BodyText"/>
        <w:spacing w:lineRule="auto" w:line="278" w:before="0" w:after="160"/>
        <w:rPr/>
      </w:pPr>
      <w:r>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letting the bedwarfing virtue do the work. Conformity on conformity on conformity until everything is a pebble of the rock that it once was.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[3_49:25] </w:t>
      </w:r>
      <w:r>
        <w:rPr>
          <w:shd w:fill="FFFF00" w:val="clear"/>
        </w:rPr>
        <w:t xml:space="preserve">For they are moderate also in virtue,—because they want comfort. With comfort, however, moderate virtue only is compatible. </w:t>
      </w:r>
    </w:p>
    <w:p>
      <w:pPr>
        <w:pStyle w:val="BodyText"/>
        <w:spacing w:lineRule="auto" w:line="278" w:before="0" w:after="160"/>
        <w:rPr/>
      </w:pPr>
      <w:r>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[3_49:26] </w:t>
      </w:r>
      <w:r>
        <w:rPr>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tab/>
        <w:t>Here he is dismissing what they call their progress. Oh sure the townspeople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[3_49:27] </w:t>
      </w:r>
      <w:r>
        <w:rPr>
          <w:shd w:fill="FFFF00" w:val="clear"/>
        </w:rPr>
        <w:t xml:space="preserve">And many of them go forward, and look backwards thereby, with stiffened necks: those do I like to run up against. </w:t>
      </w:r>
    </w:p>
    <w:p>
      <w:pPr>
        <w:pStyle w:val="BodyText"/>
        <w:spacing w:lineRule="auto" w:line="278" w:before="0" w:after="160"/>
        <w:rPr/>
      </w:pPr>
      <w:r>
        <w:rPr/>
        <w:tab/>
        <w:t>As the townspeople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[3_49:28] </w:t>
      </w:r>
      <w:r>
        <w:rPr>
          <w:shd w:fill="FFFF00" w:val="clear"/>
        </w:rPr>
        <w:t xml:space="preserve">Foot and eye shall not lie, nor give the lie to each other. But there is much lying among small people. </w:t>
      </w:r>
    </w:p>
    <w:p>
      <w:pPr>
        <w:pStyle w:val="BodyText"/>
        <w:spacing w:lineRule="auto" w:line="278" w:before="0" w:after="160"/>
        <w:rPr/>
      </w:pPr>
      <w:r>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[3_49:29] </w:t>
      </w:r>
      <w:r>
        <w:rPr>
          <w:shd w:fill="FFFF00" w:val="clear"/>
        </w:rPr>
        <w:t xml:space="preserve">Some of them WILL, but most of them are WILLED. Some of them are genuine, but most of them are bad actors. </w:t>
      </w:r>
    </w:p>
    <w:p>
      <w:pPr>
        <w:pStyle w:val="BodyText"/>
        <w:spacing w:lineRule="auto" w:line="278" w:before="0" w:after="160"/>
        <w:rPr/>
      </w:pPr>
      <w:r>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[3_49:30] </w:t>
      </w:r>
      <w:r>
        <w:rPr>
          <w:shd w:fill="FFFF00" w:val="clear"/>
        </w:rPr>
        <w:t xml:space="preserve">There are actors without knowing it amongst them, and actors without intending it—, the genuine ones are always rare, especially the genuine actors. </w:t>
      </w:r>
    </w:p>
    <w:p>
      <w:pPr>
        <w:pStyle w:val="BodyText"/>
        <w:spacing w:lineRule="auto" w:line="278" w:before="0" w:after="160"/>
        <w:rPr/>
      </w:pPr>
      <w:r>
        <w:rPr/>
        <w:tab/>
        <w:t xml:space="preserve">TN: wider here is translated as without, it can also be translated as against. </w:t>
      </w:r>
      <w:r>
        <w:rPr>
          <w:rStyle w:val="FootnoteReference"/>
        </w:rPr>
        <w:footnoteReference w:id="11"/>
      </w:r>
      <w:r>
        <w:rPr/>
        <w:t xml:space="preserve"> turning the sentence into </w:t>
      </w:r>
      <w:r>
        <w:rPr>
          <w:b w:val="false"/>
          <w:bCs w:val="false"/>
        </w:rPr>
        <w:t>“</w:t>
      </w:r>
      <w:r>
        <w:rPr/>
        <w:t>There are actors against their knowledge amongst them, and actors against their intention—, the genuine ones are always rare, especially the genuine actors.”</w:t>
      </w:r>
    </w:p>
    <w:p>
      <w:pPr>
        <w:pStyle w:val="BodyText"/>
        <w:spacing w:lineRule="auto" w:line="278" w:before="0" w:after="160"/>
        <w:rPr/>
      </w:pPr>
      <w:r>
        <w:rPr/>
        <w:tab/>
        <w:t xml:space="preserve">AC: First addressing the Thomas Common translation we have people acting without knowing it and people acting without their will being present. The actual genuine, people knowing what they are doing and intended what they do, are hard to find. Harder still are the actors amongst that minority. </w:t>
      </w:r>
    </w:p>
    <w:p>
      <w:pPr>
        <w:pStyle w:val="BodyText"/>
        <w:spacing w:lineRule="auto" w:line="278" w:before="0" w:after="160"/>
        <w:rPr/>
      </w:pPr>
      <w:r>
        <w:rPr/>
        <w:tab/>
        <w:t>Addressing the suggested revised translation we find a slight difference. The actors here in the town know better but act as if they do not also they move against their will. The genuine ones who live the knowledge they know and act with the will they have are very rare, the rarest amongst them can know the truth, know their will and act otherwise. True actors can make you believe they are who they play.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[3_49:31] </w:t>
      </w:r>
      <w:r>
        <w:rPr>
          <w:shd w:fill="FFFF00" w:val="clear"/>
        </w:rPr>
        <w:t xml:space="preserve">Of man there is little here: therefore do their women masculinise themselves. For only he who is man enough, will—SAVE THE WOMAN in woman. </w:t>
      </w:r>
    </w:p>
    <w:p>
      <w:pPr>
        <w:pStyle w:val="BodyText"/>
        <w:spacing w:lineRule="auto" w:line="278" w:before="0" w:after="160"/>
        <w:rPr/>
      </w:pPr>
      <w:r>
        <w:rPr/>
        <w:tab/>
        <w:t>Zarathustra states the bedwarfing virtue in gender terms. Claiming it takes those naturally strong and makes them weak such that they naturally weak have to become strong. Suggesting that at some future time it is possible the real strong will return the town to the proper order.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[3_49:32] </w:t>
      </w:r>
      <w:r>
        <w:rPr>
          <w:shd w:fill="FFFF00" w:val="clear"/>
        </w:rPr>
        <w:t xml:space="preserve">And this hypocrisy found I worst amongst them, that even those who command feign the virtues of those who serve. </w:t>
      </w:r>
    </w:p>
    <w:p>
      <w:pPr>
        <w:pStyle w:val="BodyText"/>
        <w:spacing w:lineRule="auto" w:line="278" w:before="0" w:after="160"/>
        <w:rPr/>
      </w:pPr>
      <w:r>
        <w:rPr/>
        <w:tab/>
        <w:t xml:space="preserve">According to Zarathustra the worst hypocrisy of the townsfolk is commanders pretending to the virtues of those who serve. The sophist just asking questions, the town mayor in a photo-op pretending to like a corn-dog, the manipulative preacher of virtues claiming to be but a humble servant of a higher power. </w:t>
      </w:r>
    </w:p>
    <w:p>
      <w:pPr>
        <w:pStyle w:val="BodyText"/>
        <w:spacing w:lineRule="auto" w:line="278" w:before="0" w:after="160"/>
        <w:rPr/>
      </w:pPr>
      <w:r>
        <w:rPr/>
        <w:tab/>
        <w:t>Keep in mind that the author hated Socrates. Socrates often pulled the humility maneuver. Claiming not to be a teacher while he taught, telling people he had no wisdom while presenting wisdom, arguing that he serves the good and virtue. All the while fully in control of the situation and the conversation. He ruled and claimed to serve. Until the last when he manipulated the Athenians under his shadow via the guilt in what they had done.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[3_49:33] </w:t>
      </w:r>
      <w:r>
        <w:rPr>
          <w:color w:val="FF0000"/>
          <w:shd w:fill="FFFF00" w:val="clear"/>
        </w:rPr>
        <w:t>“I serve, thou servest, we serve”</w:t>
      </w:r>
      <w:r>
        <w:rPr>
          <w:shd w:fill="FFFF00" w:val="clear"/>
        </w:rPr>
        <w:t xml:space="preserve">—so chanteth here even the hypocrisy of the rulers—and alas! if the first lord be ONLY the first servant! </w:t>
      </w:r>
    </w:p>
    <w:p>
      <w:pPr>
        <w:pStyle w:val="BodyText"/>
        <w:spacing w:lineRule="auto" w:line="278" w:before="0" w:after="160"/>
        <w:rPr/>
      </w:pPr>
      <w:r>
        <w:rPr/>
        <w:tab/>
        <w:t xml:space="preserve">TN: chanteth can also be translated as prayed. </w:t>
      </w:r>
      <w:r>
        <w:rPr>
          <w:rStyle w:val="FootnoteReference"/>
        </w:rPr>
        <w:footnoteReference w:id="12"/>
      </w:r>
      <w:r>
        <w:rPr/>
        <w:t xml:space="preserve"> Changing the passage to </w:t>
      </w:r>
      <w:r>
        <w:rPr>
          <w:color w:val="FF0000"/>
        </w:rPr>
        <w:t>“I serve, thou servest, we serve”</w:t>
      </w:r>
      <w:r>
        <w:rPr/>
        <w:t>—so pray here even the hypocrisy of the rulers—and alas! if the first lord be ONLY the first servant!</w:t>
      </w:r>
    </w:p>
    <w:p>
      <w:pPr>
        <w:pStyle w:val="BodyText"/>
        <w:spacing w:lineRule="auto" w:line="278" w:before="0" w:after="160"/>
        <w:rPr/>
      </w:pPr>
      <w:r>
        <w:rPr/>
        <w:tab/>
        <w:t>AC: A chant is often an affirmation. A prayer is a begging letter of supplication. The leadership begs that leadership be counted as submission. Diffusion of responsibility, diffusion of excellence, a diffusion of vision. Which will lead to the town being doomed as the top of hierarchy is at best only the highest rung of the ladder of submission.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[3_49:34] </w:t>
      </w:r>
      <w:r>
        <w:rPr>
          <w:shd w:fill="FFFF00" w:val="clea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tab/>
        <w:t>Previously he identified the hypocrisy of the rulers, now he says he looked into it. He was curious and dug in. Then claims he saw their fly-like happiness. A fly is not particularly clever, whatever happens it has in life is very much on the simple physical level. He mentions the particular act flies are known for, buzzing around a windowpane. Could be a metaphor: a being trying to escape, heading towards the light, but stopped by a barrier that they can not see only crash into. Making lots of noise, performing a lot of movement, yet making no progress.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[3_49:35] </w:t>
      </w:r>
      <w:r>
        <w:rPr>
          <w:shd w:fill="FFFF00" w:val="clear"/>
        </w:rPr>
        <w:t xml:space="preserve">So much kindness, so much weakness do I see. So much justice and pity, so much weakness. </w:t>
      </w:r>
    </w:p>
    <w:p>
      <w:pPr>
        <w:pStyle w:val="BodyText"/>
        <w:spacing w:lineRule="auto" w:line="278" w:before="0" w:after="160"/>
        <w:rPr/>
      </w:pPr>
      <w:r>
        <w:rPr/>
        <w:tab/>
        <w:t xml:space="preserve">SPEC: The double structure might be him trying to convince himself of what he is saying. He could have easily said “so much kindness, justice, and pity, so much weakness” instead he breaks it up into two clauses. An insistence rather than a description. </w:t>
      </w:r>
    </w:p>
    <w:p>
      <w:pPr>
        <w:pStyle w:val="BodyText"/>
        <w:spacing w:lineRule="auto" w:line="278" w:before="0" w:after="160"/>
        <w:rPr/>
      </w:pPr>
      <w:r>
        <w:rPr/>
        <w:tab/>
        <w:t>AC: According to Zarathustra here kindness, justice, and pity are what weak people do. They are kind hoping to avoid offense, they can not tolerate an unjust existence so they invent and enforce justice, they use pity as a means to lower those around them to their own size. Presumably a strong person is not kind they are demanding, they don’t whine about injustice they overpower, and they pity no one because that would be the worst insult.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[3_49:36] </w:t>
      </w:r>
      <w:r>
        <w:rPr>
          <w:shd w:fill="FFFF00" w:val="clear"/>
        </w:rPr>
        <w:t xml:space="preserve">Round, fair, and considerate are they to one another, as grains of sand are round, fair, and considerate to grains of sand. </w:t>
      </w:r>
    </w:p>
    <w:p>
      <w:pPr>
        <w:pStyle w:val="BodyText"/>
        <w:spacing w:lineRule="auto" w:line="278" w:before="0" w:after="160"/>
        <w:rPr/>
      </w:pPr>
      <w:r>
        <w:rPr/>
        <w:tab/>
        <w:t>SPEC: Round suggests an erosion process, sharp uniqueness shaped slowly by mindless, without aim force of water.</w:t>
      </w:r>
    </w:p>
    <w:p>
      <w:pPr>
        <w:pStyle w:val="BodyText"/>
        <w:spacing w:lineRule="auto" w:line="278" w:before="0" w:after="160"/>
        <w:rPr/>
      </w:pPr>
      <w:r>
        <w:rPr/>
        <w:tab/>
        <w:t>AC: Zarathustra lists three aspects of the townsfolk. Round, fair, and considerate. He suggest a simile of sand. Grains of sand are round and small, thus they can interchangeable without uniqueness. A sand grain on the bottom of a pile can easily be made a sand grain on the top. Connecting to his carnival of roles earlier in this section.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[3_49:37] </w:t>
      </w:r>
      <w:r>
        <w:rPr>
          <w:shd w:fill="FFFF00" w:val="clear"/>
        </w:rPr>
        <w:t xml:space="preserve">Modestly to embrace a small happiness—that do they call </w:t>
      </w:r>
      <w:r>
        <w:rPr>
          <w:color w:val="FF0000"/>
          <w:shd w:fill="FFFF00" w:val="clear"/>
        </w:rPr>
        <w:t>“submission”</w:t>
      </w:r>
      <w:r>
        <w:rPr>
          <w:shd w:fill="FFFF00" w:val="clear"/>
        </w:rPr>
        <w:t xml:space="preserve">! and at the same time they peer modestly after a new small happiness. </w:t>
      </w:r>
    </w:p>
    <w:p>
      <w:pPr>
        <w:pStyle w:val="BodyText"/>
        <w:spacing w:lineRule="auto" w:line="278" w:before="0" w:after="160"/>
        <w:rPr/>
      </w:pPr>
      <w:r>
        <w:rPr/>
        <w:tab/>
        <w:t>The townsfolk embrace a small happiness, with modesty. Not with gusto, with the communication to one another that they are not worthy of even this small happiness. The small happiness that they take modestly they call submission. Maybe this can be seen as someone downplaying even their ability to serve. Yet the townsfolk do not even seem to truly want what they embraced. They look towards obtaining even a new small happiness. The second part undercuts the message of the first. They embrace submission yet their eye’s are on something else.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[3_49:38] </w:t>
      </w:r>
      <w:r>
        <w:rPr>
          <w:shd w:fill="FFFF00" w:val="clea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tab/>
        <w:t xml:space="preserve">We were told that they wanted some other small happiness in the previous line, this is what it is. It isn't to serve it is to avoid pain. Very much the ethics of a person who lacks all agency in their life. They might embrace their serving but really deep down what they want is no one to hurt them. They avoid all conflict, focus utterly on what other people wish and do kindness onto every one, lest one of them hurt one another. Almost as if it were fawning as a cultural strategy </w:t>
      </w:r>
      <w:r>
        <w:rPr>
          <w:rStyle w:val="FootnoteReference"/>
        </w:rPr>
        <w:footnoteReference w:id="13"/>
      </w:r>
      <w:r>
        <w:rPr/>
        <w: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[3_49:39] </w:t>
      </w:r>
      <w:r>
        <w:rPr>
          <w:shd w:fill="FFFF00" w:val="clear"/>
        </w:rPr>
        <w:t xml:space="preserve">That, however, is COWARDICE, though it be called </w:t>
      </w:r>
      <w:r>
        <w:rPr>
          <w:color w:val="FF0000"/>
          <w:shd w:fill="FFFF00" w:val="clear"/>
        </w:rPr>
        <w:t>“virtue.”</w:t>
      </w:r>
      <w:r>
        <w:rPr>
          <w:shd w:fill="FFFF00" w:val="clear"/>
        </w:rPr>
        <w:t xml:space="preserve">— </w:t>
      </w:r>
    </w:p>
    <w:p>
      <w:pPr>
        <w:pStyle w:val="BodyText"/>
        <w:spacing w:lineRule="auto" w:line="278" w:before="0" w:after="160"/>
        <w:rPr/>
      </w:pPr>
      <w:r>
        <w:rPr/>
        <w:tab/>
        <w:t>The townsfolk have attempt to declare their small happiness into a virtue. Zarathustra refuses to play along with the switcheroo. He calls it being a coward. The fawning response is not aspirational, or at least not worthy of aspiration.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[3_49:40] </w:t>
      </w:r>
      <w:r>
        <w:rPr>
          <w:shd w:fill="FFFF00" w:val="clear"/>
        </w:rPr>
        <w:t xml:space="preserve">And when they chance to speak harshly, those small people, then do </w:t>
      </w:r>
      <w:r>
        <w:rPr>
          <w:i/>
          <w:shd w:fill="FFFF00" w:val="clear"/>
        </w:rPr>
        <w:t>I</w:t>
      </w:r>
      <w:r>
        <w:rPr>
          <w:shd w:fill="FFFF00" w:val="clear"/>
        </w:rPr>
        <w:t xml:space="preserve"> hear therein only their hoarseness—every draught of air maketh them hoarse. </w:t>
      </w:r>
    </w:p>
    <w:p>
      <w:pPr>
        <w:pStyle w:val="BodyText"/>
        <w:spacing w:lineRule="auto" w:line="278" w:before="0" w:after="160"/>
        <w:rPr/>
      </w:pPr>
      <w:r>
        <w:rPr/>
        <w:tab/>
        <w:t>Even when they, the Townsfolk, do push back Zarathustra downplays the effort to assert themselves. Pointing out that the Townsfolk voice rasp. He can hear the lack of strength. Every draught of air makes them hoarse could be a visual image. The mouth opens to speak and air is not drawn in, it just moves in the place.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[3_49:41] </w:t>
      </w:r>
      <w:r>
        <w:rPr>
          <w:shd w:fill="FFFF00" w:val="clear"/>
        </w:rPr>
        <w:t xml:space="preserve">Shrewd indeed are they, their virtues have shrewd fingers. But they lack fists: their fingers do not know how to creep behind fists. </w:t>
      </w:r>
    </w:p>
    <w:p>
      <w:pPr>
        <w:pStyle w:val="BodyText"/>
        <w:spacing w:lineRule="auto" w:line="278" w:before="0" w:after="160"/>
        <w:rPr/>
      </w:pPr>
      <w:r>
        <w:rPr/>
        <w:tab/>
        <w:t>This passage mixes the properties of the Townsfolk with the properties of their virtues. They and their virtues have fingers, devices that can probe, prod, and be precise. Yet they lack fists, resolution, strength to back it up. The virtues and the people are unarmed, except with the fawning response discussed earlier.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[3_49:42] </w:t>
      </w:r>
      <w:r>
        <w:rPr>
          <w:shd w:fill="FFFF00" w:val="clear"/>
        </w:rPr>
        <w:t xml:space="preserve">Virtue for them is what maketh modest and tame: therewith have they made the wolf a dog, and man himself man’s best domestic animal. </w:t>
      </w:r>
    </w:p>
    <w:p>
      <w:pPr>
        <w:pStyle w:val="BodyText"/>
        <w:spacing w:lineRule="auto" w:line="278" w:before="0" w:after="160"/>
        <w:rPr/>
      </w:pPr>
      <w:r>
        <w:rPr/>
        <w:tab/>
        <w:t>A capstone argument. Virtue ought to be what leads us to excellence and flourishing, instead their virtue leads to domestication. Which is why they turned the wolf into a dog and turned themselves into the best pet for whomever is still left that is a man.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[3_49:43] </w:t>
      </w:r>
      <w:r>
        <w:rPr>
          <w:color w:val="FF0000"/>
          <w:shd w:fill="FFFF00" w:val="clear"/>
        </w:rPr>
        <w:t>“We set our chair in the MIDST”</w:t>
      </w:r>
      <w:r>
        <w:rPr>
          <w:shd w:fill="FFFF00" w:val="clear"/>
        </w:rPr>
        <w:t>—so saith their smirking unto me—</w:t>
      </w:r>
      <w:r>
        <w:rPr>
          <w:color w:val="FF0000"/>
          <w:shd w:fill="FFFF00" w:val="clear"/>
        </w:rPr>
        <w:t xml:space="preserve">“and as far from dying gladiators as from satisfied swine.” </w:t>
      </w:r>
    </w:p>
    <w:p>
      <w:pPr>
        <w:pStyle w:val="BodyText"/>
        <w:spacing w:lineRule="auto" w:line="278" w:before="0" w:after="160"/>
        <w:rPr/>
      </w:pPr>
      <w:r>
        <w:rPr>
          <w:color w:val="FF0000"/>
        </w:rPr>
        <w:tab/>
      </w:r>
      <w:r>
        <w:rPr>
          <w:color w:val="000000"/>
        </w:rPr>
        <w:t xml:space="preserve">TN: Mitte here translated as midst can also be translated as middle </w:t>
      </w:r>
      <w:r>
        <w:rPr>
          <w:rStyle w:val="FootnoteReference"/>
          <w:color w:val="000000"/>
        </w:rPr>
        <w:footnoteReference w:id="14"/>
      </w:r>
      <w:r>
        <w:rPr>
          <w:color w:val="000000"/>
        </w:rPr>
        <w:t xml:space="preserve">. Making the passage </w:t>
      </w:r>
      <w:r>
        <w:rPr>
          <w:color w:val="FF0000"/>
        </w:rPr>
        <w:t>“We set our chain in the middle”</w:t>
      </w:r>
      <w:r>
        <w:rPr>
          <w:color w:val="000000"/>
        </w:rPr>
        <w:t>—so saith their smirking unto me—</w:t>
      </w:r>
      <w:r>
        <w:rPr>
          <w:color w:val="FF0000"/>
        </w:rPr>
        <w:t xml:space="preserve">“and as far from dying gladiators as from satisfied swine.” </w:t>
      </w:r>
    </w:p>
    <w:p>
      <w:pPr>
        <w:pStyle w:val="BodyText"/>
        <w:spacing w:lineRule="auto" w:line="278" w:before="0" w:after="160"/>
        <w:rPr/>
      </w:pPr>
      <w:r>
        <w:rPr/>
        <w:tab/>
        <w:t>AC: The townsfolk seem to say to Zarathustra that they enjoy a calibrated perfection between those that still fight and strive vs. those that only consume and grow fat therefrom. It sounds reasonable but notice this is not a condemnation of rest, it is seen as a misuse of rest. Rest to more striving as opposed to rest as an ideal between no striving and consumption.</w:t>
      </w:r>
    </w:p>
    <w:p>
      <w:pPr>
        <w:pStyle w:val="BodyText"/>
        <w:spacing w:lineRule="auto" w:line="278" w:before="0" w:after="160"/>
        <w:rPr/>
      </w:pPr>
      <w:r>
        <w:rPr/>
        <w:tab/>
        <w:t>RR: one might wonder how Zarathustra can be so confident in this diagnosis from smirking alone.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[3_49:44] </w:t>
      </w:r>
      <w:r>
        <w:rPr>
          <w:shd w:fill="FFFF00" w:val="clear"/>
        </w:rPr>
        <w:t xml:space="preserve">That, however, is—MEDIOCRITY, though it be called moderation.— </w:t>
      </w:r>
    </w:p>
    <w:p>
      <w:pPr>
        <w:pStyle w:val="BodyText"/>
        <w:spacing w:lineRule="auto" w:line="278" w:before="0" w:after="160"/>
        <w:rPr/>
      </w:pPr>
      <w:r>
        <w:rPr/>
        <w:tab/>
        <w:t>He rejects it and calls it mediocrity. He refuses to call it mere moderation. This virtue of mediocrity is not the Aristotelian mean of virtues being the middle of two vices it moderation pretending to be wisdom. The townsfolk, he claims, are committing moderation-as-alibi, a means to avoid striving and self-overcoming.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[3_49:45] </w:t>
      </w:r>
      <w:r>
        <w:rPr>
          <w:shd w:fill="FFFF00" w:val="clear"/>
        </w:rPr>
        <w:t xml:space="preserve">I pass through this people and let fall many words: but they know neither how to take nor how to retain them. </w:t>
      </w:r>
    </w:p>
    <w:p>
      <w:pPr>
        <w:pStyle w:val="BodyText"/>
        <w:spacing w:lineRule="auto" w:line="278" w:before="0" w:after="160"/>
        <w:rPr/>
      </w:pPr>
      <w:r>
        <w:rPr>
          <w:b w:val="false"/>
          <w:bCs w:val="false"/>
          <w:i w:val="false"/>
          <w:iCs w:val="false"/>
        </w:rPr>
        <w:tab/>
        <w:t xml:space="preserve">Part 3. </w:t>
      </w:r>
      <w:r>
        <w:rPr>
          <w:b w:val="false"/>
          <w:bCs w:val="false"/>
          <w:i w:val="false"/>
          <w:iCs w:val="false"/>
        </w:rPr>
        <w:t xml:space="preserve">Line is similar to </w:t>
      </w:r>
      <w:r>
        <w:rPr>
          <w:b w:val="false"/>
          <w:bCs w:val="false"/>
          <w:i w:val="false"/>
          <w:iCs w:val="false"/>
        </w:rPr>
        <w:t xml:space="preserve">[3_49:9] and [3_49:24]. Creating an </w:t>
      </w:r>
      <w:r>
        <w:rPr>
          <w:rStyle w:val="Strong"/>
          <w:b w:val="false"/>
          <w:bCs w:val="false"/>
          <w:i w:val="false"/>
          <w:iCs w:val="false"/>
        </w:rPr>
        <w:t>anaphora</w:t>
      </w:r>
      <w:r>
        <w:rPr>
          <w:rStyle w:val="Strong"/>
          <w:b w:val="false"/>
          <w:bCs w:val="false"/>
          <w:i w:val="false"/>
          <w:iCs w:val="false"/>
        </w:rPr>
        <w:t xml:space="preserve">. </w:t>
      </w:r>
      <w:r>
        <w:rPr>
          <w:rStyle w:val="Strong"/>
          <w:b w:val="false"/>
          <w:bCs w:val="false"/>
          <w:i w:val="false"/>
          <w:iCs w:val="false"/>
        </w:rPr>
        <w:t>In the previous</w:t>
      </w:r>
      <w:r>
        <w:rPr>
          <w:b w:val="false"/>
          <w:bCs w:val="false"/>
          <w:i w:val="false"/>
          <w:iCs w:val="false"/>
        </w:rPr>
        <w:t xml:space="preserve"> two lines he said he was observing them, this time he is talking of his actions. He is moving through them while telling them m</w:t>
      </w:r>
      <w:r>
        <w:rPr>
          <w:b w:val="false"/>
          <w:bCs w:val="false"/>
        </w:rPr>
        <w:t>any things that they do not know how to accept or even remember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[3_49:46] They wonder why I came not to revile venery and vice; and verily, I came not to warn against pickpockets either! </w:t>
      </w:r>
    </w:p>
    <w:p>
      <w:pPr>
        <w:pStyle w:val="BodyText"/>
        <w:spacing w:lineRule="auto" w:line="278" w:before="0" w:after="160"/>
        <w:rPr/>
      </w:pPr>
      <w:r>
        <w:rPr/>
        <w:tab/>
      </w:r>
      <w:r>
        <w:rPr/>
        <w:t>Based on the timeline. Namely, that we are seeing the post-sermon internal monologue of Zarathustra he is seems to be saying that the townsfolk came to see his sermon act with expectations. That he came to yell at what they consider sin and too much pleasure. He did not, he came to give his discourse on the Bedwarfing Virtue. They think that they are the halfway point between gladiators and fighters, Zarathustra told them that they were mediocrity embodied and it is because of what they hold righteous, which in itself was the product of fear of strife. Zarathustra declares to himself that he is not here to do that and he did not even come to remind them of civic virtue. He is the herald of the Ubermensch not a preacher of prudence. Next line,</w:t>
      </w:r>
    </w:p>
    <w:p>
      <w:pPr>
        <w:pStyle w:val="BodyText"/>
        <w:spacing w:lineRule="auto" w:line="278" w:before="0" w:after="160"/>
        <w:rPr/>
      </w:pPr>
      <w:r>
        <w:rPr/>
        <w:t xml:space="preserve"> </w:t>
      </w:r>
    </w:p>
    <w:p>
      <w:pPr>
        <w:pStyle w:val="BodyText"/>
        <w:spacing w:lineRule="auto" w:line="278" w:before="0" w:after="160"/>
        <w:rPr>
          <w:b w:val="false"/>
          <w:bCs w:val="false"/>
        </w:rPr>
      </w:pPr>
      <w:r>
        <w:rPr>
          <w:b w:val="false"/>
          <w:bCs w:val="false"/>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Notes:</w:t>
      </w:r>
    </w:p>
    <w:p>
      <w:pPr>
        <w:pStyle w:val="BodyText"/>
        <w:spacing w:lineRule="auto" w:line="278" w:before="0" w:after="160"/>
        <w:rPr/>
      </w:pPr>
      <w:r>
        <w:rPr/>
        <w:tab/>
      </w:r>
      <w:r>
        <w:rPr>
          <w:b w:val="false"/>
          <w:bCs w:val="false"/>
        </w:rPr>
        <w:t>[3_49:</w:t>
      </w:r>
      <w:r>
        <w:rPr/>
        <w:t>24-32] Seeking comfort as the primary leads to moderate tame virtue. Leading to hobbled slowed progress. Creating awful actors who slip in and out of roles. Weakening the naturally strong such that the naturally weak must step up. All leading to the hypocrisy of rulers who pretend to not rule.</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pPr>
      <w:hyperlink r:id="rId4">
        <w:r>
          <w:rPr>
            <w:rStyle w:val="Hyperlink"/>
          </w:rPr>
          <w:t>https://mythopedia.com/topics/oceanus/</w:t>
        </w:r>
      </w:hyperlink>
    </w:p>
    <w:p>
      <w:pPr>
        <w:pStyle w:val="Normal"/>
        <w:spacing w:lineRule="auto" w:line="278" w:before="0" w:after="160"/>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 xml:space="preserve">Schopenhauer, Arthur, Adrian Del Caro, and Christopher Janaway. 2015. </w:t>
      </w:r>
      <w:r>
        <w:rPr>
          <w:rFonts w:ascii="Calibri" w:hAnsi="Calibri"/>
          <w:i/>
          <w:color w:val="000000"/>
          <w:sz w:val="20"/>
          <w:szCs w:val="20"/>
          <w:shd w:fill="FFFFFF" w:val="clear"/>
        </w:rPr>
        <w:t>The Cambridge Edition of the Works of Schopenhauer. [Parerga] Parerga and Paralipomena : Short Philosophical Essays Volume 2 ...</w:t>
      </w:r>
      <w:r>
        <w:rPr>
          <w:rFonts w:ascii="Calibri" w:hAnsi="Calibri"/>
          <w:color w:val="000000"/>
          <w:sz w:val="20"/>
          <w:szCs w:val="20"/>
          <w:shd w:fill="FFFFFF" w:val="clear"/>
        </w:rPr>
        <w:t xml:space="preserve"> Cambridge Cambridge University Press.</w:t>
      </w:r>
    </w:p>
    <w:p>
      <w:pPr>
        <w:pStyle w:val="BodyText"/>
        <w:spacing w:lineRule="auto" w:line="278" w:before="0" w:after="0"/>
        <w:ind w:hanging="720" w:left="720" w:right="0"/>
        <w:rPr>
          <w:sz w:val="20"/>
          <w:szCs w:val="20"/>
        </w:rPr>
      </w:pPr>
      <w:r>
        <w:rPr>
          <w:rFonts w:ascii="Calibri" w:hAnsi="Calibri"/>
          <w:color w:val="000000"/>
          <w:sz w:val="20"/>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 w:id="10">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Inclusio.” 2024. Wikipedia. February 6, 2024. https://en.wikipedia.org/wiki/Inclusio.</w:t>
      </w:r>
    </w:p>
    <w:p>
      <w:pPr>
        <w:pStyle w:val="BodyText"/>
        <w:spacing w:lineRule="auto" w:line="278" w:before="0" w:after="160"/>
        <w:rPr>
          <w:color w:val="000000"/>
          <w:sz w:val="20"/>
          <w:szCs w:val="20"/>
          <w:shd w:fill="FFFFFF" w:val="clear"/>
        </w:rPr>
      </w:pPr>
      <w:r>
        <w:rPr/>
      </w:r>
    </w:p>
  </w:footnote>
  <w:footnote w:id="11">
    <w:p>
      <w:pPr>
        <w:pStyle w:val="FootnoteText"/>
        <w:suppressLineNumbers/>
        <w:spacing w:before="0" w:after="160"/>
        <w:ind w:hanging="340" w:left="340"/>
        <w:rPr>
          <w:sz w:val="20"/>
          <w:szCs w:val="20"/>
        </w:rPr>
      </w:pPr>
      <w:r>
        <w:rPr>
          <w:rStyle w:val="FootnoteCharacters"/>
        </w:rPr>
        <w:footnoteRef/>
      </w:r>
      <w:r>
        <w:rPr>
          <w:sz w:val="20"/>
          <w:szCs w:val="20"/>
        </w:rPr>
        <w:t>Wider: against</w:t>
      </w:r>
    </w:p>
    <w:p>
      <w:pPr>
        <w:pStyle w:val="Body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“Wider.” @CambridgeWords. January 28, 2026. https://dictionary.cambridge.org/dictionary/german-english/wider.</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sz w:val="20"/>
          <w:szCs w:val="20"/>
        </w:rPr>
      </w:pPr>
      <w:r>
        <w:rPr/>
      </w:r>
    </w:p>
  </w:footnote>
  <w:footnote w:id="12">
    <w:p>
      <w:pPr>
        <w:pStyle w:val="FootnoteText"/>
        <w:suppressLineNumbers/>
        <w:spacing w:before="0" w:after="160"/>
        <w:ind w:hanging="340" w:left="340"/>
        <w:rPr>
          <w:sz w:val="20"/>
          <w:szCs w:val="20"/>
        </w:rPr>
      </w:pPr>
      <w:r>
        <w:rPr>
          <w:rStyle w:val="FootnoteCharacters"/>
        </w:rPr>
        <w:footnoteRef/>
      </w:r>
      <w:r>
        <w:rPr>
          <w:sz w:val="20"/>
          <w:szCs w:val="20"/>
        </w:rPr>
        <w:t xml:space="preserve"> </w:t>
      </w:r>
      <w:r>
        <w:rPr>
          <w:sz w:val="20"/>
          <w:szCs w:val="20"/>
        </w:rPr>
        <w:t xml:space="preserve">Betet from Beten </w:t>
      </w:r>
    </w:p>
    <w:p>
      <w:pPr>
        <w:pStyle w:val="FootnoteText"/>
        <w:suppressLineNumbers/>
        <w:spacing w:before="0" w:after="160"/>
        <w:ind w:hanging="340" w:left="340"/>
        <w:rPr>
          <w:rFonts w:ascii="Calibri" w:hAnsi="Calibri"/>
          <w:color w:val="000000"/>
          <w:sz w:val="20"/>
          <w:szCs w:val="20"/>
          <w:shd w:fill="FFFFFF" w:val="clear"/>
        </w:rPr>
      </w:pPr>
      <w:r>
        <w:rPr>
          <w:rFonts w:ascii="Calibri" w:hAnsi="Calibri"/>
          <w:color w:val="000000"/>
          <w:sz w:val="20"/>
          <w:szCs w:val="20"/>
          <w:shd w:fill="FFFFFF" w:val="clear"/>
        </w:rPr>
        <w:t>Cambridge Dictionary. 2026. “Beten.” @CambridgeWords. January 28, 2026. https://dictionary.cambridge.org/dictionary/german-english/beten.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13">
    <w:p>
      <w:pPr>
        <w:pStyle w:val="BodyText"/>
        <w:spacing w:lineRule="auto" w:line="278" w:before="0" w:after="0"/>
        <w:ind w:hanging="720" w:left="720" w:right="0"/>
        <w:rPr>
          <w:sz w:val="20"/>
          <w:szCs w:val="20"/>
        </w:rPr>
      </w:pPr>
      <w:r>
        <w:rPr>
          <w:rStyle w:val="FootnoteCharacters"/>
        </w:rPr>
        <w:footnoteRef/>
      </w:r>
      <w:r>
        <w:rPr>
          <w:rFonts w:ascii="Calibri" w:hAnsi="Calibri"/>
          <w:color w:val="000000"/>
          <w:sz w:val="20"/>
          <w:szCs w:val="20"/>
          <w:shd w:fill="FFFFFF" w:val="clear"/>
        </w:rPr>
        <w:t>Guy-Evans, Olivia. 2021. “Fight, Flight, Freeze, or Fawn: How We Respond to Threats.” Simply Psychology. October 6, 2021. https://www.simplypsychology.org/fight-flight-freeze-fawn.html.</w:t>
      </w:r>
    </w:p>
    <w:p>
      <w:pPr>
        <w:pStyle w:val="BodyText"/>
        <w:spacing w:lineRule="auto" w:line="278" w:before="0" w:after="160"/>
        <w:rPr>
          <w:color w:val="000000"/>
          <w:sz w:val="20"/>
          <w:szCs w:val="20"/>
          <w:shd w:fill="FFFFFF" w:val="clear"/>
        </w:rPr>
      </w:pPr>
      <w:r>
        <w:rPr/>
      </w:r>
    </w:p>
  </w:footnote>
  <w:footnote w:id="14">
    <w:p>
      <w:pPr>
        <w:pStyle w:val="FootnoteText"/>
        <w:rPr/>
      </w:pPr>
      <w:r>
        <w:rPr>
          <w:rStyle w:val="FootnoteCharacters"/>
        </w:rPr>
        <w:footnoteRef/>
      </w:r>
      <w:r>
        <w:rPr/>
        <w:t>Mitte: Middle or center</w:t>
      </w:r>
    </w:p>
    <w:p>
      <w:pPr>
        <w:pStyle w:val="BodyText"/>
        <w:spacing w:before="0" w:after="140"/>
        <w:rPr>
          <w:sz w:val="20"/>
          <w:szCs w:val="20"/>
        </w:rPr>
      </w:pPr>
      <w:r>
        <w:rPr>
          <w:rFonts w:ascii="Calibri" w:hAnsi="Calibri"/>
          <w:color w:val="000000"/>
          <w:sz w:val="20"/>
          <w:szCs w:val="20"/>
          <w:shd w:fill="FFFFFF" w:val="clear"/>
        </w:rPr>
        <w:t>Cambridge Dictionary. 2026. “Mitte.” @CambridgeWords. January 28, 2026. https://dictionary.cambridge.org/dictionary/german-english/mitte?q=Mitte.</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404</TotalTime>
  <Application>LibreOffice/25.2.7.2$Windows_X86_64 LibreOffice_project/5cbfd1ab6520636bb5f7b99185aa69bd7456825d</Application>
  <AppVersion>15.0000</AppVersion>
  <Pages>24</Pages>
  <Words>8528</Words>
  <Characters>41397</Characters>
  <CharactersWithSpaces>49859</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2026-01-25T18:38:03Z</dcterms:created>
  <dc:creator/>
  <dc:description/>
  <dc:language>en-US</dc:language>
  <cp:lastModifiedBy/>
  <dcterms:modified xsi:type="dcterms:W3CDTF">2026-02-02T20:25:34Z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