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to dry land, wandered around, and questioned people. He is trying to understand this and that. Then joked to himself that he is like a river that flowed back to his source. That is cute symbolism because rivers pour out into the ocean. He is working backwards. Except that there is no true source, only the closed circuit of an impossible river. </w:t>
      </w:r>
    </w:p>
    <w:p>
      <w:pPr>
        <w:pStyle w:val="Normal"/>
        <w:spacing w:lineRule="auto" w:line="278" w:before="0" w:after="160"/>
        <w:rPr>
          <w:b w:val="false"/>
          <w:bCs w:val="false"/>
        </w:rPr>
      </w:pPr>
      <w:r>
        <w:rPr/>
        <w:tab/>
        <w:t>SPEC: Possible connection to the Greek legend of Oceanus. The Greek God who controlled a world-spanning river, which flowed back on itself. Beyond the river lay the entrance to the underworld and the Blessed Isl</w:t>
      </w:r>
      <w:r>
        <w:rPr>
          <w:i w:val="false"/>
          <w:iCs w:val="false"/>
        </w:rPr>
        <w:t xml:space="preserve">es. Zarathustra has just come back from the Isles, where some of his followers were. Additionally, Odysseus </w:t>
      </w:r>
      <w:r>
        <w:rPr>
          <w:b w:val="false"/>
          <w:bCs w:val="false"/>
          <w:i w:val="false"/>
          <w:iCs w:val="false"/>
        </w:rPr>
        <w:t xml:space="preserve">in the </w:t>
      </w:r>
      <w:r>
        <w:rPr>
          <w:rStyle w:val="Emphasis"/>
          <w:b w:val="false"/>
          <w:bCs w:val="false"/>
          <w:i w:val="false"/>
          <w:iCs w:val="false"/>
        </w:rPr>
        <w:t>Odyssey Book 11</w:t>
      </w:r>
      <w:r>
        <w:rPr>
          <w:b w:val="false"/>
          <w:bCs w:val="false"/>
          <w:i w:val="false"/>
          <w:iCs w:val="false"/>
        </w:rPr>
        <w:t xml:space="preserve"> ha</w:t>
      </w:r>
      <w:r>
        <w:rPr>
          <w:b w:val="false"/>
          <w:bCs w:val="false"/>
        </w:rPr>
        <w:t>d to c</w:t>
      </w:r>
      <w:r>
        <w:rPr/>
        <w:t>ross the world-spanning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There is a timeline question here. The reader might be wondering why Zarathustra thought much could have changed in a small amount of time that had passed. Highly speculative that perhaps the events of the 4</w:t>
      </w:r>
      <w:r>
        <w:rPr>
          <w:vertAlign w:val="superscript"/>
        </w:rPr>
        <w:t>th</w:t>
      </w:r>
      <w:r>
        <w:rPr/>
        <w:t xml:space="preserve"> part took place during the interval yet were published later. Likely, he has high diagnostic confidence in his ability to see even the smallest change as proof of direction of movement. </w:t>
      </w:r>
    </w:p>
    <w:p>
      <w:pPr>
        <w:pStyle w:val="Normal"/>
        <w:spacing w:lineRule="auto" w:line="278" w:before="0" w:after="160"/>
        <w:rPr>
          <w:b w:val="false"/>
          <w:bCs w:val="false"/>
        </w:rPr>
      </w:pPr>
      <w:r>
        <w:rPr/>
        <w:tab/>
        <w:t xml:space="preserve">Zarathustra could be saying with these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b w:val="false"/>
          <w:bCs w:val="false"/>
        </w:rPr>
      </w:pPr>
      <w:r>
        <w:rPr/>
        <w:tab/>
        <w:t>SPEC: Again another Greek connection is hinted at, the people who were said to live on the world-spanning river included a tribe of pygmies, i.e. very small people and this section is about people he calls small. He could be hammering the Greek connection since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b w:val="false"/>
          <w:bCs w:val="false"/>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b w:val="false"/>
          <w:bCs w:val="false"/>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2 sections earlier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r>
      <w:r>
        <w:rPr/>
        <w:t>Part 2 begins with this passage. W</w:t>
      </w:r>
      <w:r>
        <w:rPr/>
        <w:t>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 How appropriate that the beginning of this section started with 3</w:t>
      </w:r>
      <w:r>
        <w:rPr>
          <w:vertAlign w:val="superscript"/>
        </w:rPr>
        <w:t>rd</w:t>
      </w:r>
      <w:r>
        <w:rPr/>
        <w:t xml:space="preserve"> person format while here we see the switch to 1</w:t>
      </w:r>
      <w:r>
        <w:rPr>
          <w:vertAlign w:val="superscript"/>
        </w:rPr>
        <w:t>st</w:t>
      </w:r>
      <w:r>
        <w:rPr/>
        <w:t xml:space="preserve"> person format in the aftermath.</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that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pPr>
      <w:r>
        <w:rPr/>
        <w:tab/>
        <w:t xml:space="preserve">RR: One wonders why the discourse did not go over well. </w:t>
      </w:r>
    </w:p>
    <w:p>
      <w:pPr>
        <w:pStyle w:val="BodyText"/>
        <w:spacing w:lineRule="auto" w:line="278" w:before="0" w:after="160"/>
        <w:rPr/>
      </w:pPr>
      <w:r>
        <w:rPr/>
        <w:t xml:space="preserve"> </w:t>
      </w:r>
      <w:r>
        <w:rPr/>
        <w:t>Next line,</w:t>
      </w:r>
    </w:p>
    <w:p>
      <w:pPr>
        <w:pStyle w:val="BodyText"/>
        <w:spacing w:lineRule="auto" w:line="278" w:before="0" w:after="160"/>
        <w:rPr/>
      </w:pPr>
      <w:r>
        <w:rPr/>
        <w:t xml:space="preserve"> </w:t>
      </w:r>
    </w:p>
    <w:p>
      <w:pPr>
        <w:pStyle w:val="BodyText"/>
        <w:spacing w:lineRule="auto" w:line="278" w:before="0" w:after="160"/>
        <w:rPr>
          <w:highlight w:val="none"/>
          <w:shd w:fill="FFFF00" w:val="clear"/>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u w:val="none"/>
        </w:rPr>
      </w:pPr>
      <w:r>
        <w:rPr>
          <w:u w:val="none"/>
        </w:rPr>
        <w:tab/>
        <w:t>Earlier in the book he was clear that he does not believe in turning the other cheek. See section 19 The Bite of the Adder. He lists two relevant to this passage points. The first that failure to acknowledge harm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u w:val="none"/>
        </w:rPr>
      </w:pPr>
      <w:r>
        <w:rPr>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u w:val="none"/>
        </w:rPr>
      </w:pPr>
      <w:r>
        <w:rPr>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u w:val="none"/>
        </w:rPr>
      </w:pPr>
      <w:r>
        <w:rPr>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t>SPEC: 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p>
    <w:p>
      <w:pPr>
        <w:pStyle w:val="BodyText"/>
        <w:spacing w:lineRule="auto" w:line="278" w:before="0" w:after="160"/>
        <w:rPr/>
      </w:pPr>
      <w:r>
        <w:rPr/>
        <w:tab/>
        <w:t>Could also be a callback to the Last Man see [1_0:112]. Zarathustra is claiming to be above the fray and maintains he won't return blow for blow with what is small. A charitable reading might be that advice is being offered to the reader to not bring out the intellectual weapons on those who cannot meet you at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Also, could be a comment on the nature of having a reputation without a relationship.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t>TN: Stille can be translated as silence, lernte can be translated as learned instead of experienced. Yet, there is also value in experienced as the translation here, since we will be discussing it in terms of learned in the next section. Mantel can be translated as coat</w:t>
      </w:r>
      <w:r>
        <w:rPr>
          <w:rStyle w:val="FootnoteReference"/>
        </w:rPr>
        <w:footnoteReference w:id="6"/>
      </w:r>
      <w:r>
        <w:rPr/>
        <w:t xml:space="preserve"> changing the translation too: This is the new silence I have learned: the noise around me spreads a coat over my thoughts.</w:t>
      </w:r>
    </w:p>
    <w:p>
      <w:pPr>
        <w:pStyle w:val="BodyText"/>
        <w:spacing w:lineRule="auto" w:line="278" w:before="0" w:after="160"/>
        <w:rPr/>
      </w:pPr>
      <w:r>
        <w:rPr/>
        <w:tab/>
        <w:t>AC: Not the silence of lack of noise, a silence from noise. A concealing din that keeps the truth unheard. Possible readings of this passage include but are not limited to</w:t>
      </w:r>
    </w:p>
    <w:p>
      <w:pPr>
        <w:pStyle w:val="BodyText"/>
        <w:spacing w:lineRule="auto" w:line="278" w:before="0" w:after="160"/>
        <w:rPr/>
      </w:pPr>
      <w:r>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meditating, the way Zarathustra did for them earlier in this section.</w:t>
      </w:r>
    </w:p>
    <w:p>
      <w:pPr>
        <w:pStyle w:val="BodyText"/>
        <w:spacing w:lineRule="auto" w:line="278" w:before="0" w:after="160"/>
        <w:rPr/>
      </w:pPr>
      <w:r>
        <w:rPr/>
        <w:tab/>
        <w:t>2. He is developing the ability to learn how to be an eye of the hurricane. The calm stillness surrounded by noise and pointless energy.</w:t>
      </w:r>
    </w:p>
    <w:p>
      <w:pPr>
        <w:pStyle w:val="BodyText"/>
        <w:spacing w:lineRule="auto" w:line="278" w:before="0" w:after="160"/>
        <w:rPr/>
      </w:pPr>
      <w:r>
        <w:rPr/>
        <w:tab/>
        <w:t>3. The noise that creates a coat could be a muffle for his thoughts, making it so while they are still there, he can no longer hear them.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[3_49:15] </w:t>
      </w:r>
      <w:r>
        <w:rPr>
          <w:shd w:fill="FFFF00" w:val="clear"/>
        </w:rPr>
        <w:t xml:space="preserve">They shout to one another: </w:t>
      </w:r>
      <w:r>
        <w:rPr>
          <w:color w:val="FF0000"/>
          <w:shd w:fill="FFFF00" w:val="clear"/>
        </w:rPr>
        <w:t>“What is this gloomy cloud about to do to us? Let us see that it doth not bring a plague upon us!”</w:t>
      </w:r>
      <w:r>
        <w:rPr/>
        <w:t xml:space="preserve"> </w:t>
      </w:r>
    </w:p>
    <w:p>
      <w:pPr>
        <w:pStyle w:val="BodyText"/>
        <w:spacing w:lineRule="auto" w:line="278" w:before="0" w:after="160"/>
        <w:rPr/>
      </w:pPr>
      <w:r>
        <w:rPr/>
        <w:tab/>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pPr>
      <w:r>
        <w:rPr/>
        <w:tab/>
        <w:t>RR: 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[3_49:16] </w:t>
      </w:r>
      <w:r>
        <w:rPr>
          <w:shd w:fill="FFFF00" w:val="clear"/>
        </w:rPr>
        <w:t>And recently did a woman seize upon her child that was coming unto me: “</w:t>
      </w:r>
      <w:r>
        <w:rPr>
          <w:color w:val="FF0000"/>
          <w:shd w:fill="FFFF00" w:val="clear"/>
        </w:rPr>
        <w:t>Take the children away,”</w:t>
      </w:r>
      <w:r>
        <w:rPr>
          <w:shd w:fill="FFFF00" w:val="clear"/>
        </w:rPr>
        <w:t xml:space="preserve"> cried she, </w:t>
      </w:r>
      <w:r>
        <w:rPr>
          <w:color w:val="FF0000"/>
          <w:shd w:fill="FFFF00" w:val="clear"/>
        </w:rPr>
        <w:t>“such eyes scorch children’s souls.”</w:t>
      </w:r>
      <w:r>
        <w:rPr>
          <w:shd w:fill="FFFF00" w:val="clear"/>
        </w:rPr>
        <w:t xml:space="preserve"> </w:t>
      </w:r>
    </w:p>
    <w:p>
      <w:pPr>
        <w:pStyle w:val="BodyText"/>
        <w:spacing w:lineRule="auto" w:line="278" w:before="0" w:after="160"/>
        <w:rPr/>
      </w:pPr>
      <w:r>
        <w:rPr/>
        <w:tab/>
        <w:t>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[3_49:17] </w:t>
      </w:r>
      <w:r>
        <w:rPr>
          <w:shd w:fill="FFFF00" w:val="clear"/>
        </w:rPr>
        <w:t xml:space="preserve">They cough when I speak: they think coughing an objection to strong winds—they divine nothing of the boisterousness of my happiness! </w:t>
      </w:r>
    </w:p>
    <w:p>
      <w:pPr>
        <w:pStyle w:val="BodyText"/>
        <w:spacing w:lineRule="auto" w:line="278" w:before="0" w:after="160"/>
        <w:rPr/>
      </w:pPr>
      <w:r>
        <w:rPr/>
        <w:tab/>
      </w:r>
      <w:r>
        <w:rPr>
          <w:b w:val="false"/>
          <w:bCs w:val="false"/>
        </w:rPr>
        <w:t xml:space="preserve">TN: </w:t>
      </w:r>
      <w:r>
        <w:rPr>
          <w:rStyle w:val="Strong"/>
          <w:b w:val="false"/>
          <w:bCs w:val="false"/>
        </w:rPr>
        <w:t>Brausen</w:t>
      </w:r>
      <w:r>
        <w:rPr>
          <w:rStyle w:val="FootnoteReference"/>
          <w:b w:val="false"/>
          <w:bCs w:val="false"/>
        </w:rPr>
        <w:footnoteReference w:id="8"/>
      </w:r>
      <w:r>
        <w:rPr>
          <w:b w:val="false"/>
          <w:bCs w:val="false"/>
        </w:rPr>
        <w:t xml:space="preserve"> is translated as boisterousness, suggest instead roar. Sentence would read instead “They cough when I speak:</w:t>
      </w:r>
      <w:r>
        <w:rPr/>
        <w:t xml:space="preserve"> they think coughing an objection to strong winds—they divine nothing of the roar of my happiness!”</w:t>
      </w:r>
    </w:p>
    <w:p>
      <w:pPr>
        <w:pStyle w:val="BodyText"/>
        <w:spacing w:lineRule="auto" w:line="278" w:before="0" w:after="160"/>
        <w:rPr/>
      </w:pPr>
      <w:r>
        <w:rPr/>
        <w:tab/>
        <w:t>AC: The contagion motif continues. Coughing aligning with the plague motif. The townsfolk act as if an expression of disapproval could ward off what Zarathustra represents. They cough and make a small wind with their disapproval, Zarathustra roars with his happiness. Next line,</w:t>
      </w:r>
    </w:p>
    <w:p>
      <w:pPr>
        <w:pStyle w:val="BodyText"/>
        <w:spacing w:lineRule="auto" w:line="278" w:before="0" w:after="160"/>
        <w:rPr>
          <w:highlight w:val="none"/>
          <w:shd w:fill="FFFF00" w:val="clear"/>
        </w:rPr>
      </w:pPr>
      <w:r>
        <w:rPr>
          <w:b w:val="false"/>
          <w:bCs w:val="false"/>
          <w:shd w:fill="FFFF00" w:val="clear"/>
        </w:rPr>
        <w:t xml:space="preserve">[3_49:18] </w:t>
      </w:r>
      <w:r>
        <w:rPr>
          <w:color w:val="FF0000"/>
          <w:shd w:fill="FFFF00" w:val="clear"/>
        </w:rPr>
        <w:t>“We have not yet time for Zarathustra”</w:t>
      </w:r>
      <w:r>
        <w:rPr>
          <w:shd w:fill="FFFF00" w:val="clear"/>
        </w:rPr>
        <w:t xml:space="preserve">—so they object; but what matter about a time that “hath no time” for Zarathustra? </w:t>
      </w:r>
    </w:p>
    <w:p>
      <w:pPr>
        <w:pStyle w:val="BodyText"/>
        <w:spacing w:lineRule="auto" w:line="278" w:before="0" w:after="160"/>
        <w:rPr/>
      </w:pPr>
      <w:r>
        <w:rPr/>
        <w:tab/>
        <w:t>Another weak objection is raised to Zarathustra by the townsfolk. They do not have time for depth. Keeping the theme of scale in this section, their homes were already almost too small for him to fit in, now they claim their time is also insufficient. Zarathustra uses a Chiasmus here to affirm the truth of what they say. Yes, they do not have time for what he says. Fine, why should he care about such a small sum of time?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[3_49:19] </w:t>
      </w:r>
      <w:r>
        <w:rPr>
          <w:shd w:fill="FFFF00" w:val="clear"/>
        </w:rPr>
        <w:t xml:space="preserve">And if they should altogether praise me, how could I go to sleep on THEIR praise? </w:t>
      </w:r>
    </w:p>
    <w:p>
      <w:pPr>
        <w:pStyle w:val="BodyText"/>
        <w:spacing w:lineRule="auto" w:line="278" w:before="0" w:after="160"/>
        <w:rPr/>
      </w:pPr>
      <w:r>
        <w:rPr/>
        <w:tab/>
        <w:t>TN: the second praise here translated as praise can also be translated as fame.</w:t>
      </w:r>
      <w:r>
        <w:rPr>
          <w:rStyle w:val="FootnoteReference"/>
        </w:rPr>
        <w:footnoteReference w:id="9"/>
      </w:r>
      <w:r>
        <w:rPr/>
        <w:t xml:space="preserve"> As it is two different words in the original German suggested translation becomes “And if they should altogether praise me, how could I go to sleep on THEIR fame?”</w:t>
      </w:r>
    </w:p>
    <w:p>
      <w:pPr>
        <w:pStyle w:val="BodyText"/>
        <w:spacing w:lineRule="auto" w:line="278" w:before="0" w:after="160"/>
        <w:rPr/>
      </w:pPr>
      <w:r>
        <w:rPr/>
        <w:tab/>
        <w:t>AC: And if, purely hypothetically, they would praise me, then how could I ever relax in their fame that they built for me? Not the ownership. Their fame. Most of us think of our fame, Zarathustra by his word choices is fully distancing himself from that potential fame.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[3_49:20] </w:t>
      </w:r>
      <w:r>
        <w:rPr>
          <w:shd w:fill="FFFF00" w:val="clear"/>
        </w:rPr>
        <w:t xml:space="preserve">A girdle of spines is their praise unto me: it scratcheth me even when I take it off. </w:t>
      </w:r>
    </w:p>
    <w:p>
      <w:pPr>
        <w:pStyle w:val="BodyText"/>
        <w:spacing w:lineRule="auto" w:line="278" w:before="0" w:after="160"/>
        <w:rPr/>
      </w:pPr>
      <w:r>
        <w:rPr/>
        <w:tab/>
        <w:t xml:space="preserve">The imagery here of wearing a belt of thorns is worth considering. The idea of a belt of thorns around your waist is just painful. Even if you take it off the process is going to hurt and leave you marked. Usually when something hurts you take action to remove the pain, but a belt of thorns is going to hurt with any movement. Even when that movement is very goal-driven and clever. He isn’t running around in mindless pain, instead he is slowly taking it off. Their praise would mean freezing him in place and still suffering, a slow removal would still hurt. It is like a medieval torture. A simile of social traps: accepting praise and forfeiting movement, reject and the suffering causes you pain and leaves you a marked one. </w:t>
      </w:r>
    </w:p>
    <w:p>
      <w:pPr>
        <w:pStyle w:val="BodyText"/>
        <w:spacing w:lineRule="auto" w:line="278" w:before="0" w:after="160"/>
        <w:rPr/>
      </w:pPr>
      <w:r>
        <w:rPr/>
        <w:tab/>
        <w:t>Zarathustra is arguing with himself, that even if the sermon had worked it would still not have worked out well for him.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[3_49:21] </w:t>
      </w:r>
      <w:r>
        <w:rPr>
          <w:shd w:fill="FFFF00" w:val="clear"/>
        </w:rPr>
        <w:t>And this also did I learn among them: the praiser doeth as if he gave back; in truth, however, he wanteth more to be given him!</w:t>
      </w:r>
      <w:r>
        <w:rPr/>
        <w:t xml:space="preserve"> </w:t>
      </w:r>
    </w:p>
    <w:p>
      <w:pPr>
        <w:pStyle w:val="BodyText"/>
        <w:spacing w:lineRule="auto" w:line="278" w:before="0" w:after="160"/>
        <w:rPr/>
      </w:pPr>
      <w:r>
        <w:rPr/>
        <w:tab/>
        <w:t xml:space="preserve">AC: He thinks that anyone saying how great someone is wants whatever it is that person does to do more of. Praise is self-motivated from praiser. It produces an obligation. You want more flattery? Go do that thing you did again. Praise pretends to be a gift but really is an obligation. </w:t>
      </w:r>
    </w:p>
    <w:p>
      <w:pPr>
        <w:pStyle w:val="BodyText"/>
        <w:spacing w:lineRule="auto" w:line="278" w:before="0" w:after="160"/>
        <w:rPr/>
      </w:pPr>
      <w:r>
        <w:rPr/>
        <w:tab/>
        <w:t>RR: Author might be hinting at sour grapes here. The evidence shown is that Zarathustra was not praised. Instead of accepting that he could not obtain what he desired he declares it of negative value.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[3_49:22] </w:t>
      </w:r>
      <w:r>
        <w:rPr>
          <w:shd w:fill="FFFF00" w:val="clear"/>
        </w:rPr>
        <w:t xml:space="preserve">Ask my foot if their lauding and luring strains please it! Verily, to such measure and ticktack, it liketh neither to dance nor to stand still. </w:t>
      </w:r>
    </w:p>
    <w:p>
      <w:pPr>
        <w:pStyle w:val="BodyText"/>
        <w:spacing w:lineRule="auto" w:line="278" w:before="0" w:after="160"/>
        <w:rPr/>
      </w:pPr>
      <w:r>
        <w:rPr/>
        <w:tab/>
        <w:t>Asking a rhetorical question if his foot, his desire to dance, approves of the music they could make. The music being their praises and enticing. Then answering with a no. A vehement no that he would not even not dance to that tune.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[3_49:23] </w:t>
      </w:r>
      <w:r>
        <w:rPr>
          <w:shd w:fill="FFFF00" w:val="clear"/>
        </w:rPr>
        <w:t xml:space="preserve">To small virtues would they fain lure and laud me; to the ticktack of small happiness would they fain persuade my foot. </w:t>
      </w:r>
    </w:p>
    <w:p>
      <w:pPr>
        <w:pStyle w:val="BodyText"/>
        <w:spacing w:lineRule="auto" w:line="278" w:before="0" w:after="160"/>
        <w:rPr/>
      </w:pPr>
      <w:r>
        <w:rPr/>
        <w:tab/>
        <w:t>The unplanned method of the townsfolk in dealing with the outliers and those too intense. Lure them and laud them. Offer prizes for compliance and praise as social control. With the result of those like Zarathustra moved into the endless dance monotony of ticktack tunes. A faint smell of an experienced teacher being able to coax a student into drills. You are such a fine young man, do you not want to have ice cream afterwards and everyone seeing how good of a job you did? Even success for him would be failure.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[3_49:24] </w:t>
      </w:r>
      <w:r>
        <w:rPr>
          <w:shd w:fill="FFFF00" w:val="clea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tab/>
        <w:t xml:space="preserve">This repetition of the beginning resembles a biblical literary structure called an Inclusio </w:t>
      </w:r>
      <w:r>
        <w:rPr>
          <w:rStyle w:val="FootnoteReference"/>
        </w:rPr>
        <w:footnoteReference w:id="10"/>
      </w:r>
      <w:r>
        <w:rPr/>
        <w:t xml:space="preserve">. Earlier it was perception, now it is diagnosis. </w:t>
      </w:r>
    </w:p>
    <w:p>
      <w:pPr>
        <w:pStyle w:val="BodyText"/>
        <w:spacing w:lineRule="auto" w:line="278" w:before="0" w:after="160"/>
        <w:rPr/>
      </w:pPr>
      <w:r>
        <w:rPr/>
        <w:tab/>
        <w:t>In terms of what the sentence says it is implying that their doctrine of happiness and virtue, of shrinking down the large in their society, has turned inward. Zarathustra is passing through these people, he is not going to stick around. Targets like him either do the same or stay letting the bedwarfing virtue do the work. Conformity on conformity on conformity until everything is a pebble of the rock that it once was.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[3_49:25] </w:t>
      </w:r>
      <w:r>
        <w:rPr>
          <w:shd w:fill="FFFF00" w:val="clear"/>
        </w:rPr>
        <w:t xml:space="preserve">For they are moderate also in virtue,—because they want comfort. With comfort, however, moderate virtue only is compatible. </w:t>
      </w:r>
    </w:p>
    <w:p>
      <w:pPr>
        <w:pStyle w:val="BodyText"/>
        <w:spacing w:lineRule="auto" w:line="278" w:before="0" w:after="160"/>
        <w:rPr/>
      </w:pPr>
      <w:r>
        <w:rPr/>
        <w:tab/>
        <w:t>He says they are small because of their happiness and virtue, their virtue is moderate. Why? Because they ultimately want comfort. And big virtue is incompatible with comfort. This is not the Aristotle golden mean, which is intended to lead to flourishing this is the moderate virtue that leads to smallness driven by the desire for comfort.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[3_49:26] </w:t>
      </w:r>
      <w:r>
        <w:rPr>
          <w:shd w:fill="FFFF00" w:val="clea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tab/>
        <w:t>Here he is dismissing what they call their progress. Oh sure the townspeople move, and move forward. Yet it is towards the direction of comfort. As they and their world become smaller and smaller they become a block for anyone who is aware of the passage of time.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[3_49:27] </w:t>
      </w:r>
      <w:r>
        <w:rPr>
          <w:shd w:fill="FFFF00" w:val="clear"/>
        </w:rPr>
        <w:t xml:space="preserve">And many of them go forward, and look backwards thereby, with stiffened necks: those do I like to run up against. </w:t>
      </w:r>
    </w:p>
    <w:p>
      <w:pPr>
        <w:pStyle w:val="BodyText"/>
        <w:spacing w:lineRule="auto" w:line="278" w:before="0" w:after="160"/>
        <w:rPr/>
      </w:pPr>
      <w:r>
        <w:rPr/>
        <w:tab/>
        <w:t>As the townspeople move towards greater comfort they give us a parody of human form. Head stiff back the way they came not at what lies ahead. The future is pursued but not faced. Zarathustra enjoys bumping into them. Before it was not clear to why he even bothered with his street preaching thing when he arrived. This is the first time we are seeing him express any kind of desire. It is not a noble like but it is some motivation. This would mean, if true, Zarathustra needs some friction with the social world to feel, if love and listening is not available he will take collision.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[3_49:28] </w:t>
      </w:r>
      <w:r>
        <w:rPr>
          <w:shd w:fill="FFFF00" w:val="clear"/>
        </w:rPr>
        <w:t xml:space="preserve">Foot and eye shall not lie, nor give the lie to each other. But there is much lying among small people. </w:t>
      </w:r>
    </w:p>
    <w:p>
      <w:pPr>
        <w:pStyle w:val="BodyText"/>
        <w:spacing w:lineRule="auto" w:line="278" w:before="0" w:after="160"/>
        <w:rPr/>
      </w:pPr>
      <w:r>
        <w:rPr/>
        <w:tab/>
        <w:t>Foot and eye shall not lie. Both should report accurately. Feet should say forward when moving forward, eye shall see what is coming and say what is coming. Nor, shall both reports be true from their perspective but globally contradict. Zarathustra will not have it with two liars pledging fidelity with knives behind their backs nor two eyewitnesses who neither of which really saw the whole picture. Despite rejecting it he notes those townsfolk have much of it going 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[3_49:29] </w:t>
      </w:r>
      <w:r>
        <w:rPr>
          <w:shd w:fill="FFFF00" w:val="clear"/>
        </w:rPr>
        <w:t xml:space="preserve">Some of them WILL, but most of them are WILLED. Some of them are genuine, but most of them are bad actors. </w:t>
      </w:r>
    </w:p>
    <w:p>
      <w:pPr>
        <w:pStyle w:val="BodyText"/>
        <w:spacing w:lineRule="auto" w:line="278" w:before="0" w:after="160"/>
        <w:rPr/>
      </w:pPr>
      <w:r>
        <w:rPr/>
        <w:tab/>
        <w:t>We should keep in mind that Zarathustra here is engaged in conversation with us the reader. He is seeking to put an idea in our mind and the means of doing it is fair game to discuss. Here he is walking back his description of the townsfolk. Not all of them are completely lost. Possibility, since his heaping attacks on them could be raising skepticism. They surely cannot be all beyond redemption we might say, hence he is conceding something small to make his condemnation look accurate. Also could be trying to recruit us the reader. Are we exerting our will or are we willed upon? Are we genuine or are we actors, and bad actors at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[3_49:30] </w:t>
      </w:r>
      <w:r>
        <w:rPr>
          <w:shd w:fill="FFFF00" w:val="clear"/>
        </w:rPr>
        <w:t xml:space="preserve">There are actors without knowing it amongst them, and actors without intending it—, the genuine ones are always rare, especially the genuine actors. </w:t>
      </w:r>
    </w:p>
    <w:p>
      <w:pPr>
        <w:pStyle w:val="BodyText"/>
        <w:spacing w:lineRule="auto" w:line="278" w:before="0" w:after="160"/>
        <w:rPr/>
      </w:pPr>
      <w:r>
        <w:rPr/>
        <w:tab/>
        <w:t xml:space="preserve">TN: wider here is translated as without, it can also be translated as against. </w:t>
      </w:r>
      <w:r>
        <w:rPr>
          <w:rStyle w:val="FootnoteReference"/>
        </w:rPr>
        <w:footnoteReference w:id="11"/>
      </w:r>
      <w:r>
        <w:rPr/>
        <w:t xml:space="preserve"> turning the sentence into </w:t>
      </w:r>
      <w:r>
        <w:rPr>
          <w:b w:val="false"/>
          <w:bCs w:val="false"/>
        </w:rPr>
        <w:t>“</w:t>
      </w:r>
      <w:r>
        <w:rPr/>
        <w:t>There are actors against their knowledge amongst them, and actors against their intention—, the genuine ones are always rare, especially the genuine actors.”</w:t>
      </w:r>
    </w:p>
    <w:p>
      <w:pPr>
        <w:pStyle w:val="BodyText"/>
        <w:spacing w:lineRule="auto" w:line="278" w:before="0" w:after="160"/>
        <w:rPr/>
      </w:pPr>
      <w:r>
        <w:rPr/>
        <w:tab/>
        <w:t xml:space="preserve">AC: First addressing the Thomas Common translation we have people acting without knowing it and people acting without their will being present. The actual genuine, people knowing what they are doing and intended what they do, are hard to find. Harder still are the actors amongst that minority. </w:t>
      </w:r>
    </w:p>
    <w:p>
      <w:pPr>
        <w:pStyle w:val="BodyText"/>
        <w:spacing w:lineRule="auto" w:line="278" w:before="0" w:after="160"/>
        <w:rPr/>
      </w:pPr>
      <w:r>
        <w:rPr/>
        <w:tab/>
        <w:t>Addressing the suggested revised translation we find a slight difference. The actors here in the town know better but act as if they do not also they move against their will. The genuine ones who live the knowledge they know and act with the will they have are very rare, the rarest amongst them can know the truth, know their will and act otherwise. True actors can make you believe they are who they play.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[3_49:31] </w:t>
      </w:r>
      <w:r>
        <w:rPr>
          <w:shd w:fill="FFFF00" w:val="clear"/>
        </w:rPr>
        <w:t xml:space="preserve">Of man there is little here: therefore do their women masculinise themselves. For only he who is man enough, will—SAVE THE WOMAN in woman. </w:t>
      </w:r>
    </w:p>
    <w:p>
      <w:pPr>
        <w:pStyle w:val="BodyText"/>
        <w:spacing w:lineRule="auto" w:line="278" w:before="0" w:after="160"/>
        <w:rPr/>
      </w:pPr>
      <w:r>
        <w:rPr/>
        <w:tab/>
        <w:t>Zarathustra states the bedwarfing virtue in gender terms. Claiming it takes those naturally strong and makes them weak such that they naturally weak have to become strong. Suggesting that at some future time it is possible the real strong will return the town to the proper order.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[3_49:32] </w:t>
      </w:r>
      <w:r>
        <w:rPr>
          <w:shd w:fill="FFFF00" w:val="clear"/>
        </w:rPr>
        <w:t xml:space="preserve">And this hypocrisy found I worst amongst them, that even those who command feign the virtues of those who serve. </w:t>
      </w:r>
    </w:p>
    <w:p>
      <w:pPr>
        <w:pStyle w:val="BodyText"/>
        <w:spacing w:lineRule="auto" w:line="278" w:before="0" w:after="160"/>
        <w:rPr/>
      </w:pPr>
      <w:r>
        <w:rPr/>
        <w:tab/>
        <w:t xml:space="preserve">According to Zarathustra the worst hypocrisy of the townsfolk is commanders pretending to the virtues of those who serve. The sophist just asking questions, the town mayor in a photo-op pretending to like a corn-dog, the manipulative preacher of virtues claiming to be but a humble servant of a higher power. </w:t>
      </w:r>
    </w:p>
    <w:p>
      <w:pPr>
        <w:pStyle w:val="BodyText"/>
        <w:spacing w:lineRule="auto" w:line="278" w:before="0" w:after="160"/>
        <w:rPr/>
      </w:pPr>
      <w:r>
        <w:rPr/>
        <w:tab/>
        <w:t>Keep in mind that the author hated Socrates. Socrates often pulled the humility maneuver. Claiming not to be a teacher while he taught, telling people he had no wisdom while presenting wisdom, arguing that he serves the good and virtue. All the while fully in control of the situation and the conversation. He ruled and claimed to serve. Until the last when he manipulated the Athenians under his shadow via the guilt in what they had done.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[3_49:33] </w:t>
      </w:r>
      <w:r>
        <w:rPr>
          <w:color w:val="FF0000"/>
          <w:shd w:fill="FFFF00" w:val="clear"/>
        </w:rPr>
        <w:t>“I serve, thou servest, we serve”</w:t>
      </w:r>
      <w:r>
        <w:rPr>
          <w:shd w:fill="FFFF00" w:val="clear"/>
        </w:rPr>
        <w:t xml:space="preserve">—so chanteth here even the hypocrisy of the rulers—and alas! if the first lord be ONLY the first servant! </w:t>
      </w:r>
    </w:p>
    <w:p>
      <w:pPr>
        <w:pStyle w:val="BodyText"/>
        <w:spacing w:lineRule="auto" w:line="278" w:before="0" w:after="160"/>
        <w:rPr/>
      </w:pPr>
      <w:r>
        <w:rPr/>
        <w:tab/>
        <w:t xml:space="preserve">TN: chanteth can also be translated as prayed. </w:t>
      </w:r>
      <w:r>
        <w:rPr>
          <w:rStyle w:val="FootnoteReference"/>
        </w:rPr>
        <w:footnoteReference w:id="12"/>
      </w:r>
      <w:r>
        <w:rPr/>
        <w:t xml:space="preserve"> Changing the passage to </w:t>
      </w:r>
      <w:r>
        <w:rPr>
          <w:color w:val="FF0000"/>
        </w:rPr>
        <w:t>“I serve, thou servest, we serve”</w:t>
      </w:r>
      <w:r>
        <w:rPr/>
        <w:t>—so pray here even the hypocrisy of the rulers—and alas! if the first lord be ONLY the first servant!</w:t>
      </w:r>
    </w:p>
    <w:p>
      <w:pPr>
        <w:pStyle w:val="BodyText"/>
        <w:spacing w:lineRule="auto" w:line="278" w:before="0" w:after="160"/>
        <w:rPr/>
      </w:pPr>
      <w:r>
        <w:rPr/>
        <w:tab/>
        <w:t>AC: A chant is often an affirmation. A prayer is a begging letter of supplication. The leadership begs that leadership be counted as submission. Diffusion of responsibility, diffusion of excellence, a diffusion of vision. Which will lead to the town being doomed as the top of hierarchy is at best only the highest rung of the ladder of submission.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[3_49:34] </w:t>
      </w:r>
      <w:r>
        <w:rPr>
          <w:shd w:fill="FFFF00" w:val="clea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tab/>
        <w:t>Previously he identified the hypocrisy of the rulers, now he says he looked into it. He was curious and dug in. Then claims he saw their fly-like happiness. A fly is not particularly clever, whatever happens it has in life is very much on the simple physical level. He mentions the particular act flies are known for, buzzing around a windowpane. Could be a metaphor: a being trying to escape, heading towards the light, but stopped by a barrier that they can not see only crash into. Making lots of noise, performing a lot of movement, yet making no progress.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[3_49:35] </w:t>
      </w:r>
      <w:r>
        <w:rPr>
          <w:shd w:fill="FFFF00" w:val="clear"/>
        </w:rPr>
        <w:t xml:space="preserve">So much kindness, so much weakness do I see. So much justice and pity, so much weakness. </w:t>
      </w:r>
    </w:p>
    <w:p>
      <w:pPr>
        <w:pStyle w:val="BodyText"/>
        <w:spacing w:lineRule="auto" w:line="278" w:before="0" w:after="160"/>
        <w:rPr/>
      </w:pPr>
      <w:r>
        <w:rPr/>
        <w:tab/>
        <w:t xml:space="preserve">SPEC: The double structure might be him trying to convince himself of what he is saying. He could have easily said “so much kindness, justice, and pity, so much weakness” instead he breaks it up into two clauses. An insistence rather than a description. </w:t>
      </w:r>
    </w:p>
    <w:p>
      <w:pPr>
        <w:pStyle w:val="BodyText"/>
        <w:spacing w:lineRule="auto" w:line="278" w:before="0" w:after="160"/>
        <w:rPr/>
      </w:pPr>
      <w:r>
        <w:rPr/>
        <w:tab/>
        <w:t>AC: According to Zarathustra here kindness, justice, and pity are what weak people do. They are kind hoping to avoid offense, they can not tolerate an unjust existence so they invent and enforce justice, they use pity as a means to lower those around them to their own size. Presumably a strong person is not kind they are demanding, they don’t whine about injustice they overpower, and they pity no one because that would be the worst insult.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[3_49:36] </w:t>
      </w:r>
      <w:r>
        <w:rPr>
          <w:shd w:fill="FFFF00" w:val="clear"/>
        </w:rPr>
        <w:t xml:space="preserve">Round, fair, and considerate are they to one another, as grains of sand are round, fair, and considerate to grains of sand. </w:t>
      </w:r>
    </w:p>
    <w:p>
      <w:pPr>
        <w:pStyle w:val="BodyText"/>
        <w:spacing w:lineRule="auto" w:line="278" w:before="0" w:after="160"/>
        <w:rPr/>
      </w:pPr>
      <w:r>
        <w:rPr/>
        <w:tab/>
        <w:t>SPEC: Round suggests an erosion process, sharp uniqueness shaped slowly by mindless, without aim force of water.</w:t>
      </w:r>
    </w:p>
    <w:p>
      <w:pPr>
        <w:pStyle w:val="BodyText"/>
        <w:spacing w:lineRule="auto" w:line="278" w:before="0" w:after="160"/>
        <w:rPr/>
      </w:pPr>
      <w:r>
        <w:rPr/>
        <w:tab/>
        <w:t>AC: Zarathustra lists three aspects of the townsfolk. Round, fair, and considerate. He suggest a simile of sand. Grains of sand are round and small, thus they can interchangeable without uniqueness. A sand grain on the bottom of a pile can easily be made a sand grain on the top. Connecting to his carnival of roles earlier in this section.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[3_49:37] </w:t>
      </w:r>
      <w:r>
        <w:rPr>
          <w:shd w:fill="FFFF00" w:val="clear"/>
        </w:rPr>
        <w:t xml:space="preserve">Modestly to embrace a small happiness—that do they call </w:t>
      </w:r>
      <w:r>
        <w:rPr>
          <w:color w:val="FF0000"/>
          <w:shd w:fill="FFFF00" w:val="clear"/>
        </w:rPr>
        <w:t>“submission”</w:t>
      </w:r>
      <w:r>
        <w:rPr>
          <w:shd w:fill="FFFF00" w:val="clear"/>
        </w:rPr>
        <w:t xml:space="preserve">! and at the same time they peer modestly after a new small happiness. </w:t>
      </w:r>
    </w:p>
    <w:p>
      <w:pPr>
        <w:pStyle w:val="BodyText"/>
        <w:spacing w:lineRule="auto" w:line="278" w:before="0" w:after="160"/>
        <w:rPr/>
      </w:pPr>
      <w:r>
        <w:rPr/>
        <w:tab/>
        <w:t>The townsfolk embrace a small happiness, with modesty. Not with gusto, with the communication to one another that they are not worthy of even this small happiness. The small happiness that they take modestly they call submission. Maybe this can be seen as someone downplaying even their ability to serve. Yet the townsfolk do not even seem to truly want what they embraced. They look towards obtaining even a new small happiness. The second part undercuts the message of the first. They embrace submission yet their eye’s are on something else.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[3_49:38] </w:t>
      </w:r>
      <w:r>
        <w:rPr>
          <w:shd w:fill="FFFF00" w:val="clea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tab/>
        <w:t xml:space="preserve">We were told that they wanted some other small happiness in the previous line, this is what it is. It isn't to serve it is to avoid pain. Very much the ethics of a person who lacks all agency in their life. They might embrace their serving but really deep down what they want is no one to hurt them. They avoid all conflict, focus utterly on what other people wish and do kindness onto every one, lest one of them hurt one another. Almost as if it were fawning as a cultural strategy </w:t>
      </w:r>
      <w:r>
        <w:rPr>
          <w:rStyle w:val="FootnoteReference"/>
        </w:rPr>
        <w:footnoteReference w:id="13"/>
      </w:r>
      <w:r>
        <w:rPr/>
        <w: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[3_49:39] </w:t>
      </w:r>
      <w:r>
        <w:rPr>
          <w:shd w:fill="FFFF00" w:val="clear"/>
        </w:rPr>
        <w:t xml:space="preserve">That, however, is COWARDICE, though it be called </w:t>
      </w:r>
      <w:r>
        <w:rPr>
          <w:color w:val="FF0000"/>
          <w:shd w:fill="FFFF00" w:val="clear"/>
        </w:rPr>
        <w:t>“virtue.”</w:t>
      </w:r>
      <w:r>
        <w:rPr>
          <w:shd w:fill="FFFF00" w:val="clear"/>
        </w:rPr>
        <w:t xml:space="preserve">— </w:t>
      </w:r>
    </w:p>
    <w:p>
      <w:pPr>
        <w:pStyle w:val="BodyText"/>
        <w:spacing w:lineRule="auto" w:line="278" w:before="0" w:after="160"/>
        <w:rPr/>
      </w:pPr>
      <w:r>
        <w:rPr/>
        <w:tab/>
        <w:t>The townsfolk have attempt to declare their small happiness into a virtue. Zarathustra refuses to play along with the switcheroo. He calls it being a coward. The fawning response is not aspirational, or at least not worthy of aspiration.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[3_49:40] </w:t>
      </w:r>
      <w:r>
        <w:rPr>
          <w:shd w:fill="FFFF00" w:val="clear"/>
        </w:rPr>
        <w:t xml:space="preserve">And when they chance to speak harshly, those small people, then do </w:t>
      </w:r>
      <w:r>
        <w:rPr>
          <w:i/>
          <w:shd w:fill="FFFF00" w:val="clear"/>
        </w:rPr>
        <w:t>I</w:t>
      </w:r>
      <w:r>
        <w:rPr>
          <w:shd w:fill="FFFF00" w:val="clear"/>
        </w:rPr>
        <w:t xml:space="preserve"> hear therein only their hoarseness—every draught of air maketh them hoarse. </w:t>
      </w:r>
    </w:p>
    <w:p>
      <w:pPr>
        <w:pStyle w:val="BodyText"/>
        <w:spacing w:lineRule="auto" w:line="278" w:before="0" w:after="160"/>
        <w:rPr/>
      </w:pPr>
      <w:r>
        <w:rPr/>
        <w:tab/>
        <w:t>Even when they, the Townsfolk, do push back Zarathustra downplays the effort to assert themselves. Pointing out that the Townsfolk voice rasp. He can hear the lack of strength. Every draught of air makes them hoarse could be a visual image. The mouth opens to speak and air is not drawn in, it just moves in the place. Next line,</w:t>
      </w:r>
    </w:p>
    <w:p>
      <w:pPr>
        <w:pStyle w:val="BodyText"/>
        <w:spacing w:lineRule="auto" w:line="278" w:before="0" w:after="160"/>
        <w:rPr/>
      </w:pPr>
      <w:r>
        <w:rPr/>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tab/>
        <w:t>This passage mixes the properties of the Townsfolk with the properties of their virtues. They and their virtues have fingers, devices that can probe, prod, and be precise. Yet they lack fists, resolution, strength to back it up. The virtues and the people are unarmed, except with the fawning response discussed earlier. Next line,</w:t>
      </w:r>
    </w:p>
    <w:p>
      <w:pPr>
        <w:pStyle w:val="BodyText"/>
        <w:spacing w:lineRule="auto" w:line="278" w:before="0" w:after="160"/>
        <w:rPr/>
      </w:pPr>
      <w:r>
        <w:rPr/>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tab/>
      </w:r>
      <w:r>
        <w:rPr/>
        <w:t>A capstone argument. Virtue ought to be what leads us to excellence and flourishing, instead their virtue leads to domestication. Which is why they turned the wolf into a dog and turned themselves into the best pet for whomever is still left that is a man. Next line,</w:t>
      </w:r>
    </w:p>
    <w:p>
      <w:pPr>
        <w:pStyle w:val="BodyText"/>
        <w:spacing w:lineRule="auto" w:line="278" w:before="0" w:after="160"/>
        <w:rPr/>
      </w:pPr>
      <w:r>
        <w:rPr/>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color w:val="FF0000"/>
        </w:rPr>
      </w:pPr>
      <w:r>
        <w:rPr>
          <w:color w:val="FF0000"/>
        </w:rPr>
        <w:tab/>
      </w:r>
      <w:r>
        <w:rPr>
          <w:color w:val="000000"/>
        </w:rPr>
        <w:t xml:space="preserve">TN: Mitte here translated as midst can also be translated as middle </w:t>
      </w:r>
      <w:r>
        <w:rPr>
          <w:rStyle w:val="FootnoteReference"/>
          <w:color w:val="000000"/>
        </w:rPr>
        <w:footnoteReference w:id="14"/>
      </w:r>
      <w:r>
        <w:rPr>
          <w:color w:val="000000"/>
        </w:rPr>
        <w:t xml:space="preserve">. Making the passage </w:t>
      </w:r>
      <w:r>
        <w:rPr>
          <w:color w:val="FF0000"/>
        </w:rPr>
        <w:t>“We set our chain in the middle”</w:t>
      </w:r>
      <w:r>
        <w:rPr>
          <w:color w:val="000000"/>
        </w:rPr>
        <w:t>—so saith their smirking unto me—</w:t>
      </w:r>
      <w:r>
        <w:rPr>
          <w:color w:val="FF0000"/>
        </w:rPr>
        <w:t xml:space="preserve">“and as far from dying gladiators as from satisfied swine.” </w:t>
      </w:r>
    </w:p>
    <w:p>
      <w:pPr>
        <w:pStyle w:val="BodyText"/>
        <w:spacing w:lineRule="auto" w:line="278" w:before="0" w:after="160"/>
        <w:rPr/>
      </w:pPr>
      <w:r>
        <w:rPr/>
        <w:tab/>
      </w:r>
      <w:r>
        <w:rPr/>
        <w:t>AC: The townsfolk seem to say to Zarathustra that they enjoy a calibrated perfection between those that still fight and strive vs. those that only consume and grow fat therefrom. It sounds reasonable but notice this is not a condemnation of rest, it is seen as a misuse of rest. Rest to more striving as opposed to rest as an ideal between no striving and consumption.</w:t>
      </w:r>
    </w:p>
    <w:p>
      <w:pPr>
        <w:pStyle w:val="BodyText"/>
        <w:spacing w:lineRule="auto" w:line="278" w:before="0" w:after="160"/>
        <w:rPr/>
      </w:pPr>
      <w:r>
        <w:rPr/>
        <w:tab/>
      </w:r>
      <w:r>
        <w:rPr/>
        <w:t>RR: one might wonder how Zarathustra can be so confident in this diagnosis from smirking alone. Next line,</w:t>
      </w:r>
    </w:p>
    <w:p>
      <w:pPr>
        <w:pStyle w:val="BodyText"/>
        <w:spacing w:lineRule="auto" w:line="278" w:before="0" w:after="160"/>
        <w:rPr/>
      </w:pPr>
      <w:r>
        <w:rPr/>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ab/>
        <w:t xml:space="preserve">He rejects it and calls it mediocrity. He refuses to call it mere moderation. </w:t>
      </w:r>
      <w:r>
        <w:rPr/>
        <w:t>This virtue of mediocrity is not the Aristotelian mean of virtues being the middle of two vices it moderation pretending to be wisdom. The townsfolk, he claims, are committing moderation-as-alibi, a means to avoid striving and self-overcoming.  Next line,</w:t>
      </w:r>
    </w:p>
    <w:p>
      <w:pPr>
        <w:pStyle w:val="BodyText"/>
        <w:spacing w:lineRule="auto" w:line="278" w:before="0" w:after="160"/>
        <w:rPr/>
      </w:pPr>
      <w:r>
        <w:rPr/>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tab/>
      </w:r>
      <w:r>
        <w:rPr/>
        <w:t xml:space="preserve">Part 3.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Notes:</w:t>
      </w:r>
    </w:p>
    <w:p>
      <w:pPr>
        <w:pStyle w:val="BodyText"/>
        <w:spacing w:lineRule="auto" w:line="278" w:before="0" w:after="160"/>
        <w:rPr/>
      </w:pPr>
      <w:r>
        <w:rPr/>
        <w:tab/>
      </w:r>
      <w:r>
        <w:rPr>
          <w:b w:val="false"/>
          <w:bCs w:val="false"/>
        </w:rPr>
        <w:t>[3_49:</w:t>
      </w:r>
      <w:r>
        <w:rPr/>
        <w:t>24-32] Seeking comfort as the primary leads to moderate tame virtue. Leading to hobbled slowed progress. Creating awful actors who slip in and out of roles. Weakening the naturally strong such that the naturally weak must step up. All leading to the hypocrisy of rulers who pretend to not rule.</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tab/>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 w:name="Calibri">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Schopenhauer, Arthur, Adrian Del Caro, and Christopher Janaway. 2015. </w:t>
      </w:r>
      <w:r>
        <w:rPr>
          <w:rFonts w:ascii="Calibri" w:hAnsi="Calibri"/>
          <w:i/>
          <w:color w:val="000000"/>
          <w:sz w:val="27"/>
          <w:szCs w:val="20"/>
          <w:shd w:fill="FFFFFF" w:val="clear"/>
        </w:rPr>
        <w:t>The Cambridge Edition of the Works of Schopenhauer. [Parerga] Parerga and Paralipomena : Short Philosophical Essays Volume 2 ...</w:t>
      </w:r>
      <w:r>
        <w:rPr>
          <w:rFonts w:ascii="Calibri" w:hAnsi="Calibri"/>
          <w:color w:val="000000"/>
          <w:sz w:val="27"/>
          <w:szCs w:val="20"/>
          <w:shd w:fill="FFFFFF" w:val="clear"/>
        </w:rPr>
        <w:t xml:space="preserve"> Cambridge Cambridge University Press.</w:t>
      </w:r>
    </w:p>
    <w:p>
      <w:pPr>
        <w:pStyle w:val="BodyText"/>
        <w:spacing w:lineRule="auto" w:line="278" w:before="0" w:after="160"/>
        <w:rPr>
          <w:color w:val="000000"/>
          <w:sz w:val="20"/>
          <w:szCs w:val="20"/>
          <w:shd w:fill="FFFFFF" w:val="clear"/>
        </w:rPr>
      </w:pPr>
      <w:r>
        <w:rPr>
          <w:color w:val="000000"/>
          <w:sz w:val="20"/>
          <w:szCs w:val="20"/>
          <w:shd w:fill="FFFFFF" w:val="clear"/>
        </w:rPr>
      </w:r>
    </w:p>
    <w:p>
      <w:pPr>
        <w:pStyle w:val="BodyText"/>
        <w:spacing w:lineRule="auto" w:line="278" w:before="0" w:after="0"/>
        <w:ind w:hanging="720" w:left="720" w:right="0"/>
        <w:rPr>
          <w:rFonts w:ascii="Calibri" w:hAnsi="Calibri"/>
          <w:color w:val="000000"/>
          <w:sz w:val="27"/>
          <w:szCs w:val="20"/>
          <w:shd w:fill="FFFFFF" w:val="clear"/>
        </w:rPr>
      </w:pPr>
      <w:r>
        <w:rPr>
          <w:rFonts w:ascii="Calibri" w:hAnsi="Calibri"/>
          <w:color w:val="000000"/>
          <w:sz w:val="27"/>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 w:id="9">
    <w:p>
      <w:pPr>
        <w:pStyle w:val="FootnoteText"/>
        <w:rPr/>
      </w:pPr>
      <w:r>
        <w:rPr>
          <w:rStyle w:val="FootnoteCharacters"/>
        </w:rPr>
        <w:footnoteRef/>
      </w:r>
      <w:r>
        <w:rPr/>
        <w:t>Rhume from Rhum.Fame, glory, reown.</w:t>
      </w:r>
    </w:p>
    <w:p>
      <w:pPr>
        <w:pStyle w:val="FootnoteText"/>
        <w:spacing w:before="0" w:after="160"/>
        <w:rPr/>
      </w:pPr>
      <w:hyperlink r:id="rId13">
        <w:r>
          <w:rPr>
            <w:rStyle w:val="Hyperlink"/>
          </w:rPr>
          <w:t>https://dictionary.cambridge.org/dictionary/german-english/ruhm</w:t>
        </w:r>
      </w:hyperlink>
    </w:p>
  </w:footnote>
  <w:footnote w:id="10">
    <w:p>
      <w:pPr>
        <w:pStyle w:val="BodyText"/>
        <w:spacing w:lineRule="auto" w:line="278" w:before="0" w:after="0"/>
        <w:ind w:hanging="720" w:left="720" w:right="0"/>
        <w:rPr>
          <w:color w:val="000000"/>
          <w:sz w:val="20"/>
          <w:szCs w:val="20"/>
          <w:shd w:fill="FFFFFF" w:val="clear"/>
        </w:rPr>
      </w:pPr>
      <w:r>
        <w:rPr>
          <w:rStyle w:val="FootnoteCharacters"/>
        </w:rPr>
        <w:footnoteRef/>
      </w:r>
      <w:r>
        <w:rPr>
          <w:color w:val="000000"/>
          <w:sz w:val="20"/>
          <w:szCs w:val="20"/>
          <w:shd w:fill="FFFFFF" w:val="clear"/>
        </w:rPr>
        <w:t>“</w:t>
      </w:r>
      <w:r>
        <w:rPr>
          <w:rFonts w:ascii="Calibri" w:hAnsi="Calibri"/>
          <w:color w:val="000000"/>
          <w:sz w:val="27"/>
          <w:szCs w:val="20"/>
          <w:shd w:fill="FFFFFF" w:val="clear"/>
        </w:rPr>
        <w:t>Inclusio.” 2024. Wikipedia. February 6, 2024. https://en.wikipedia.org/wiki/Inclusio.</w:t>
      </w:r>
    </w:p>
    <w:p>
      <w:pPr>
        <w:pStyle w:val="BodyText"/>
        <w:spacing w:lineRule="auto" w:line="278" w:before="0" w:after="160"/>
        <w:rPr>
          <w:color w:val="000000"/>
          <w:sz w:val="20"/>
          <w:szCs w:val="20"/>
          <w:shd w:fill="FFFFFF" w:val="clear"/>
        </w:rPr>
      </w:pPr>
      <w:r>
        <w:rPr/>
      </w:r>
    </w:p>
  </w:footnote>
  <w:footnote w:id="11">
    <w:p>
      <w:pPr>
        <w:pStyle w:val="FootnoteText"/>
        <w:suppressLineNumbers/>
        <w:spacing w:before="0" w:after="160"/>
        <w:ind w:hanging="340" w:left="340"/>
        <w:rPr/>
      </w:pPr>
      <w:r>
        <w:rPr>
          <w:rStyle w:val="FootnoteCharacters"/>
        </w:rPr>
        <w:footnoteRef/>
      </w:r>
      <w:r>
        <w:rPr/>
        <w:t>Wider: https://dictionary.cambridge.org/dictionary/german-english/wider</w:t>
      </w:r>
    </w:p>
  </w:footnote>
  <w:footnote w:id="12">
    <w:p>
      <w:pPr>
        <w:pStyle w:val="FootnoteText"/>
        <w:suppressLineNumbers/>
        <w:spacing w:before="0" w:after="160"/>
        <w:ind w:hanging="340" w:left="340"/>
        <w:rPr/>
      </w:pPr>
      <w:r>
        <w:rPr>
          <w:rStyle w:val="FootnoteCharacters"/>
        </w:rPr>
        <w:footnoteRef/>
      </w:r>
      <w:r>
        <w:rPr/>
        <w:t xml:space="preserve"> </w:t>
      </w:r>
      <w:r>
        <w:rPr/>
        <w:t>Betet from Beten https://dictionary.cambridge.org/dictionary/german-english/beten</w:t>
      </w:r>
    </w:p>
  </w:footnote>
  <w:footnote w:id="1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Guy-Evans, Olivia. 2021. “Fight, Flight, Freeze, or Fawn: How We Respond to Threats.” Simply Psychology. October 6, 2021. https://www.simplypsychology.org/fight-flight-freeze-fawn.html.</w:t>
      </w:r>
    </w:p>
    <w:p>
      <w:pPr>
        <w:pStyle w:val="BodyText"/>
        <w:spacing w:lineRule="auto" w:line="278" w:before="0" w:after="160"/>
        <w:rPr>
          <w:color w:val="000000"/>
          <w:sz w:val="20"/>
          <w:szCs w:val="20"/>
          <w:shd w:fill="FFFFFF" w:val="clear"/>
        </w:rPr>
      </w:pPr>
      <w:r>
        <w:rPr/>
      </w:r>
    </w:p>
  </w:footnote>
  <w:footnote w:id="14">
    <w:p>
      <w:pPr>
        <w:pStyle w:val="FootnoteText"/>
        <w:rPr/>
      </w:pPr>
      <w:r>
        <w:rPr>
          <w:rStyle w:val="FootnoteCharacters"/>
        </w:rPr>
        <w:footnoteRef/>
      </w:r>
      <w:r>
        <w:rPr/>
        <w:t>Mitte: Middle or center</w:t>
      </w:r>
    </w:p>
    <w:p>
      <w:pPr>
        <w:pStyle w:val="BodyText"/>
        <w:spacing w:before="0" w:after="140"/>
        <w:rPr/>
      </w:pPr>
      <w:r>
        <w:rPr>
          <w:rFonts w:ascii="Calibri" w:hAnsi="Calibri"/>
          <w:color w:val="000000"/>
          <w:sz w:val="27"/>
          <w:szCs w:val="20"/>
          <w:shd w:fill="FFFFFF" w:val="clear"/>
        </w:rPr>
        <w:t>Cambridge Dictionary. 2026. “Mitte.” @CambridgeWords. January 28, 2026. https://dictionary.cambridge.org/dictionary/german-english/mitte?q=Mitte.</w:t>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Relationship Id="rId13" Type="http://schemas.openxmlformats.org/officeDocument/2006/relationships/hyperlink" Target="https://dictionary.cambridge.org/dictionary/german-english/ruh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336</TotalTime>
  <Application>LibreOffice/25.2.7.2$Windows_X86_64 LibreOffice_project/5cbfd1ab6520636bb5f7b99185aa69bd7456825d</Application>
  <AppVersion>15.0000</AppVersion>
  <Pages>23</Pages>
  <Words>8298</Words>
  <Characters>40304</Characters>
  <CharactersWithSpaces>48539</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2026-01-25T18:38:03Z</dcterms:created>
  <dc:creator/>
  <dc:description/>
  <dc:language>en-US</dc:language>
  <cp:lastModifiedBy/>
  <dcterms:modified xsi:type="dcterms:W3CDTF">2026-02-01T15:37:54Z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