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§50,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w:t>
      </w:r>
      <w:r>
        <w:rPr>
          <w:b w:val="false"/>
          <w:bCs w:val="false"/>
        </w:rPr>
        <w:t>0</w:t>
      </w:r>
      <w:r>
        <w:rPr>
          <w:b w:val="false"/>
          <w:bCs w:val="false"/>
        </w:rPr>
        <w:t xml:space="preserve"> – On The Olive 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Normal"/>
        <w:rPr>
          <w:b w:val="false"/>
          <w:bCs w:val="false"/>
        </w:rPr>
      </w:pPr>
      <w:r>
        <w:rPr>
          <w:b w:val="false"/>
          <w:bCs w:val="false"/>
        </w:rPr>
        <w:t xml:space="preserve">Zarathustra is still on the continent, making his way back to his cave. There’s a winter theme in this section, and we won’t be told the climate again until two sections later, when we see an autumn theme. This suggests that his return home reverses the process of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The guest sits with him in his home, yet Zarathustra is not truly home. He is heading back to his cave, which is his home. It could be a temporary home. Combined with the friendly hand-shaking it implies a forced intimacy with winter. Someone Zarathustra would rather not have intruding. Blue are my hands from his friendly hand-shaking. This is its warmth and friendliness? A chilling from a touch. Winter a being that can 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b w:val="false"/>
          <w:bCs w:val="false"/>
        </w:rPr>
      </w:pPr>
      <w:r>
        <w:rPr>
          <w:b w:val="false"/>
          <w:bCs w:val="false"/>
        </w:rPr>
        <w:tab/>
        <w:t>Whatever it is that winter symbolizes in this section deserves acknowledgment of its existence but not friendship, not love.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his home, why is he so readily willing to abandon it? Because it is temporary, it is not his real home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 xml:space="preserve">Boreas, who was said to bring the winter wind, and north of him was a warm happy place without wind.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t>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Olive-Mount instead. He would not let the winter sap his warmth and he will not orbit the flame of easy scholarship and easy faith. No stick, no carrot, just becoming.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b w:val="false"/>
          <w:bCs w:val="false"/>
        </w:rPr>
      </w:pPr>
      <w:r>
        <w:rPr>
          <w:b w:val="false"/>
          <w:bCs w:val="false"/>
        </w:rPr>
        <w:tab/>
        <w:t>Zarathustra wants enemies worth fighting as was noted in earlier sections. If the new ideas have to withstand the assault of old scholarship they will be sharpened, and 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Translation weakens it slightly, there is an air of mischievous about this sentence. An almost suppressed snickering. Seemingly Zarathustra enjoys the image of one of those granite faced German Professors tearing into the small thoughts of new movements. Seeing the tenderlings squirm under the intellectual assault but also seeing how ridiculous the screamer is. A tank vs a fly and the tank is old and stiff. Also possible that this idea of concealed happiness at this junction is to setup for the end of the section. As Lampert notes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Having moved on to a question of power. Old guard vs New Ideas Zarathustra returns to the source of the relationship between the intellectual classes and powers-that-be. This line likely echoes Xenophon’s Hiero.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It is possible this changing metaphor here, this shifting sand is form of secret. A false trail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TN: The German here translated as house-mate is Hausfreund</w:t>
      </w:r>
      <w:r>
        <w:rPr>
          <w:rStyle w:val="FootnoteReference"/>
          <w:b w:val="false"/>
          <w:bCs w:val="false"/>
        </w:rPr>
        <w:footnoteReference w:id="2"/>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w:t>
      </w:r>
      <w:r>
        <w:rPr>
          <w:b w:val="false"/>
          <w:bCs w:val="false"/>
        </w:rPr>
        <w:t>e</w:t>
      </w:r>
      <w:r>
        <w:rPr>
          <w:b w:val="false"/>
          <w:bCs w:val="false"/>
        </w:rPr>
        <w:t xml:space="preserve">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 xml:space="preserve">Zarathustra is pointing to that ancient way of thought, before purpose defined action, and before reaction came from purpose to pure tension of what is created and what is creating.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This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b w:val="false"/>
          <w:bCs w:val="false"/>
        </w:rPr>
        <w:t xml:space="preserve">to </w:t>
      </w:r>
      <w:r>
        <w:rPr>
          <w:rStyle w:val="Strong"/>
          <w:b w:val="false"/>
          <w:bCs w:val="false"/>
        </w:rPr>
        <w:t>Heraclitus. The Pre-Socratic who once wrote that the way up was the way down. Next line,</w:t>
      </w:r>
    </w:p>
    <w:p>
      <w:pPr>
        <w:pStyle w:val="BodyText"/>
        <w:spacing w:lineRule="auto" w:line="278" w:before="0" w:after="160"/>
        <w:rPr>
          <w:b w:val="false"/>
          <w:bCs w:val="false"/>
        </w:rPr>
      </w:pPr>
      <w:r>
        <w:rPr>
          <w:b w:val="false"/>
          <w:bCs w:val="false"/>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Roguish better translated as willful. This sentence first names two kind</w:t>
      </w:r>
      <w:r>
        <w:rPr>
          <w:b w:val="false"/>
          <w:bCs w:val="false"/>
        </w:rPr>
        <w:t xml:space="preserve">s </w:t>
      </w:r>
      <w:r>
        <w:rPr>
          <w:b w:val="false"/>
          <w:bCs w:val="false"/>
        </w:rPr>
        <w:t xml:space="preserve">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shaky grounds. Once that occurs the origin of the universe is on shaky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 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 xml:space="preserve">There could also be a contrast here. Fish are renewed, farmed, fished, if you eat fish it is incorporated into your body, what remains is not fish. Gold is pulled from the earth and moved around. If you eat gold it comes out in the same way it came in.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w:t>
      </w:r>
      <w:r>
        <w:rPr>
          <w:b w:val="false"/>
          <w:bCs w:val="false"/>
        </w:rPr>
        <w:t>ly</w:t>
      </w:r>
      <w:r>
        <w:rPr>
          <w:b w:val="false"/>
          <w:bCs w:val="false"/>
        </w:rPr>
        <w:t xml:space="preserve">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3"/>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w:t>
      </w:r>
      <w:r>
        <w:rPr>
          <w:b w:val="false"/>
          <w:bCs w:val="false"/>
        </w:rPr>
        <w:t xml:space="preserve">with </w:t>
      </w:r>
      <w:r>
        <w:rPr>
          <w:b w:val="false"/>
          <w:bCs w:val="false"/>
        </w:rPr>
        <w:t xml:space="preserve">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4"/>
      </w:r>
      <w:r>
        <w:rPr>
          <w:b w:val="false"/>
          <w:bCs w:val="false"/>
        </w:rPr>
        <w:t xml:space="preserve"> have the innocence developed from not having the burden of past. Chance shares it as well. Dice do not accumulate loses and wins, dice do not remember previous throws. </w:t>
      </w:r>
      <w:r>
        <w:rPr/>
        <w:t>Heraclitus looms over this passage as well. A man famously for spending his time in deep thought and then playing knuckle-bones with children. Who accepted the power of chance over human affairs, without wishing it otherwise.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 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5"/>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A haunting image. Complaining about a life he loves, effacing himself so he shivers in the cold that he secretly mocks, and bracing himself to endure their pity. Pretending to be miserable so he can be pitted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 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ither and thither combined with the previous language of children to me paint a picture of a kid just can't control his own energy in paradise. He dared the cold to get passed it, integrated it, and now rejoices. Worth mentioning the legend of the Hyperboreans who enjoyed paradise north of the polar winds.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6"/>
      </w:r>
      <w:r>
        <w:rPr>
          <w:b w:val="false"/>
          <w:bCs w:val="false"/>
        </w:rPr>
        <w:t xml:space="preserve"> </w:t>
      </w:r>
    </w:p>
    <w:p>
      <w:pPr>
        <w:pStyle w:val="BodyText"/>
        <w:spacing w:lineRule="auto" w:line="278" w:before="0" w:after="160"/>
        <w:rPr>
          <w:b w:val="false"/>
          <w:bCs w:val="false"/>
        </w:rPr>
      </w:pPr>
      <w:r>
        <w:rPr>
          <w:b w:val="false"/>
          <w:bCs w:val="false"/>
        </w:rPr>
        <w:tab/>
        <w:t xml:space="preserve">The author wrote a view in Joyful Science more spelled out and made it more metaphorical in Thus Spoke Zarathustra. Ice </w:t>
      </w:r>
      <w:r>
        <w:rPr>
          <w:b w:val="false"/>
          <w:bCs w:val="false"/>
        </w:rPr>
        <w:t>is</w:t>
      </w:r>
      <w:r>
        <w:rPr>
          <w:b w:val="false"/>
          <w:bCs w:val="false"/>
        </w:rPr>
        <w:t xml:space="preserv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crucification of Jesus, and helps explain the next section where Zarathustra is avoiding main roads. </w:t>
      </w:r>
      <w:r>
        <w:rPr>
          <w:rStyle w:val="FootnoteReference"/>
        </w:rPr>
        <w:footnoteReference w:id="7"/>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BodyText"/>
        <w:spacing w:lineRule="auto" w:line="278" w:before="0" w:after="160"/>
        <w:rPr>
          <w:b w:val="false"/>
          <w:bCs w:val="false"/>
        </w:rPr>
      </w:pPr>
      <w:r>
        <w:rPr>
          <w:b w:val="false"/>
          <w:bCs w:val="false"/>
        </w:rPr>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hyperlink r:id="rId1">
        <w:r>
          <w:rPr>
            <w:rStyle w:val="Hyperlink"/>
          </w:rPr>
          <w:t>https://dictionary.cambridge.org/dictionary/german-english/hausfreund</w:t>
        </w:r>
      </w:hyperlink>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3">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2">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4">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5">
    <w:p>
      <w:pPr>
        <w:pStyle w:val="FootnoteText"/>
        <w:rPr/>
      </w:pPr>
      <w:r>
        <w:rPr>
          <w:rStyle w:val="FootnoteCharacters"/>
        </w:rPr>
        <w:footnoteRef/>
      </w:r>
      <w:r>
        <w:rPr/>
        <w:t>Leid To be tired of, sorrow, suffering. Hold fair, to favor</w:t>
      </w:r>
    </w:p>
    <w:p>
      <w:pPr>
        <w:pStyle w:val="FootnoteText"/>
        <w:spacing w:before="0" w:after="160"/>
        <w:rPr/>
      </w:pPr>
      <w:hyperlink r:id="rId6">
        <w:r>
          <w:rPr>
            <w:rStyle w:val="Hyperlink"/>
          </w:rPr>
          <w:t>https://dictionary.cambridge.org/dictionary/german-english/leid</w:t>
        </w:r>
      </w:hyperlink>
      <w:r>
        <w:rPr/>
        <w:t xml:space="preserve">, </w:t>
      </w:r>
      <w:hyperlink r:id="rId7">
        <w:r>
          <w:rPr>
            <w:rStyle w:val="Hyperlink"/>
          </w:rPr>
          <w:t>https://dictionary.cambridge.org/dictionary/german-english/hold</w:t>
        </w:r>
      </w:hyperlink>
      <w:r>
        <w:rPr/>
        <w:t xml:space="preserve"> </w:t>
      </w:r>
    </w:p>
  </w:footnote>
  <w:footnote w:id="6">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8" w:tgtFrame="_new">
        <w:r>
          <w:rPr>
            <w:rStyle w:val="Hyperlink"/>
          </w:rPr>
          <w:t>https://www.gutenberg.org/files/52881/52881-h/52881-h.htm</w:t>
        </w:r>
      </w:hyperlink>
      <w:r>
        <w:rPr/>
        <w:t xml:space="preserve">. </w:t>
      </w:r>
    </w:p>
  </w:footnote>
  <w:footnote w:id="7">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hausfreund" TargetMode="External"/><Relationship Id="rId2" Type="http://schemas.openxmlformats.org/officeDocument/2006/relationships/hyperlink" Target="https://dictionary.cambridge.org/dictionary/german-english/rauchern" TargetMode="External"/><Relationship Id="rId3" Type="http://schemas.openxmlformats.org/officeDocument/2006/relationships/hyperlink" Target="https://dictionary.cambridge.org/dictionary/german-english/stube?q=Stuben" TargetMode="External"/><Relationship Id="rId4" Type="http://schemas.openxmlformats.org/officeDocument/2006/relationships/hyperlink" Target="https://dictionary.cambridge.org/dictionary/german-english/warmen" TargetMode="External"/><Relationship Id="rId5" Type="http://schemas.openxmlformats.org/officeDocument/2006/relationships/hyperlink" Target="https://en.langenscheidt.com/german-english/ergruenen" TargetMode="External"/><Relationship Id="rId6" Type="http://schemas.openxmlformats.org/officeDocument/2006/relationships/hyperlink" Target="https://dictionary.cambridge.org/dictionary/german-english/leid" TargetMode="External"/><Relationship Id="rId7" Type="http://schemas.openxmlformats.org/officeDocument/2006/relationships/hyperlink" Target="https://dictionary.cambridge.org/dictionary/german-english/hold" TargetMode="External"/><Relationship Id="rId8"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18</Pages>
  <Words>7651</Words>
  <Characters>36984</Characters>
  <CharactersWithSpaces>44615</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2026-01-11T16:04:59Z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