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Q4 2024 Financial Review</w:t>
      </w:r>
    </w:p>
    <w:p>
      <w:r>
        <w:rPr>
          <w:i/>
          <w:iCs/>
          <w:color w:val="808080"/>
          <w:sz w:val="22"/>
          <w:szCs w:val="22"/>
        </w:rPr>
        <w:t xml:space="preserve">Finance Department | January 15, 2025 | CONFIDENTIAL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Revenue Summary</w:t>
      </w:r>
    </w:p>
    <w:p>
      <w:r>
        <w:rPr>
          <w:sz w:val="22"/>
          <w:szCs w:val="22"/>
        </w:rPr>
        <w:t xml:space="preserve">Total FY2024 Revenue: PHP 48,200,000 — 4.3% above annual target of PHP 46,200,000.</w:t>
      </w:r>
    </w:p>
    <w:p>
      <w:r>
        <w:rPr>
          <w:sz w:val="22"/>
          <w:szCs w:val="22"/>
        </w:rPr>
        <w:t xml:space="preserve">Q4 was the strongest quarter, contributing PHP 14,100,000 (29% of annual revenue).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760"/>
        <w:gridCol w:w="16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Attainment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11,000,000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10,800,000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(PHP 200,000)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11,500,000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11,900,000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400,000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11,700,000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11,400,000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(PHP 300,000)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Q4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 12,000,000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 14,100,000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 2,100,000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117.5%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FY2024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 46,200,000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 48,200,000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PHP 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104.3%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Key Cost Concerns</w:t>
      </w:r>
    </w:p>
    <w:p>
      <w:r>
        <w:rPr>
          <w:sz w:val="22"/>
          <w:szCs w:val="22"/>
        </w:rPr>
        <w:t xml:space="preserve">IT Infrastructure spiked in Q4 due to ERP Phase 2 kickoff — AWS bill was PHP 89,000 in December vs. monthly average of PHP 32,000.</w:t>
      </w:r>
    </w:p>
    <w:p>
      <w:r>
        <w:rPr>
          <w:sz w:val="22"/>
          <w:szCs w:val="22"/>
        </w:rPr>
        <w:t xml:space="preserve">Marketing Events exceeded budget all four quarters. Total overage: PHP 40,000.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Outstanding Items</w:t>
      </w:r>
    </w:p>
    <w:p>
      <w:r>
        <w:rPr>
          <w:b/>
          <w:bCs/>
          <w:color w:val="C00000"/>
          <w:sz w:val="22"/>
          <w:szCs w:val="22"/>
        </w:rPr>
        <w:t xml:space="preserve">URGENT: QuickAudit CPA contract expired June 2024 and has NOT been renewed. All audit services are legally unprotected.</w:t>
      </w:r>
    </w:p>
    <w:p>
      <w:r>
        <w:rPr>
          <w:sz w:val="22"/>
          <w:szCs w:val="22"/>
        </w:rPr>
        <w:t xml:space="preserve">LinkedIn recruitment spend (PHP 18,000) submitted by Brian Magno is still unapproved as of report date.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FY2025 Outlook</w:t>
      </w:r>
    </w:p>
    <w:p>
      <w:r>
        <w:rPr>
          <w:sz w:val="22"/>
          <w:szCs w:val="22"/>
        </w:rPr>
        <w:t xml:space="preserve">Revenue target: PHP 54,000,000 (+12% YoY). Growth depends on Regional Expansion project (P-06) materializing in H2 2025.</w:t>
      </w:r>
    </w:p>
    <w:p>
      <w:r>
        <w:rPr>
          <w:sz w:val="22"/>
          <w:szCs w:val="22"/>
        </w:rPr>
        <w:t xml:space="preserve"/>
      </w:r>
    </w:p>
    <w:p>
      <w:r>
        <w:rPr>
          <w:i/>
          <w:iCs/>
          <w:color w:val="808080"/>
          <w:sz w:val="22"/>
          <w:szCs w:val="22"/>
        </w:rPr>
        <w:t xml:space="preserve">Prepared by: Arnold Hernandez, Finance Manager | Pending CFO sign-off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2026-03-27T16:44:06.386Z</dcterms:created>
  <dcterms:modified xsi:type="dcterms:W3CDTF">2026-03-27T16:44:06.386Z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