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Key Account Review — Q1 2025</w:t>
      </w:r>
    </w:p>
    <w:p>
      <w:r>
        <w:rPr>
          <w:i/>
          <w:iCs/>
          <w:color w:val="595959"/>
          <w:sz w:val="22"/>
          <w:szCs w:val="22"/>
        </w:rPr>
        <w:t xml:space="preserve">Sales Department | Roberto Rodriguez, Sales Director | March 28, 2025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Top Deals to Watch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1560"/>
        <w:gridCol w:w="28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Deal ID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DL-007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Megaworld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6,500,000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Negotiation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LARGEST DEAL — exec involvement needed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DL-002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4,800,000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 review ongoing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DL-001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Ayala Corp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2,500,000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Revised pricing deck 2 weeks overdue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DL-010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Robinson's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1,200,000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Closed Lost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Lost on price — post-mortem needed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Pipeline Health</w:t>
      </w:r>
    </w:p>
    <w:p>
      <w:r>
        <w:rPr>
          <w:sz w:val="22"/>
          <w:szCs w:val="22"/>
        </w:rPr>
        <w:t xml:space="preserve">Total pipeline: PHP 27,800,000 across 12 deals. Q1 quota: PHP 15,000,000.</w:t>
      </w:r>
    </w:p>
    <w:p>
      <w:r>
        <w:rPr>
          <w:b/>
          <w:bCs/>
          <w:color w:val="C00000"/>
          <w:sz w:val="22"/>
          <w:szCs w:val="22"/>
        </w:rPr>
        <w:t xml:space="preserve">Current closed: PHP 3,200,000 (DL-004 only). RISK: Must close DL-002 + DL-012 to hit 50% of quota.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Rep Spotlight</w:t>
      </w:r>
    </w:p>
    <w:p>
      <w:r>
        <w:rPr>
          <w:sz w:val="22"/>
          <w:szCs w:val="22"/>
        </w:rPr>
        <w:t xml:space="preserve">Top performer: Marco Cruz — 117% attainment across Q1-Q3 2024.</w:t>
      </w:r>
    </w:p>
    <w:p>
      <w:r>
        <w:rPr>
          <w:sz w:val="22"/>
          <w:szCs w:val="22"/>
        </w:rPr>
        <w:t xml:space="preserve">Needs attention: Tanya Morales (Visayas) — 76% attainment, thin pipeline, 2 active deals only.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Action Items</w:t>
      </w:r>
    </w:p>
    <w:p>
      <w:r>
        <w:rPr>
          <w:sz w:val="22"/>
          <w:szCs w:val="22"/>
        </w:rPr>
        <w:t xml:space="preserve">1. Rodriguez joins Megaworld negotiation call this week.</w:t>
      </w:r>
    </w:p>
    <w:p>
      <w:r>
        <w:rPr>
          <w:sz w:val="22"/>
          <w:szCs w:val="22"/>
        </w:rPr>
        <w:t xml:space="preserve">2. Cruz to submit revised Ayala pricing by April 2.</w:t>
      </w:r>
    </w:p>
    <w:p>
      <w:r>
        <w:rPr>
          <w:sz w:val="22"/>
          <w:szCs w:val="22"/>
        </w:rPr>
        <w:t xml:space="preserve">3. HR to fast-track Sales Executive hire (JR-002) — pipeline growth blocked by headcount.</w:t>
      </w:r>
    </w:p>
    <w:p>
      <w:r>
        <w:rPr>
          <w:sz w:val="22"/>
          <w:szCs w:val="22"/>
        </w:rPr>
        <w:t xml:space="preserve">4. Morales to present Visayas territory plan by April 15.</w:t>
      </w:r>
    </w:p>
    <w:p>
      <w:r>
        <w:rPr>
          <w:sz w:val="22"/>
          <w:szCs w:val="22"/>
        </w:rPr>
        <w:t xml:space="preserve"/>
      </w:r>
    </w:p>
    <w:p>
      <w:r>
        <w:rPr>
          <w:i/>
          <w:iCs/>
          <w:color w:val="808080"/>
          <w:sz w:val="22"/>
          <w:szCs w:val="22"/>
        </w:rPr>
        <w:t xml:space="preserve">Confidential — Sales Leadership and C-Suite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2026-03-27T16:44:06.393Z</dcterms:created>
  <dcterms:modified xsi:type="dcterms:W3CDTF">2026-03-27T16:44:06.393Z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