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统计报表场景下的幻觉风险识别与可信输出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第四章第 4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4.4 统计报表场景下的幻觉风险识别与可信输出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问题是：普通问答场景出现偏差尚可通过追问修正，但销售额、产量、回款、经营报表和领导看板等数据场景不能出现无依据结论。系统需要尽量让结果来自真实数据，并在口径不清、字段有歧义或结果异常时明确提示风险，而不是将不确定结果包装成确定结论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4.4.1 当前能做到的事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基于数据库执行结果回答：数据库问数不是让模型直接编数字，而是先生成 SQL，再到客户数据库中执行查询。销售额、产量、回款等结果原则上应来自数据库返回值，而不是模型凭空生成。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减少虚构数据来源：系统会校验 SQL 中引用的表是否真实存在，也会检查用户是否有权访问这些表。如果模型生成了不存在的表，或用户无权访问相关表，系统会拒绝继续执行。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复用标准查询示例：对于高频报表和固定指标，管理员可以配置标准 SQL 示例。系统命中相似问题后优先复用标准 SQL，减少每次临时生成 SQL 带来的不稳定。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保留查询结果用于后续生成：SQL 执行后的字段、行数和结果数据会传递给后续回答、图表和报表环节，后续内容应围绕已查询到的数据组织。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4.4.2 当前还不能完全做到的事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不能保证所有指标口径自动正确：SQL 能执行成功，不代表业务口径一定正确。比如“销售额”可能按订单、发货、开票或回款统计；如果没有标准口径，系统可能选到可执行但不符合业务定义的字段。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不能自动识别所有异常结果：当前还没有完整的经营指标异常检测机制。例如结果为 0、同比波动过大、回款大于销售额很多、关键字段为空等情况，系统还不能保证都能自动发现。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不能完全避免文字解读偏差：即使 SQL 结果正确，模型在总结时仍可能出现过度解释，例如把相关性说成原因，或对空数据、异常波动给出没有依据的解释。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还缺少完整报表审计链：目前还没有把每个关键结论完整绑定到 SQL、字段、统计周期、过滤条件和口径校验结果上，因此正式报表仍需要更强的可追溯能力。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4.4.3 后续优化方向：先发现风险并提示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指标口径缺失提示：当用户查询销售额、产量、回款、利润等关键指标时，如果系统没有找到标准口径，应提示“本次结果基于字段推断，建议确认统计口径”，而不是直接给出确定结论。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字段歧义提示：如果数据库中存在多个可能相关字段，例如 order_amount、invoice_amount、payment_amount，系统应说明本次使用的是哪个字段，并提示可能存在口径差异。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多表关联风险提示：当报表结果来自多张表，且表关系不是明确配置而是推断得到时，应提示用户确认关联关系，尤其适用于领导看板和正式经营报表。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异常结果提示：当结果为空、波动过大、关键字段缺失或数值明显异常时，系统应提示检查时间范围、权限范围、过滤条件和数据口径，避免继续生成看似合理的解释。</w:t>
      </w:r>
    </w:p>
    <w:p>
      <w:pPr>
        <w:pStyle w:val="ListParagraph"/>
        <w:numPr>
          <w:ilvl w:val="0"/>
          <w:numId w:val="2"/>
        </w:numPr>
        <w:spacing w:after="50" w:before="40" w:line="32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可信等级标记：后续可将报表结果分为高、中、低可信。命中标准 SQL 或标准指标的结果可信度更高；涉及字段推断、多表推断或口径缺失的结果应标记为需确认。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4.4.4 对客户的简明结论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当前系统已经通过 SQL 落库执行、真实表校验、表权限校验、标准 SQL 示例复用和只读安全控制，降低数据库问数中凭空编造数据的风险。但对于正式经营报表，真正的风险往往来自字段选错、口径不清、多表关系不准或模型过度解读。后续优化应优先让系统发现并提示这些风险，在口径不确定、字段有歧义、结果异常时明确标注“需确认”，再逐步建设标准指标库、报表审计链和可信等级机制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数据库问数能力说明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统计报表场景下的幻觉风险识别与可信输出</dc:title>
  <dc:creator>Codex</dc:creator>
  <cp:lastModifiedBy>Un-named</cp:lastModifiedBy>
  <cp:revision>1</cp:revision>
  <dcterms:created xsi:type="dcterms:W3CDTF">2026-06-01T05:35:50.605Z</dcterms:created>
  <dcterms:modified xsi:type="dcterms:W3CDTF">2026-06-01T05:35:50.606Z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