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60"/>
        <w:jc w:val="center"/>
      </w:pPr>
      <w:r>
        <w:rPr>
          <w:rFonts w:ascii="Microsoft YaHei" w:cs="Microsoft YaHei" w:eastAsia="Microsoft YaHei" w:hAnsi="Microsoft YaHei"/>
          <w:b/>
          <w:bCs/>
          <w:color w:val="1F4E79"/>
          <w:sz w:val="34"/>
          <w:szCs w:val="34"/>
        </w:rPr>
        <w:t xml:space="preserve">DeluData 知识库与数据库问答能力说明报告</w:t>
      </w:r>
    </w:p>
    <w:p>
      <w:pPr>
        <w:spacing w:after="360" w:before="0"/>
        <w:jc w:val="center"/>
      </w:pPr>
      <w:r>
        <w:rPr>
          <w:rFonts w:ascii="Microsoft YaHei" w:cs="Microsoft YaHei" w:eastAsia="Microsoft YaHei" w:hAnsi="Microsoft YaHei"/>
          <w:b/>
          <w:bCs/>
          <w:color w:val="555555"/>
          <w:sz w:val="22"/>
          <w:szCs w:val="22"/>
        </w:rPr>
        <w:t xml:space="preserve">前两部分简化稿</w:t>
      </w:r>
    </w:p>
    <w:p>
      <w:pPr>
        <w:pStyle w:val="Heading1"/>
        <w:spacing w:after="150" w:before="300"/>
      </w:pPr>
      <w:r>
        <w:rPr>
          <w:rFonts w:ascii="Microsoft YaHei" w:cs="Microsoft YaHei" w:eastAsia="Microsoft YaHei" w:hAnsi="Microsoft YaHei"/>
          <w:b/>
          <w:bCs/>
          <w:color w:val="1F4E79"/>
          <w:sz w:val="32"/>
          <w:szCs w:val="32"/>
        </w:rPr>
        <w:t xml:space="preserve">一、客户问题概述</w:t>
      </w:r>
    </w:p>
    <w:p>
      <w:pPr>
        <w:spacing w:after="70" w:before="70" w:line="330"/>
      </w:pPr>
      <w:r>
        <w:rPr>
          <w:rFonts w:ascii="Microsoft YaHei" w:cs="Microsoft YaHei" w:eastAsia="Microsoft YaHei" w:hAnsi="Microsoft YaHei"/>
          <w:color w:val="222222"/>
          <w:sz w:val="22"/>
          <w:szCs w:val="22"/>
        </w:rPr>
        <w:t xml:space="preserve">客户在使用 DeluData 知识库产品后，提出的问题主要集中在知识库和数据库两个方面。这些问题既包含当前使用体验中的具体疑问，也反映出企业级知识问答和数据问答在实际落地时必须解决的关键能力：数据能否被准确理解、回答是否有可靠依据、权限是否可控、复杂分析是否可信。</w:t>
      </w:r>
    </w:p>
    <w:p>
      <w:pPr>
        <w:spacing w:after="70" w:before="70" w:line="330"/>
      </w:pPr>
      <w:r>
        <w:rPr>
          <w:rFonts w:ascii="Microsoft YaHei" w:cs="Microsoft YaHei" w:eastAsia="Microsoft YaHei" w:hAnsi="Microsoft YaHei"/>
          <w:color w:val="222222"/>
          <w:sz w:val="22"/>
          <w:szCs w:val="22"/>
        </w:rPr>
        <w:t xml:space="preserve">从问题性质看，客户关注的不只是“系统能不能回答”，而是更进一步关注“为什么这样回答、依据来自哪里、哪些场景可以信任、哪些场景还需要治理和优化”。因此，后续报告需要围绕现有能力、能力边界和优化方法进行说明。</w:t>
      </w:r>
    </w:p>
    <w:p>
      <w:pPr>
        <w:pStyle w:val="Heading2"/>
        <w:spacing w:after="100" w:before="220"/>
      </w:pPr>
      <w:r>
        <w:rPr>
          <w:rFonts w:ascii="Microsoft YaHei" w:cs="Microsoft YaHei" w:eastAsia="Microsoft YaHei" w:hAnsi="Microsoft YaHei"/>
          <w:b/>
          <w:bCs/>
          <w:color w:val="333333"/>
          <w:sz w:val="26"/>
          <w:szCs w:val="26"/>
        </w:rPr>
        <w:t xml:space="preserve">1.1 问题分类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5738"/>
      </w:tblGrid>
      <w:tr>
        <w:tc>
          <w:tcPr>
            <w:tcW w:type="dxa" w:w="1600"/>
            <w:tcBorders>
              <w:top w:val="single" w:color="D9E2EC" w:sz="1"/>
              <w:left w:val="single" w:color="D9E2EC" w:sz="1"/>
              <w:bottom w:val="single" w:color="D9E2EC" w:sz="1"/>
              <w:right w:val="single" w:color="D9E2EC" w:sz="1"/>
            </w:tcBorders>
            <w:shd w:fill="EAF2F8" w:val="clear"/>
            <w:tcMar>
              <w:top w:type="dxa" w:w="100"/>
              <w:left w:type="dxa" w:w="130"/>
              <w:bottom w:type="dxa" w:w="100"/>
              <w:right w:type="dxa" w:w="130"/>
            </w:tcMar>
          </w:tcPr>
          <w:p>
            <w:pPr>
              <w:spacing w:after="0" w:before="0" w:line="300"/>
            </w:pPr>
            <w:r>
              <w:rPr>
                <w:rFonts w:ascii="Microsoft YaHei" w:cs="Microsoft YaHei" w:eastAsia="Microsoft YaHei" w:hAnsi="Microsoft YaHei"/>
                <w:b/>
                <w:bCs/>
                <w:color w:val="1F4E79"/>
                <w:sz w:val="21"/>
                <w:szCs w:val="21"/>
              </w:rPr>
              <w:t xml:space="preserve">问题领域</w:t>
            </w:r>
          </w:p>
        </w:tc>
        <w:tc>
          <w:tcPr>
            <w:tcW w:type="dxa" w:w="2300"/>
            <w:tcBorders>
              <w:top w:val="single" w:color="D9E2EC" w:sz="1"/>
              <w:left w:val="single" w:color="D9E2EC" w:sz="1"/>
              <w:bottom w:val="single" w:color="D9E2EC" w:sz="1"/>
              <w:right w:val="single" w:color="D9E2EC" w:sz="1"/>
            </w:tcBorders>
            <w:shd w:fill="EAF2F8" w:val="clear"/>
            <w:tcMar>
              <w:top w:type="dxa" w:w="100"/>
              <w:left w:type="dxa" w:w="130"/>
              <w:bottom w:type="dxa" w:w="100"/>
              <w:right w:type="dxa" w:w="130"/>
            </w:tcMar>
          </w:tcPr>
          <w:p>
            <w:pPr>
              <w:spacing w:after="0" w:before="0" w:line="300"/>
            </w:pPr>
            <w:r>
              <w:rPr>
                <w:rFonts w:ascii="Microsoft YaHei" w:cs="Microsoft YaHei" w:eastAsia="Microsoft YaHei" w:hAnsi="Microsoft YaHei"/>
                <w:b/>
                <w:bCs/>
                <w:color w:val="1F4E79"/>
                <w:sz w:val="21"/>
                <w:szCs w:val="21"/>
              </w:rPr>
              <w:t xml:space="preserve">客户关注点</w:t>
            </w:r>
          </w:p>
        </w:tc>
        <w:tc>
          <w:tcPr>
            <w:tcW w:type="dxa" w:w="5738"/>
            <w:tcBorders>
              <w:top w:val="single" w:color="D9E2EC" w:sz="1"/>
              <w:left w:val="single" w:color="D9E2EC" w:sz="1"/>
              <w:bottom w:val="single" w:color="D9E2EC" w:sz="1"/>
              <w:right w:val="single" w:color="D9E2EC" w:sz="1"/>
            </w:tcBorders>
            <w:shd w:fill="EAF2F8" w:val="clear"/>
            <w:tcMar>
              <w:top w:type="dxa" w:w="100"/>
              <w:left w:type="dxa" w:w="130"/>
              <w:bottom w:type="dxa" w:w="100"/>
              <w:right w:type="dxa" w:w="130"/>
            </w:tcMar>
          </w:tcPr>
          <w:p>
            <w:pPr>
              <w:spacing w:after="0" w:before="0" w:line="300"/>
            </w:pPr>
            <w:r>
              <w:rPr>
                <w:rFonts w:ascii="Microsoft YaHei" w:cs="Microsoft YaHei" w:eastAsia="Microsoft YaHei" w:hAnsi="Microsoft YaHei"/>
                <w:b/>
                <w:bCs/>
                <w:color w:val="1F4E79"/>
                <w:sz w:val="21"/>
                <w:szCs w:val="21"/>
              </w:rPr>
              <w:t xml:space="preserve">说明</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知识库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知识库文件预处理问题</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关注文件上传后能否被准确解析、切片、索引和召回，尤其是复杂 PDF、扫描件、表格型文档等场景。</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知识库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Wiki 的使用方式</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 Wiki 与普通知识库检索的区别，以及什么问题适合走 Wiki、什么问题应回到原文证据。</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数据库数据预处理</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关注系统能否理解表、字段、枚举、指标口径和业务含义，而不是仅依赖数据库原始 Schema。</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数据库权限问题</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关注不同用户、角色、工作区和数据源之间的访问边界是否可控。</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多表联查问题</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关注涉及多个业务表时，系统能否选择正确表、关联字段和 Join 路径。</w:t>
            </w:r>
          </w:p>
        </w:tc>
      </w:tr>
      <w:tr>
        <w:tc>
          <w:tcPr>
            <w:tcW w:type="dxa" w:w="16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w:t>
            </w:r>
          </w:p>
        </w:tc>
        <w:tc>
          <w:tcPr>
            <w:tcW w:type="dxa" w:w="23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统计报表类幻觉控制</w:t>
            </w:r>
          </w:p>
        </w:tc>
        <w:tc>
          <w:tcPr>
            <w:tcW w:type="dxa" w:w="57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关注统计结论、报表解读和图表分析是否严格基于真实数据结果，避免编造指标和结论。</w:t>
            </w:r>
          </w:p>
        </w:tc>
      </w:tr>
    </w:tbl>
    <w:p>
      <w:pPr>
        <w:pStyle w:val="Heading2"/>
        <w:spacing w:after="100" w:before="220"/>
      </w:pPr>
      <w:r>
        <w:rPr>
          <w:rFonts w:ascii="Microsoft YaHei" w:cs="Microsoft YaHei" w:eastAsia="Microsoft YaHei" w:hAnsi="Microsoft YaHei"/>
          <w:b/>
          <w:bCs/>
          <w:color w:val="333333"/>
          <w:sz w:val="26"/>
          <w:szCs w:val="26"/>
        </w:rPr>
        <w:t xml:space="preserve">1.2 后续报告展开方式</w:t>
      </w:r>
    </w:p>
    <w:p>
      <w:pPr>
        <w:spacing w:after="70" w:before="70" w:line="330"/>
      </w:pPr>
      <w:r>
        <w:rPr>
          <w:rFonts w:ascii="Microsoft YaHei" w:cs="Microsoft YaHei" w:eastAsia="Microsoft YaHei" w:hAnsi="Microsoft YaHei"/>
          <w:color w:val="222222"/>
          <w:sz w:val="22"/>
          <w:szCs w:val="22"/>
        </w:rPr>
        <w:t xml:space="preserve">后续章节建议按照问题逐项展开，每个问题统一从三个角度说明：当前系统能做到什么、当前还达不到或效果不稳定的地方、后续应如何优化。这样既能回应客户疑问，也能形成内部产品优化和项目交付的统一口径。</w:t>
      </w:r>
    </w:p>
    <w:p>
      <w:pPr>
        <w:pStyle w:val="Heading1"/>
        <w:spacing w:after="150" w:before="300"/>
      </w:pPr>
      <w:r>
        <w:rPr>
          <w:rFonts w:ascii="Microsoft YaHei" w:cs="Microsoft YaHei" w:eastAsia="Microsoft YaHei" w:hAnsi="Microsoft YaHei"/>
          <w:b/>
          <w:bCs/>
          <w:color w:val="1F4E79"/>
          <w:sz w:val="32"/>
          <w:szCs w:val="32"/>
        </w:rPr>
        <w:t xml:space="preserve">二、DeluData 当前知识与数据问答架构概览</w:t>
      </w:r>
    </w:p>
    <w:p>
      <w:pPr>
        <w:spacing w:after="70" w:before="70" w:line="330"/>
      </w:pPr>
      <w:r>
        <w:rPr>
          <w:rFonts w:ascii="Microsoft YaHei" w:cs="Microsoft YaHei" w:eastAsia="Microsoft YaHei" w:hAnsi="Microsoft YaHei"/>
          <w:color w:val="222222"/>
          <w:sz w:val="22"/>
          <w:szCs w:val="22"/>
        </w:rPr>
        <w:t xml:space="preserve">DeluData 当前采用前后端分离和多能力编排架构。整体上，系统通过自然语言入口，把知识库文档、Wiki 知识沉淀、数据库查询、图表分析和 Office 输出等能力组织在同一套问答流程中。</w:t>
      </w:r>
    </w:p>
    <w:p>
      <w:pPr>
        <w:pStyle w:val="Heading2"/>
        <w:spacing w:after="100" w:before="220"/>
      </w:pPr>
      <w:r>
        <w:rPr>
          <w:rFonts w:ascii="Microsoft YaHei" w:cs="Microsoft YaHei" w:eastAsia="Microsoft YaHei" w:hAnsi="Microsoft YaHei"/>
          <w:b/>
          <w:bCs/>
          <w:color w:val="333333"/>
          <w:sz w:val="26"/>
          <w:szCs w:val="26"/>
        </w:rPr>
        <w:t xml:space="preserve">2.1 总体能力结构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9E2EC" w:sz="1"/>
              <w:left w:val="single" w:color="D9E2EC" w:sz="1"/>
              <w:bottom w:val="single" w:color="D9E2EC" w:sz="1"/>
              <w:right w:val="single" w:color="D9E2EC" w:sz="1"/>
            </w:tcBorders>
            <w:shd w:fill="EAF2F8" w:val="clear"/>
            <w:tcMar>
              <w:top w:type="dxa" w:w="100"/>
              <w:left w:type="dxa" w:w="130"/>
              <w:bottom w:type="dxa" w:w="100"/>
              <w:right w:type="dxa" w:w="130"/>
            </w:tcMar>
          </w:tcPr>
          <w:p>
            <w:pPr>
              <w:spacing w:after="0" w:before="0" w:line="300"/>
            </w:pPr>
            <w:r>
              <w:rPr>
                <w:rFonts w:ascii="Microsoft YaHei" w:cs="Microsoft YaHei" w:eastAsia="Microsoft YaHei" w:hAnsi="Microsoft YaHei"/>
                <w:b/>
                <w:bCs/>
                <w:color w:val="1F4E79"/>
                <w:sz w:val="21"/>
                <w:szCs w:val="21"/>
              </w:rPr>
              <w:t xml:space="preserve">能力模块</w:t>
            </w:r>
          </w:p>
        </w:tc>
        <w:tc>
          <w:tcPr>
            <w:tcW w:type="dxa" w:w="7238"/>
            <w:tcBorders>
              <w:top w:val="single" w:color="D9E2EC" w:sz="1"/>
              <w:left w:val="single" w:color="D9E2EC" w:sz="1"/>
              <w:bottom w:val="single" w:color="D9E2EC" w:sz="1"/>
              <w:right w:val="single" w:color="D9E2EC" w:sz="1"/>
            </w:tcBorders>
            <w:shd w:fill="EAF2F8" w:val="clear"/>
            <w:tcMar>
              <w:top w:type="dxa" w:w="100"/>
              <w:left w:type="dxa" w:w="130"/>
              <w:bottom w:type="dxa" w:w="100"/>
              <w:right w:type="dxa" w:w="130"/>
            </w:tcMar>
          </w:tcPr>
          <w:p>
            <w:pPr>
              <w:spacing w:after="0" w:before="0" w:line="300"/>
            </w:pPr>
            <w:r>
              <w:rPr>
                <w:rFonts w:ascii="Microsoft YaHei" w:cs="Microsoft YaHei" w:eastAsia="Microsoft YaHei" w:hAnsi="Microsoft YaHei"/>
                <w:b/>
                <w:bCs/>
                <w:color w:val="1F4E79"/>
                <w:sz w:val="21"/>
                <w:szCs w:val="21"/>
              </w:rPr>
              <w:t xml:space="preserve">当前定位</w:t>
            </w:r>
          </w:p>
        </w:tc>
      </w:tr>
      <w:tr>
        <w:tc>
          <w:tcPr>
            <w:tcW w:type="dxa" w:w="24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知识库 RAG</w:t>
            </w:r>
          </w:p>
        </w:tc>
        <w:tc>
          <w:tcPr>
            <w:tcW w:type="dxa" w:w="72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面向原始文档的检索与问答能力，适合处理原文依据、条款定位、页码引用、具体事实查询等问题。</w:t>
            </w:r>
          </w:p>
        </w:tc>
      </w:tr>
      <w:tr>
        <w:tc>
          <w:tcPr>
            <w:tcW w:type="dxa" w:w="24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Wiki-First</w:t>
            </w:r>
          </w:p>
        </w:tc>
        <w:tc>
          <w:tcPr>
            <w:tcW w:type="dxa" w:w="72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面向高频、稳定、可复用知识的语义沉淀能力，适合处理概念解释、制度口径、流程总结和跨文档知识组织。</w:t>
            </w:r>
          </w:p>
        </w:tc>
      </w:tr>
      <w:tr>
        <w:tc>
          <w:tcPr>
            <w:tcW w:type="dxa" w:w="24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数据库问数</w:t>
            </w:r>
          </w:p>
        </w:tc>
        <w:tc>
          <w:tcPr>
            <w:tcW w:type="dxa" w:w="72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面向结构化数据的 Text-to-SQL 能力，支持从自然语言生成 SQL，并基于数据库结果进行回答、图表和报表输出。</w:t>
            </w:r>
          </w:p>
        </w:tc>
      </w:tr>
      <w:tr>
        <w:tc>
          <w:tcPr>
            <w:tcW w:type="dxa" w:w="24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权限与安全控制</w:t>
            </w:r>
          </w:p>
        </w:tc>
        <w:tc>
          <w:tcPr>
            <w:tcW w:type="dxa" w:w="72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通过工作区隔离、角色权限、数据库白名单、SQL 安全检查等机制控制访问边界和执行风险。</w:t>
            </w:r>
          </w:p>
        </w:tc>
      </w:tr>
      <w:tr>
        <w:tc>
          <w:tcPr>
            <w:tcW w:type="dxa" w:w="2400"/>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Supervisor 编排</w:t>
            </w:r>
          </w:p>
        </w:tc>
        <w:tc>
          <w:tcPr>
            <w:tcW w:type="dxa" w:w="7238"/>
            <w:tcBorders>
              <w:top w:val="single" w:color="D9E2EC" w:sz="1"/>
              <w:left w:val="single" w:color="D9E2EC" w:sz="1"/>
              <w:bottom w:val="single" w:color="D9E2EC" w:sz="1"/>
              <w:right w:val="single" w:color="D9E2EC" w:sz="1"/>
            </w:tcBorders>
            <w:tcMar>
              <w:top w:type="dxa" w:w="100"/>
              <w:left w:type="dxa" w:w="130"/>
              <w:bottom w:type="dxa" w:w="100"/>
              <w:right w:type="dxa" w:w="130"/>
            </w:tcMar>
          </w:tcPr>
          <w:p>
            <w:pPr>
              <w:spacing w:after="0" w:before="0" w:line="300"/>
            </w:pPr>
            <w:r>
              <w:rPr>
                <w:rFonts w:ascii="Microsoft YaHei" w:cs="Microsoft YaHei" w:eastAsia="Microsoft YaHei" w:hAnsi="Microsoft YaHei"/>
                <w:color w:val="222222"/>
                <w:sz w:val="20"/>
                <w:szCs w:val="20"/>
              </w:rPr>
              <w:t xml:space="preserve">根据用户问题自动判断需要调用知识库、Wiki、数据库、图表或 Office 等能力，并组织最终回答。</w:t>
            </w:r>
          </w:p>
        </w:tc>
      </w:tr>
    </w:tbl>
    <w:p>
      <w:pPr>
        <w:pStyle w:val="Heading2"/>
        <w:spacing w:after="100" w:before="220"/>
      </w:pPr>
      <w:r>
        <w:rPr>
          <w:rFonts w:ascii="Microsoft YaHei" w:cs="Microsoft YaHei" w:eastAsia="Microsoft YaHei" w:hAnsi="Microsoft YaHei"/>
          <w:b/>
          <w:bCs/>
          <w:color w:val="333333"/>
          <w:sz w:val="26"/>
          <w:szCs w:val="26"/>
        </w:rPr>
        <w:t xml:space="preserve">2.2 知识库侧架构简述</w:t>
      </w:r>
    </w:p>
    <w:p>
      <w:pPr>
        <w:spacing w:after="70" w:before="70" w:line="330"/>
      </w:pPr>
      <w:r>
        <w:rPr>
          <w:rFonts w:ascii="Microsoft YaHei" w:cs="Microsoft YaHei" w:eastAsia="Microsoft YaHei" w:hAnsi="Microsoft YaHei"/>
          <w:color w:val="222222"/>
          <w:sz w:val="22"/>
          <w:szCs w:val="22"/>
        </w:rPr>
        <w:t xml:space="preserve">知识库侧主要由两层组成：一层是 RAG 原文证据层，负责保留和检索上传文件中的原始内容；另一层是 Wiki 语义沉淀层，负责将高频、稳定、跨文档复用的知识整理为结构化页面。二者的关系不是替代，而是互补：RAG 解决“依据在哪里”，Wiki 解决“稳定知识如何组织”。</w:t>
      </w:r>
    </w:p>
    <w:p>
      <w:pPr>
        <w:spacing w:after="70" w:before="70" w:line="330"/>
      </w:pPr>
      <w:r>
        <w:rPr>
          <w:rFonts w:ascii="Microsoft YaHei" w:cs="Microsoft YaHei" w:eastAsia="Microsoft YaHei" w:hAnsi="Microsoft YaHei"/>
          <w:color w:val="222222"/>
          <w:sz w:val="22"/>
          <w:szCs w:val="22"/>
        </w:rPr>
        <w:t xml:space="preserve">因此，在回答客户关于知识库效果的问题时，需要区分文件解析和检索质量问题，以及 Wiki 知识沉淀和治理问题。前者影响原文召回，后者影响概念类、总结类、口径类问题的稳定性。</w:t>
      </w:r>
    </w:p>
    <w:p>
      <w:pPr>
        <w:pStyle w:val="Heading2"/>
        <w:spacing w:after="100" w:before="220"/>
      </w:pPr>
      <w:r>
        <w:rPr>
          <w:rFonts w:ascii="Microsoft YaHei" w:cs="Microsoft YaHei" w:eastAsia="Microsoft YaHei" w:hAnsi="Microsoft YaHei"/>
          <w:b/>
          <w:bCs/>
          <w:color w:val="333333"/>
          <w:sz w:val="26"/>
          <w:szCs w:val="26"/>
        </w:rPr>
        <w:t xml:space="preserve">2.3 数据库侧架构简述</w:t>
      </w:r>
    </w:p>
    <w:p>
      <w:pPr>
        <w:spacing w:after="70" w:before="70" w:line="330"/>
      </w:pPr>
      <w:r>
        <w:rPr>
          <w:rFonts w:ascii="Microsoft YaHei" w:cs="Microsoft YaHei" w:eastAsia="Microsoft YaHei" w:hAnsi="Microsoft YaHei"/>
          <w:color w:val="222222"/>
          <w:sz w:val="22"/>
          <w:szCs w:val="22"/>
        </w:rPr>
        <w:t xml:space="preserve">数据库侧主要围绕 Text-to-SQL 展开：系统读取数据库结构，结合用户问题生成 SQL，并在执行前进行白名单、权限和危险 SQL 检查。查询结果可以继续用于自然语言回答、图表生成和报表输出。</w:t>
      </w:r>
    </w:p>
    <w:p>
      <w:pPr>
        <w:spacing w:after="70" w:before="70" w:line="330"/>
      </w:pPr>
      <w:r>
        <w:rPr>
          <w:rFonts w:ascii="Microsoft YaHei" w:cs="Microsoft YaHei" w:eastAsia="Microsoft YaHei" w:hAnsi="Microsoft YaHei"/>
          <w:color w:val="222222"/>
          <w:sz w:val="22"/>
          <w:szCs w:val="22"/>
        </w:rPr>
        <w:t xml:space="preserve">数据库问答效果不仅取决于模型生成 SQL 的能力，也取决于数据库本身是否具备清晰的数据字典、表关系、指标口径和权限规则。对于多表联查和统计报表类问题，业务语义治理的重要性会明显高于普通单表查询。</w:t>
      </w:r>
    </w:p>
    <w:p>
      <w:pPr>
        <w:pStyle w:val="Heading2"/>
        <w:spacing w:after="100" w:before="220"/>
      </w:pPr>
      <w:r>
        <w:rPr>
          <w:rFonts w:ascii="Microsoft YaHei" w:cs="Microsoft YaHei" w:eastAsia="Microsoft YaHei" w:hAnsi="Microsoft YaHei"/>
          <w:b/>
          <w:bCs/>
          <w:color w:val="333333"/>
          <w:sz w:val="26"/>
          <w:szCs w:val="26"/>
        </w:rPr>
        <w:t xml:space="preserve">2.4 与客户问题的对应关系</w:t>
      </w:r>
    </w:p>
    <w:p>
      <w:pPr>
        <w:spacing w:after="70" w:before="70" w:line="330"/>
      </w:pPr>
      <w:r>
        <w:rPr>
          <w:rFonts w:ascii="Microsoft YaHei" w:cs="Microsoft YaHei" w:eastAsia="Microsoft YaHei" w:hAnsi="Microsoft YaHei"/>
          <w:color w:val="222222"/>
          <w:sz w:val="22"/>
          <w:szCs w:val="22"/>
        </w:rPr>
        <w:t xml:space="preserve">总体来看，客户提出的几个问题都能在当前架构中找到对应模块：文件预处理对应 RAG 入库链路，Wiki 使用方式对应 Wiki-First 知识沉淀链路，数据库预处理对应 Schema 与业务语义治理，权限问题对应 RBAC、工作区隔离和数据库白名单，多表联查对应表关系与 SQL 生成能力，统计报表幻觉控制则对应 SQL 结果约束、指标口径和最终回答生成策略。</w:t>
      </w:r>
    </w:p>
    <w:p>
      <w:pPr>
        <w:spacing w:after="70" w:before="70" w:line="330"/>
      </w:pPr>
      <w:r>
        <w:rPr>
          <w:rFonts w:ascii="Microsoft YaHei" w:cs="Microsoft YaHei" w:eastAsia="Microsoft YaHei" w:hAnsi="Microsoft YaHei"/>
          <w:color w:val="222222"/>
          <w:sz w:val="22"/>
          <w:szCs w:val="22"/>
        </w:rPr>
        <w:t xml:space="preserve">后续报告可在此基础上逐项展开，重点说明每个模块目前的能力边界和可落地优化路径。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777777"/>
        <w:sz w:val="18"/>
        <w:szCs w:val="18"/>
      </w:rPr>
      <w:t xml:space="preserve">第 </w:t>
    </w:r>
    <w:r>
      <w:rPr>
        <w:rFonts w:ascii="Microsoft YaHei" w:cs="Microsoft YaHei" w:eastAsia="Microsoft YaHei" w:hAnsi="Microsoft YaHei"/>
        <w:color w:val="777777"/>
        <w:sz w:val="18"/>
        <w:szCs w:val="18"/>
      </w:rPr>
      <w:fldChar w:fldCharType="begin"/>
      <w:instrText xml:space="preserve">PAGE</w:instrText>
      <w:fldChar w:fldCharType="separate"/>
      <w:fldChar w:fldCharType="end"/>
    </w:r>
    <w:r>
      <w:rPr>
        <w:rFonts w:ascii="Microsoft YaHei" w:cs="Microsoft YaHei" w:eastAsia="Microsoft YaHei" w:hAnsi="Microsoft YaHei"/>
        <w:color w:val="777777"/>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777777"/>
        <w:sz w:val="18"/>
        <w:szCs w:val="18"/>
      </w:rPr>
      <w:t xml:space="preserve">DeluData 知识库与数据库问答能力说明报告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DeluData 知识库与数据库问答能力说明报告 前两部分简化稿</dc:title>
  <dc:creator>Codex</dc:creator>
  <cp:lastModifiedBy>Un-named</cp:lastModifiedBy>
  <cp:revision>1</cp:revision>
  <dcterms:created xsi:type="dcterms:W3CDTF">2026-05-29T06:47:17.109Z</dcterms:created>
  <dcterms:modified xsi:type="dcterms:W3CDTF">2026-05-29T06:47:17.109Z</dcterms:modified>
</cp:coreProperties>
</file>

<file path=docProps/custom.xml><?xml version="1.0" encoding="utf-8"?>
<Properties xmlns="http://schemas.openxmlformats.org/officeDocument/2006/custom-properties" xmlns:vt="http://schemas.openxmlformats.org/officeDocument/2006/docPropsVTypes"/>
</file>