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34"/>
          <w:szCs w:val="34"/>
        </w:rPr>
        <w:t xml:space="preserve">知识库文件预处理问题说明</w:t>
      </w:r>
    </w:p>
    <w:p>
      <w:pPr>
        <w:spacing w:after="260" w:before="0"/>
        <w:jc w:val="center"/>
      </w:pPr>
      <w:r>
        <w:rPr>
          <w:rFonts w:ascii="Microsoft YaHei" w:cs="Microsoft YaHei" w:eastAsia="Microsoft YaHei" w:hAnsi="Microsoft YaHei"/>
          <w:b/>
          <w:bCs/>
          <w:color w:val="555555"/>
          <w:sz w:val="21"/>
          <w:szCs w:val="21"/>
        </w:rPr>
        <w:t xml:space="preserve">第三章第 1 点小节稿（修订版）</w:t>
      </w:r>
    </w:p>
    <w:p>
      <w:pPr>
        <w:pStyle w:val="Heading1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三、知识库文件预处理问题</w:t>
      </w:r>
    </w:p>
    <w:p>
      <w:pPr>
        <w:spacing w:after="70" w:before="70" w:line="33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客户关注的核心问题是：使用 DeluData 知识库后，是否还需要对原始文档进行大量人工拆解、分段、标注和整理。针对这一点，可以明确说明：系统可以省掉大部分技术性预处理工作，但客户仍需要完成最低限度的数据治理，确保上传文件可读、可信、可管理。</w:t>
      </w:r>
    </w:p>
    <w:p>
      <w:pPr>
        <w:pStyle w:val="Heading2"/>
        <w:spacing w:after="90" w:before="21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3.1 系统自动处理能力</w:t>
      </w:r>
    </w:p>
    <w:p>
      <w:pPr>
        <w:spacing w:after="70" w:before="70" w:line="33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文件上传后，系统会自动完成解析、切片、向量化、索引和检索准备。当前主要支持 PDF、DOCX、Markdown、TXT 等知识库文件格式。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PDF：优先提取页面文本；文本不足时触发 OCR，并保留页码用于引用溯源。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DOCX：提取段落和表格文本，适合制度、SOP、产品说明、业务规范等文档。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Markdown / TXT：按纯文本处理，结构清晰时检索效果较稳定。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入库后：系统进行基础噪声过滤、语义切片和向量化，客户通常不需要提前拆知识点或制作问答对。</w:t>
      </w:r>
    </w:p>
    <w:p>
      <w:pPr>
        <w:spacing w:after="70" w:before="70" w:line="33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需要注意的是，系统的自动处理不能完全替代源文件质量治理。文件是否清晰、版本是否有效、主题是否集中，仍会直接影响最终问答效果。</w:t>
      </w:r>
    </w:p>
    <w:p>
      <w:pPr>
        <w:pStyle w:val="Heading2"/>
        <w:spacing w:after="90" w:before="21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3.2 客户上传前需要做的最低限度工作</w:t>
      </w:r>
    </w:p>
    <w:p>
      <w:pPr>
        <w:spacing w:after="70" w:before="70" w:line="33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客户上传前不需要做复杂标注，但至少需要保证以下几点：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文件格式可解析：优先使用 PDF、DOCX、Markdown、TXT；旧版 DOC 应先另存为 DOCX。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内容清晰可读：扫描件应尽量清晰、端正，避免模糊、遮挡、严重水印或低分辨率。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主题相对集中：一个文件尽量对应一个制度、一个业务主题或一类知识，不建议把大量无关内容混在同一文件。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版本有效明确：过期文件、重复文件、冲突版本应先清理或标明版本与有效期。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权限属性明确：上传时应设置合适的目录、部门、可见范围、密级和业务域。</w:t>
      </w:r>
    </w:p>
    <w:p>
      <w:pPr>
        <w:pStyle w:val="Heading2"/>
        <w:spacing w:after="90" w:before="21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3.3 不同文件类型的处理建议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300"/>
        <w:gridCol w:w="5438"/>
      </w:tblGrid>
      <w:tr>
        <w:tc>
          <w:tcPr>
            <w:tcW w:type="dxa" w:w="19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文件类型</w:t>
            </w:r>
          </w:p>
        </w:tc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上传建议</w:t>
            </w:r>
          </w:p>
        </w:tc>
        <w:tc>
          <w:tcPr>
            <w:tcW w:type="dxa" w:w="54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客户上传前处理要求</w:t>
            </w:r>
          </w:p>
        </w:tc>
      </w:tr>
      <w:tr>
        <w:tc>
          <w:tcPr>
            <w:tcW w:type="dxa" w:w="19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文字型 PDF</w:t>
            </w:r>
          </w:p>
        </w:tc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可直接上传</w:t>
            </w:r>
          </w:p>
        </w:tc>
        <w:tc>
          <w:tcPr>
            <w:tcW w:type="dxa" w:w="54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确认内容为当前有效版本，文件名和目录有业务含义。</w:t>
            </w:r>
          </w:p>
        </w:tc>
      </w:tr>
      <w:tr>
        <w:tc>
          <w:tcPr>
            <w:tcW w:type="dxa" w:w="19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扫描 PDF</w:t>
            </w:r>
          </w:p>
        </w:tc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可上传但依赖 OCR 质量</w:t>
            </w:r>
          </w:p>
        </w:tc>
        <w:tc>
          <w:tcPr>
            <w:tcW w:type="dxa" w:w="54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保证扫描清晰、方向正确，尽量去除空白页、重影和严重水印。</w:t>
            </w:r>
          </w:p>
        </w:tc>
      </w:tr>
      <w:tr>
        <w:tc>
          <w:tcPr>
            <w:tcW w:type="dxa" w:w="19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DOCX</w:t>
            </w:r>
          </w:p>
        </w:tc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可直接上传</w:t>
            </w:r>
          </w:p>
        </w:tc>
        <w:tc>
          <w:tcPr>
            <w:tcW w:type="dxa" w:w="54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建议保留标题层级和段落结构，复杂表格应补充文字说明。</w:t>
            </w:r>
          </w:p>
        </w:tc>
      </w:tr>
      <w:tr>
        <w:tc>
          <w:tcPr>
            <w:tcW w:type="dxa" w:w="19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Markdown / TXT</w:t>
            </w:r>
          </w:p>
        </w:tc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可直接上传</w:t>
            </w:r>
          </w:p>
        </w:tc>
        <w:tc>
          <w:tcPr>
            <w:tcW w:type="dxa" w:w="54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适合 FAQ、规则说明、知识条目，建议使用清晰标题。</w:t>
            </w:r>
          </w:p>
        </w:tc>
      </w:tr>
      <w:tr>
        <w:tc>
          <w:tcPr>
            <w:tcW w:type="dxa" w:w="19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DOC</w:t>
            </w:r>
          </w:p>
        </w:tc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不建议直接上传</w:t>
            </w:r>
          </w:p>
        </w:tc>
        <w:tc>
          <w:tcPr>
            <w:tcW w:type="dxa" w:w="54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先转换为 DOCX。</w:t>
            </w:r>
          </w:p>
        </w:tc>
      </w:tr>
      <w:tr>
        <w:tc>
          <w:tcPr>
            <w:tcW w:type="dxa" w:w="19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Excel / PPT / 图片</w:t>
            </w:r>
          </w:p>
        </w:tc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不建议作为知识库主文件直接上传</w:t>
            </w:r>
          </w:p>
        </w:tc>
        <w:tc>
          <w:tcPr>
            <w:tcW w:type="dxa" w:w="54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建议转为 PDF、DOCX 或整理成文字说明后上传。</w:t>
            </w:r>
          </w:p>
        </w:tc>
      </w:tr>
    </w:tbl>
    <w:p>
      <w:pPr>
        <w:pStyle w:val="Heading2"/>
        <w:spacing w:after="90" w:before="21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3.4 当前边界与后续优化方向</w:t>
      </w:r>
    </w:p>
    <w:p>
      <w:pPr>
        <w:spacing w:after="70" w:before="70" w:line="33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当前系统可以处理大部分常规文档，但对低质量扫描件、复杂跨页表格、图片化内容、混合主题文件和多个历史版本并存的资料，效果仍会受到源文件质量影响。知识库入库不是完全免整理，而是把整理重点从“人工拆知识点”转为“保证源文件清晰、有效、结构合理、权限明确”。</w:t>
      </w:r>
    </w:p>
    <w:p>
      <w:pPr>
        <w:spacing w:after="70" w:before="70" w:line="33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后续可进一步优化的方向包括：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文档类型自动识别：根据制度、合同、SOP、FAQ、表格类文档等类型采用不同解析策略。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入库质量评分：提示解析完整率、OCR 质量、可读性、噪声比例等关键指标。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复杂表格增强：提升多级表头、合并单元格、跨页表格的识别和文字化能力。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扫描件质量提示：对模糊、倾斜、低分辨率、空白页较多的文件给出上传前整改建议。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重复与冲突检测：辅助识别重复文件、历史版本和可能冲突的制度内容。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检索诊断能力：让管理员看到命中文档、切片分数、最终采用证据，便于定位问答效果问题。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777777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777777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777777"/>
        <w:sz w:val="18"/>
        <w:szCs w:val="18"/>
      </w:rPr>
      <w:t xml:space="preserve">DeluData 知识库能力说明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>
      <w:pPr>
        <w:spacing w:line="33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Microsoft YaHei" w:cs="Microsoft YaHei" w:eastAsia="Microsoft YaHei" w:hAnsi="Microsoft Ya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90" w:before="210"/>
      <w:outlineLvl w:val="1"/>
    </w:pPr>
    <w:rPr>
      <w:rFonts w:ascii="Microsoft YaHei" w:cs="Microsoft YaHei" w:eastAsia="Microsoft YaHei" w:hAnsi="Microsoft YaHei"/>
      <w:b/>
      <w:bCs/>
      <w:color w:val="33333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知识库文件预处理问题说明 修订版</dc:title>
  <dc:creator>Codex</dc:creator>
  <cp:lastModifiedBy>Un-named</cp:lastModifiedBy>
  <cp:revision>1</cp:revision>
  <dcterms:created xsi:type="dcterms:W3CDTF">2026-05-29T08:06:28.650Z</dcterms:created>
  <dcterms:modified xsi:type="dcterms:W3CDTF">2026-05-29T08:06:28.650Z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