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m="http://schemas.openxmlformats.org/officeDocument/2006/math" xmlns:w="http://schemas.openxmlformats.org/wordprocessingml/2006/main" xmlns:w14="http://schemas.microsoft.com/office/word/2010/wordml" xmlns:mc="http://schemas.openxmlformats.org/markup-compatibility/2006" mc:Ignorable="w14">
  <w:body>
    <w:p>
      <w:pPr>
        <w:pStyle w:val="Ttulo1"/>
        <w:numPr>
          <w:ilvl w:val="0"/>
          <w:numId w:val="0"/>
        </w:numPr>
        <w:ind w:left="431" w:hanging="431"/>
      </w:pPr>
      <w:r>
        <w:t xml:space="preserve">4. Resultados</w:t>
      </w:r>
    </w:p>
    <w:p>
      <w:r>
        <w:t xml:space="preserve">Este capítulo presenta los resultados obtenidos. Se organiza en cadena, de lo más elemental a lo más comprometido: la verificación del solver frente a la simetría, la convergencia de malla y una referencia externa; la campaña de optimización y la geometría que produce; la caracterización aerodinámica de esa geometría; y el coste computacional del conjunto.</w:t>
      </w:r>
    </w:p>
    <w:p>
      <w:r>
        <w:t xml:space="preserve">Todos los valores proceden de los ficheros de resultados del estudio. Las magnitudes que la verificación no consigue acotar se declaran como tales en el punto en que aparecen.</w:t>
      </w:r>
    </w:p>
    <w:p>
      <w:pPr>
        <w:pStyle w:val="Ttulo2"/>
        <w:numPr>
          <w:ilvl w:val="0"/>
          <w:numId w:val="0"/>
        </w:numPr>
        <w:ind w:left="431" w:hanging="431"/>
      </w:pPr>
      <w:r>
        <w:t xml:space="preserve">4.1 Verificación del solver</w:t>
      </w:r>
    </w:p>
    <w:p>
      <w:pPr>
        <w:pStyle w:val="Ttulo3"/>
        <w:numPr>
          <w:ilvl w:val="0"/>
          <w:numId w:val="0"/>
        </w:numPr>
        <w:ind w:left="431" w:hanging="431"/>
      </w:pPr>
      <w:r>
        <w:t xml:space="preserve">4.1.1 Diseño del estudio de convergencia de malla</w:t>
      </w:r>
    </w:p>
    <w:p>
      <w:r>
        <w:t xml:space="preserve">La verificación se apoya en un estudio de convergencia de malla sobre dos perfiles, el NACA 0012 de borde afilado y el que produce la campaña de optimización, con idéntica configuración para ambos.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Concepto</w:t>
            </w:r>
          </w:p>
        </w:tc>
        <w:tc>
          <w:tcPr>
            <w:tcW w:w="4535" w:type="dxa"/>
            <w:shd w:val="clear" w:color="auto" w:fill="EDEDED"/>
            <w:vAlign w:val="center"/>
          </w:tcPr>
          <w:p>
            <w:pPr>
              <w:spacing w:before="40" w:after="40"/>
              <w:jc w:val="center"/>
            </w:pPr>
            <w:r>
              <w:rPr>
                <w:b/>
              </w:rPr>
              <w:t xml:space="preserve">Valor</w:t>
            </w:r>
          </w:p>
        </w:tc>
      </w:tr>
      <w:tr>
        <w:tc>
          <w:tcPr>
            <w:tcW w:w="4535" w:type="dxa"/>
            <w:vAlign w:val="center"/>
          </w:tcPr>
          <w:p>
            <w:pPr>
              <w:spacing w:before="40" w:after="40"/>
              <w:jc w:val="center"/>
            </w:pPr>
            <w:r>
              <w:t xml:space="preserve">Perfiles</w:t>
            </w:r>
          </w:p>
        </w:tc>
        <w:tc>
          <w:tcPr>
            <w:tcW w:w="4535" w:type="dxa"/>
            <w:vAlign w:val="center"/>
          </w:tcPr>
          <w:p>
            <w:pPr>
              <w:spacing w:before="40" w:after="40"/>
              <w:jc w:val="center"/>
            </w:pPr>
            <w:r>
              <w:t xml:space="preserve">NACA 0012 de borde afilado y ganador de la optimización</w:t>
            </w:r>
          </w:p>
        </w:tc>
      </w:tr>
      <w:tr>
        <w:tc>
          <w:tcPr>
            <w:tcW w:w="4535" w:type="dxa"/>
            <w:vAlign w:val="center"/>
          </w:tcPr>
          <w:p>
            <w:pPr>
              <w:spacing w:before="40" w:after="40"/>
              <w:jc w:val="center"/>
            </w:pPr>
            <w:r>
              <w:t xml:space="preserve">Pasos de malla</w:t>
            </w:r>
          </w:p>
        </w:tc>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oMath>
            <w:r>
              <w:t xml:space="preserve"> = 0,008 / 0,006 / 0,004 / 0,002</w:t>
            </w:r>
          </w:p>
        </w:tc>
      </w:tr>
      <w:tr>
        <w:tc>
          <w:tcPr>
            <w:tcW w:w="4535" w:type="dxa"/>
            <w:vAlign w:val="center"/>
          </w:tcPr>
          <w:p>
            <w:pPr>
              <w:spacing w:before="40" w:after="40"/>
              <w:jc w:val="center"/>
            </w:pPr>
            <w:r>
              <w:t xml:space="preserve">Ángulos</w:t>
            </w:r>
          </w:p>
        </w:tc>
        <w:tc>
          <w:tcPr>
            <w:tcW w:w="4535" w:type="dxa"/>
            <w:vAlign w:val="center"/>
          </w:tcPr>
          <w:p>
            <w:pPr>
              <w:spacing w:before="40" w:after="40"/>
              <w:jc w:val="center"/>
            </w:pPr>
            <m:oMath>
              <m:r>
                <w:rPr>
                  <w:rFonts w:ascii="Cambria Math" w:hAnsi="Cambria Math"/>
                </w:rPr>
                <m:t xml:space="preserve">α</m:t>
              </m:r>
            </m:oMath>
            <w:r>
              <w:t xml:space="preserve"> = 0 a 8°, de grado en grado</w:t>
            </w:r>
          </w:p>
        </w:tc>
      </w:tr>
      <w:tr>
        <w:tc>
          <w:tcPr>
            <w:tcW w:w="4535" w:type="dxa"/>
            <w:vAlign w:val="center"/>
          </w:tcPr>
          <w:p>
            <w:pPr>
              <w:spacing w:before="40" w:after="40"/>
              <w:jc w:val="center"/>
            </w:pPr>
            <w:r>
              <w:t xml:space="preserve">Dominio</w:t>
            </w:r>
          </w:p>
        </w:tc>
        <w:tc>
          <w:tcPr>
            <w:tcW w:w="4535" w:type="dxa"/>
            <w:vAlign w:val="center"/>
          </w:tcPr>
          <w:p>
            <w:pPr>
              <w:spacing w:before="40" w:after="40"/>
              <w:jc w:val="center"/>
            </w:pPr>
            <w:r>
              <w:t xml:space="preserve">24 x 16 cuerdas, perfil situado en </w:t>
            </w:r>
            <m:oMath>
              <m:sSub>
                <m:e>
                  <m:r>
                    <w:rPr>
                      <w:rFonts w:ascii="Cambria Math" w:hAnsi="Cambria Math"/>
                    </w:rPr>
                    <m:t xml:space="preserve">c</m:t>
                  </m:r>
                </m:e>
                <m:sub>
                  <m:r>
                    <w:rPr>
                      <w:rFonts w:ascii="Cambria Math" w:hAnsi="Cambria Math"/>
                    </w:rPr>
                    <m:t xml:space="preserve">x</m:t>
                  </m:r>
                </m:sub>
              </m:sSub>
              <m:r>
                <w:rPr>
                  <w:rFonts w:ascii="Cambria Math" w:hAnsi="Cambria Math"/>
                </w:rPr>
                <m:t xml:space="preserve">=</m:t>
              </m:r>
              <m:r>
                <m:rPr>
                  <m:sty m:val="p"/>
                </m:rPr>
                <w:rPr>
                  <w:rFonts w:ascii="Cambria Math" w:hAnsi="Cambria Math"/>
                </w:rPr>
                <m:t xml:space="preserve">6</m:t>
              </m:r>
            </m:oMath>
          </w:p>
        </w:tc>
      </w:tr>
      <w:tr>
        <w:tc>
          <w:tcPr>
            <w:tcW w:w="4535" w:type="dxa"/>
            <w:vAlign w:val="center"/>
          </w:tcPr>
          <w:p>
            <w:pPr>
              <w:spacing w:before="40" w:after="40"/>
              <w:jc w:val="center"/>
            </w:pPr>
            <w:r>
              <w:t xml:space="preserve">Régimen</w:t>
            </w:r>
          </w:p>
        </w:tc>
        <w:tc>
          <w:tcPr>
            <w:tcW w:w="4535" w:type="dxa"/>
            <w:vAlign w:val="center"/>
          </w:tcPr>
          <w:p>
            <w:pPr>
              <w:spacing w:before="40" w:after="40"/>
              <w:jc w:val="center"/>
            </w:pP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CFL = 0,5,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 en las cuatro mallas</w:t>
            </w:r>
          </w:p>
        </w:tc>
      </w:tr>
      <w:tr>
        <w:tc>
          <w:tcPr>
            <w:tcW w:w="4535" w:type="dxa"/>
            <w:vAlign w:val="center"/>
          </w:tcPr>
          <w:p>
            <w:pPr>
              <w:spacing w:before="40" w:after="40"/>
              <w:jc w:val="center"/>
            </w:pPr>
            <w:r>
              <w:t xml:space="preserve">Turbulencia</w:t>
            </w:r>
          </w:p>
        </w:tc>
        <w:tc>
          <w:tcPr>
            <w:tcW w:w="4535" w:type="dxa"/>
            <w:vAlign w:val="center"/>
          </w:tcPr>
          <w:p>
            <w:pPr>
              <w:spacing w:before="40" w:after="40"/>
              <w:jc w:val="center"/>
            </w:pPr>
            <w:r>
              <w:t xml:space="preserve">Spalart-Allmaras [5] con transición SA-BC [6], </w:t>
            </w:r>
            <m:oMath>
              <m:r>
                <w:rPr>
                  <w:rFonts w:ascii="Cambria Math" w:hAnsi="Cambria Math"/>
                </w:rPr>
                <m:t xml:space="preserve">T</m:t>
              </m:r>
              <m:r>
                <w:rPr>
                  <w:rFonts w:ascii="Cambria Math" w:hAnsi="Cambria Math"/>
                </w:rPr>
                <m:t xml:space="preserve">u</m:t>
              </m:r>
            </m:oMath>
            <w:r>
              <w:t xml:space="preserve"> = 0,1 %</w:t>
            </w:r>
          </w:p>
        </w:tc>
      </w:tr>
      <w:tr>
        <w:tc>
          <w:tcPr>
            <w:tcW w:w="4535" w:type="dxa"/>
            <w:vAlign w:val="center"/>
          </w:tcPr>
          <w:p>
            <w:pPr>
              <w:spacing w:before="40" w:after="40"/>
              <w:jc w:val="center"/>
            </w:pPr>
            <w:r>
              <w:t xml:space="preserve">Puntos</w:t>
            </w:r>
          </w:p>
        </w:tc>
        <w:tc>
          <w:tcPr>
            <w:tcW w:w="4535" w:type="dxa"/>
            <w:vAlign w:val="center"/>
          </w:tcPr>
          <w:p>
            <w:pPr>
              <w:spacing w:before="40" w:after="40"/>
              <w:jc w:val="center"/>
            </w:pPr>
            <w:r>
              <w:t xml:space="preserve">2 perfiles x 4 mallas x 9 ángulos = 72</w:t>
            </w:r>
          </w:p>
        </w:tc>
      </w:tr>
    </w:tbl>
    <w:p>
      <w:pPr>
        <w:pStyle w:val="Taula"/>
      </w:pPr>
      <w:r>
        <w:t xml:space="preserve">Tabla 4.1</w:t>
      </w:r>
      <w:r>
        <w:t xml:space="preserve">: Configuración del estudio de verificación de convergencia de malla.</w:t>
      </w:r>
    </w:p>
    <w:p>
      <w:r>
        <w:t xml:space="preserve">Existen tres condiciones de diseño esenciales que afectan a la validez de los resultados y que deben tratarse con especial cuidado.</w:t>
      </w:r>
    </w:p>
    <w:p>
      <w:r>
        <w:t xml:space="preserve">La primera es que ambos perfiles se discretizan con el mismo número de puntos y el mismo tratamiento del borde de salida, de modo que la comparación entre ellos no arrastra diferencias de discretización geométrica que pudieran confundirse con diferencias aerodinámicas.</w:t>
      </w:r>
    </w:p>
    <w:p>
      <w:r>
        <w:t xml:space="preserve">La segunda es que las cuatro mallas se integran hasta el mismo tiempo físico,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 y con la ventana completa de promediado, sin parada anticipada. Un estudio de convergencia espacial exige que la única variable entre puntos sea el tamaño de celda. Si las mallas se detuvieran en instantes distintos, la diferencia medida mezclaría discretización espacial con estado de desarrollo del flujo.</w:t>
      </w:r>
    </w:p>
    <w:p>
      <w:r>
        <w:t xml:space="preserve">La tercera es que las cuatro mallas emplean exactamente la misma configuración de solver y el mismo presupuesto de proyección. Mezclar configuraciones dentro de la terna sesgaría el orden aparente de convergencia, que es precisamente la señal que el procedimiento mide.</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4.1: insertar resultados_finales/comparativa/malla_dx0.0020.png]</w:t>
      </w:r>
    </w:p>
    <w:p>
      <w:pPr>
        <w:pStyle w:val="Figura"/>
      </w:pPr>
      <w:r>
        <w:t xml:space="preserve">Figura 4.1</w:t>
      </w:r>
      <w:r>
        <w:t xml:space="preserve">: Malla cartesiana estirada empleada en el caso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dominio completo y detalle de la zona fina en el borde de ataque.</w:t>
      </w:r>
    </w:p>
    <w:p>
      <w:pPr>
        <w:pStyle w:val="Ttulo3"/>
        <w:numPr>
          <w:ilvl w:val="0"/>
          <w:numId w:val="0"/>
        </w:numPr>
        <w:ind w:left="431" w:hanging="431"/>
      </w:pPr>
      <w:r>
        <w:t xml:space="preserve">4.1.2 Simetría</w:t>
      </w:r>
    </w:p>
    <w:p>
      <w:r>
        <w:t xml:space="preserve">Un perfil alar simétrico no debe generar sustentación si el ángulo de ataque es nulo y el dominio también es simétrico respecto de su eje. Cualquier desviación delata un error en la cadena que va de las métricas de malla a la rasterización de la geometría, al multimalla y a la integración de fuerzas. El valor de esta prueba está en que verifica esa cadena completa con un solo caso.</w:t>
      </w:r>
    </w:p>
    <w:p>
      <w:r>
        <w:t xml:space="preserve">Sobre el NACA 0012 a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r>
        <w:t xml:space="preserve">, en las cuatro mallas del estudio, el coeficiente de sustentación calculado vale: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1511"/>
        <w:gridCol w:w="1511"/>
        <w:gridCol w:w="1511"/>
        <w:gridCol w:w="1511"/>
        <w:gridCol w:w="1511"/>
      </w:tblGrid>
      <w:trPr>
        <w:tblHeader/>
      </w:trPr>
      <w:tr>
        <w:tc>
          <w:tcPr>
            <w:tcW w:w="1511"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r>
              <w:rPr>
                <w:b/>
              </w:rPr>
              <w:t xml:space="preserve"> [m]</w:t>
            </w:r>
          </w:p>
        </w:tc>
        <w:tc>
          <w:tcPr>
            <w:tcW w:w="1511" w:type="dxa"/>
            <w:shd w:val="clear" w:color="auto" w:fill="EDEDED"/>
            <w:vAlign w:val="center"/>
          </w:tcPr>
          <w:p>
            <w:pPr>
              <w:spacing w:before="40" w:after="40"/>
              <w:jc w:val="center"/>
            </w:pPr>
            <w:r>
              <w:rPr>
                <w:b/>
              </w:rPr>
              <w:t xml:space="preserve">Celdas/cuerda</w:t>
            </w:r>
          </w:p>
        </w:tc>
        <w:tc>
          <w:tcPr>
            <w:tcW w:w="1511"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1511" w:type="dxa"/>
            <w:shd w:val="clear" w:color="auto" w:fill="EDEDED"/>
            <w:vAlign w:val="center"/>
          </w:tcPr>
          <w:p>
            <w:pPr>
              <w:spacing w:before="40" w:after="40"/>
              <w:jc w:val="center"/>
            </w:pPr>
            <m:oMath>
              <m:r>
                <m:rPr>
                  <m:sty m:val="p"/>
                </m:rPr>
                <w:rPr>
                  <w:rFonts w:ascii="Cambria Math" w:hAnsi="Cambria Math"/>
                </w:rPr>
                <m:t xml:space="preserve">±</m:t>
              </m:r>
            </m:oMath>
            <w:r>
              <w:rPr>
                <w:b/>
              </w:rPr>
              <w:t xml:space="preserve"> 95 %</w:t>
            </w:r>
          </w:p>
        </w:tc>
        <w:tc>
          <w:tcPr>
            <w:tcW w:w="1511" w:type="dxa"/>
            <w:shd w:val="clear" w:color="auto" w:fill="EDEDED"/>
            <w:vAlign w:val="center"/>
          </w:tcPr>
          <w:p>
            <w:pPr>
              <w:spacing w:before="40" w:after="40"/>
              <w:jc w:val="center"/>
            </w:pPr>
            <w:r>
              <w:rPr>
                <w:b/>
              </w:rPr>
              <w:t xml:space="preserve">Desv. típica</w:t>
            </w:r>
          </w:p>
        </w:tc>
        <w:tc>
          <w:tcPr>
            <w:tcW w:w="1511" w:type="dxa"/>
            <w:shd w:val="clear" w:color="auto" w:fill="EDEDED"/>
            <w:vAlign w:val="center"/>
          </w:tcPr>
          <w:p>
            <w:pPr>
              <w:spacing w:before="40" w:after="40"/>
              <w:jc w:val="center"/>
            </w:pPr>
            <w:r>
              <w:rPr>
                <w:b/>
              </w:rPr>
              <w:t xml:space="preserve">Cociente con el IC</w:t>
            </w:r>
          </w:p>
        </w:tc>
      </w:tr>
      <w:tr>
        <w:tc>
          <w:tcPr>
            <w:tcW w:w="1511" w:type="dxa"/>
            <w:vAlign w:val="center"/>
          </w:tcPr>
          <w:p>
            <w:pPr>
              <w:spacing w:before="40" w:after="40"/>
              <w:jc w:val="center"/>
            </w:pPr>
            <w:r>
              <w:t xml:space="preserve">0,008</w:t>
            </w:r>
          </w:p>
        </w:tc>
        <w:tc>
          <w:tcPr>
            <w:tcW w:w="1511" w:type="dxa"/>
            <w:vAlign w:val="center"/>
          </w:tcPr>
          <w:p>
            <w:pPr>
              <w:spacing w:before="40" w:after="40"/>
              <w:jc w:val="center"/>
            </w:pPr>
            <w:r>
              <w:t xml:space="preserve">125</w:t>
            </w:r>
          </w:p>
        </w:tc>
        <w:tc>
          <w:tcPr>
            <w:tcW w:w="1511" w:type="dxa"/>
            <w:vAlign w:val="center"/>
          </w:tcPr>
          <w:p>
            <w:pPr>
              <w:spacing w:before="40" w:after="40"/>
              <w:jc w:val="center"/>
            </w:pPr>
            <w:r>
              <w:t xml:space="preserve">+4,02·10⁻³</w:t>
            </w:r>
          </w:p>
        </w:tc>
        <w:tc>
          <w:tcPr>
            <w:tcW w:w="1511" w:type="dxa"/>
            <w:vAlign w:val="center"/>
          </w:tcPr>
          <w:p>
            <w:pPr>
              <w:spacing w:before="40" w:after="40"/>
              <w:jc w:val="center"/>
            </w:pPr>
            <w:r>
              <w:t xml:space="preserve">3,9·10⁻⁵</w:t>
            </w:r>
          </w:p>
        </w:tc>
        <w:tc>
          <w:tcPr>
            <w:tcW w:w="1511" w:type="dxa"/>
            <w:vAlign w:val="center"/>
          </w:tcPr>
          <w:p>
            <w:pPr>
              <w:spacing w:before="40" w:after="40"/>
              <w:jc w:val="center"/>
            </w:pPr>
            <w:r>
              <w:t xml:space="preserve">1,0·10⁻⁴</w:t>
            </w:r>
          </w:p>
        </w:tc>
        <w:tc>
          <w:tcPr>
            <w:tcW w:w="1511" w:type="dxa"/>
            <w:vAlign w:val="center"/>
          </w:tcPr>
          <w:p>
            <w:pPr>
              <w:spacing w:before="40" w:after="40"/>
              <w:jc w:val="center"/>
            </w:pPr>
            <w:r>
              <w:t xml:space="preserve">103</w:t>
            </w:r>
          </w:p>
        </w:tc>
      </w:tr>
      <w:tr>
        <w:tc>
          <w:tcPr>
            <w:tcW w:w="1511" w:type="dxa"/>
            <w:vAlign w:val="center"/>
          </w:tcPr>
          <w:p>
            <w:pPr>
              <w:spacing w:before="40" w:after="40"/>
              <w:jc w:val="center"/>
            </w:pPr>
            <w:r>
              <w:t xml:space="preserve">0,006</w:t>
            </w:r>
          </w:p>
        </w:tc>
        <w:tc>
          <w:tcPr>
            <w:tcW w:w="1511" w:type="dxa"/>
            <w:vAlign w:val="center"/>
          </w:tcPr>
          <w:p>
            <w:pPr>
              <w:spacing w:before="40" w:after="40"/>
              <w:jc w:val="center"/>
            </w:pPr>
            <w:r>
              <w:t xml:space="preserve">167</w:t>
            </w:r>
          </w:p>
        </w:tc>
        <w:tc>
          <w:tcPr>
            <w:tcW w:w="1511" w:type="dxa"/>
            <w:vAlign w:val="center"/>
          </w:tcPr>
          <w:p>
            <w:pPr>
              <w:spacing w:before="40" w:after="40"/>
              <w:jc w:val="center"/>
            </w:pPr>
            <w:r>
              <w:t xml:space="preserve">+1,84·10⁻²</w:t>
            </w:r>
          </w:p>
        </w:tc>
        <w:tc>
          <w:tcPr>
            <w:tcW w:w="1511" w:type="dxa"/>
            <w:vAlign w:val="center"/>
          </w:tcPr>
          <w:p>
            <w:pPr>
              <w:spacing w:before="40" w:after="40"/>
              <w:jc w:val="center"/>
            </w:pPr>
            <w:r>
              <w:t xml:space="preserve">8,6·10⁻⁴</w:t>
            </w:r>
          </w:p>
        </w:tc>
        <w:tc>
          <w:tcPr>
            <w:tcW w:w="1511" w:type="dxa"/>
            <w:vAlign w:val="center"/>
          </w:tcPr>
          <w:p>
            <w:pPr>
              <w:spacing w:before="40" w:after="40"/>
              <w:jc w:val="center"/>
            </w:pPr>
            <w:r>
              <w:t xml:space="preserve">2,6·10⁻³</w:t>
            </w:r>
          </w:p>
        </w:tc>
        <w:tc>
          <w:tcPr>
            <w:tcW w:w="1511" w:type="dxa"/>
            <w:vAlign w:val="center"/>
          </w:tcPr>
          <w:p>
            <w:pPr>
              <w:spacing w:before="40" w:after="40"/>
              <w:jc w:val="center"/>
            </w:pPr>
            <w:r>
              <w:t xml:space="preserve">21</w:t>
            </w:r>
          </w:p>
        </w:tc>
      </w:tr>
      <w:tr>
        <w:tc>
          <w:tcPr>
            <w:tcW w:w="1511" w:type="dxa"/>
            <w:vAlign w:val="center"/>
          </w:tcPr>
          <w:p>
            <w:pPr>
              <w:spacing w:before="40" w:after="40"/>
              <w:jc w:val="center"/>
            </w:pPr>
            <w:r>
              <w:t xml:space="preserve">0,004</w:t>
            </w:r>
          </w:p>
        </w:tc>
        <w:tc>
          <w:tcPr>
            <w:tcW w:w="1511" w:type="dxa"/>
            <w:vAlign w:val="center"/>
          </w:tcPr>
          <w:p>
            <w:pPr>
              <w:spacing w:before="40" w:after="40"/>
              <w:jc w:val="center"/>
            </w:pPr>
            <w:r>
              <w:t xml:space="preserve">250</w:t>
            </w:r>
          </w:p>
        </w:tc>
        <w:tc>
          <w:tcPr>
            <w:tcW w:w="1511" w:type="dxa"/>
            <w:vAlign w:val="center"/>
          </w:tcPr>
          <w:p>
            <w:pPr>
              <w:spacing w:before="40" w:after="40"/>
              <w:jc w:val="center"/>
            </w:pPr>
            <w:r>
              <w:t xml:space="preserve">+9,7·10⁻⁴</w:t>
            </w:r>
          </w:p>
        </w:tc>
        <w:tc>
          <w:tcPr>
            <w:tcW w:w="1511" w:type="dxa"/>
            <w:vAlign w:val="center"/>
          </w:tcPr>
          <w:p>
            <w:pPr>
              <w:spacing w:before="40" w:after="40"/>
              <w:jc w:val="center"/>
            </w:pPr>
            <w:r>
              <w:t xml:space="preserve">7,0·10⁻³</w:t>
            </w:r>
          </w:p>
        </w:tc>
        <w:tc>
          <w:tcPr>
            <w:tcW w:w="1511" w:type="dxa"/>
            <w:vAlign w:val="center"/>
          </w:tcPr>
          <w:p>
            <w:pPr>
              <w:spacing w:before="40" w:after="40"/>
              <w:jc w:val="center"/>
            </w:pPr>
            <w:r>
              <w:t xml:space="preserve">2,6·10⁻²</w:t>
            </w:r>
          </w:p>
        </w:tc>
        <w:tc>
          <w:tcPr>
            <w:tcW w:w="1511" w:type="dxa"/>
            <w:vAlign w:val="center"/>
          </w:tcPr>
          <w:p>
            <w:pPr>
              <w:spacing w:before="40" w:after="40"/>
              <w:jc w:val="center"/>
            </w:pPr>
            <w:r>
              <w:t xml:space="preserve">0,14</w:t>
            </w:r>
          </w:p>
        </w:tc>
      </w:tr>
      <w:tr>
        <w:tc>
          <w:tcPr>
            <w:tcW w:w="1511" w:type="dxa"/>
            <w:vAlign w:val="center"/>
          </w:tcPr>
          <w:p>
            <w:pPr>
              <w:spacing w:before="40" w:after="40"/>
              <w:jc w:val="center"/>
            </w:pPr>
            <w:r>
              <w:t xml:space="preserve">0,002</w:t>
            </w:r>
          </w:p>
        </w:tc>
        <w:tc>
          <w:tcPr>
            <w:tcW w:w="1511" w:type="dxa"/>
            <w:vAlign w:val="center"/>
          </w:tcPr>
          <w:p>
            <w:pPr>
              <w:spacing w:before="40" w:after="40"/>
              <w:jc w:val="center"/>
            </w:pPr>
            <w:r>
              <w:t xml:space="preserve">500</w:t>
            </w:r>
          </w:p>
        </w:tc>
        <w:tc>
          <w:tcPr>
            <w:tcW w:w="1511" w:type="dxa"/>
            <w:vAlign w:val="center"/>
          </w:tcPr>
          <w:p>
            <w:pPr>
              <w:spacing w:before="40" w:after="40"/>
              <w:jc w:val="center"/>
            </w:pPr>
            <w:r>
              <w:t xml:space="preserve">−1,46·10⁻³</w:t>
            </w:r>
          </w:p>
        </w:tc>
        <w:tc>
          <w:tcPr>
            <w:tcW w:w="1511" w:type="dxa"/>
            <w:vAlign w:val="center"/>
          </w:tcPr>
          <w:p>
            <w:pPr>
              <w:spacing w:before="40" w:after="40"/>
              <w:jc w:val="center"/>
            </w:pPr>
            <w:r>
              <w:t xml:space="preserve">8,6·10⁻³</w:t>
            </w:r>
          </w:p>
        </w:tc>
        <w:tc>
          <w:tcPr>
            <w:tcW w:w="1511" w:type="dxa"/>
            <w:vAlign w:val="center"/>
          </w:tcPr>
          <w:p>
            <w:pPr>
              <w:spacing w:before="40" w:after="40"/>
              <w:jc w:val="center"/>
            </w:pPr>
            <w:r>
              <w:t xml:space="preserve">4,5·10⁻²</w:t>
            </w:r>
          </w:p>
        </w:tc>
        <w:tc>
          <w:tcPr>
            <w:tcW w:w="1511" w:type="dxa"/>
            <w:vAlign w:val="center"/>
          </w:tcPr>
          <w:p>
            <w:pPr>
              <w:spacing w:before="40" w:after="40"/>
              <w:jc w:val="center"/>
            </w:pPr>
            <w:r>
              <w:t xml:space="preserve">0,17</w:t>
            </w:r>
          </w:p>
        </w:tc>
      </w:tr>
    </w:tbl>
    <w:p>
      <w:pPr>
        <w:pStyle w:val="Taula"/>
      </w:pPr>
      <w:r>
        <w:t xml:space="preserve">Tabla 4.2</w:t>
      </w:r>
      <w:r>
        <w:t xml:space="preserve">: Análisis de simetría del solver mediante verificación de </w:t>
      </w:r>
      <m:oMath>
        <m:sSub>
          <m:e>
            <m:r>
              <w:rPr>
                <w:rFonts w:ascii="Cambria Math" w:hAnsi="Cambria Math"/>
              </w:rPr>
              <m:t xml:space="preserve">C</m:t>
            </m:r>
          </m:e>
          <m:sub>
            <m:r>
              <w:rPr>
                <w:rFonts w:ascii="Cambria Math" w:hAnsi="Cambria Math"/>
              </w:rPr>
              <m:t xml:space="preserve">L</m:t>
            </m:r>
          </m:sub>
        </m:sSub>
      </m:oMath>
      <w:r>
        <w:t xml:space="preserve"> frente a resolución. La última columna es el cociente entre la sustentación espuria y el semiancho del intervalo de confianza de la propia serie temporal.</w:t>
      </w:r>
    </w:p>
    <w:p>
      <w:r>
        <w:t xml:space="preserve">Magnitud y significación estadística no dicen aquí lo mismo, y conviene separarlas.</w:t>
      </w:r>
    </w:p>
    <w:p>
      <w:r>
        <w:t xml:space="preserve">En valor absoluto la sustentación espuria es pequeña en las cuatro mallas, entre </w:t>
      </w:r>
      <m:oMath>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3</m:t>
            </m:r>
          </m:sup>
        </m:sSup>
      </m:oMath>
      <w:r>
        <w:t xml:space="preserve"> y </w:t>
      </w:r>
      <m:oMath>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2</m:t>
            </m:r>
          </m:sup>
        </m:sSup>
      </m:oMath>
      <w:r>
        <w:t xml:space="preserve">, es decir, entre dos y tres órdenes de magnitud por debajo de la que el mismo perfil genera en el punto de diseño. No hay ningún error grueso en la cadena de cálculo de fuerzas.</w:t>
      </w:r>
    </w:p>
    <w:p>
      <w:r>
        <w:t xml:space="preserve">En términos estadísticos el comportamiento cambia con la resolución. En las dos mallas gruesas la desviación no es atribuible al ruido: vale 103 veces el intervalo de confianza en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008</m:t>
        </m:r>
      </m:oMath>
      <w:r>
        <w:t xml:space="preserve"> y 21 veces en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006</m:t>
        </m:r>
      </m:oMath>
      <w:r>
        <w:t xml:space="preserve">. En las dos finas el cociente cae a 0,14 y 0,17, de modo que la sustentación espuria deja de ser distinguible de la fluctuación estadística del promediado.</w:t>
      </w:r>
    </w:p>
    <w:p>
      <w:r>
        <w:t xml:space="preserve">El motivo está en la desviación típica de la señal, que crece dos órdenes de magnitud al refinar, de </w:t>
      </w:r>
      <m:oMath>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r>
        <w:t xml:space="preserve"> a </w:t>
      </w:r>
      <m:oMath>
        <m:r>
          <m:rPr>
            <m:sty m:val="p"/>
          </m:rPr>
          <w:rPr>
            <w:rFonts w:ascii="Cambria Math" w:hAnsi="Cambria Math"/>
          </w:rPr>
          <m:t xml:space="preserve">4</m:t>
        </m:r>
        <m: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2</m:t>
            </m:r>
          </m:sup>
        </m:sSup>
      </m:oMath>
      <w:r>
        <w:t xml:space="preserve">. Las mallas gruesas amortiguan por difusión numérica la inestacionariedad de la estela y entregan una señal casi plana, cuya media queda muy bien determinada pero sesgada. Las finas resuelven la fluctuación física real y entregan una media ruidosa pero centrada en cero. La asimetría no se diluye en el ruido al refinar: desaparece, y lo que ocupa su lugar es fluctuación física. Es el comportamiento propio de un sesgo de discretización, y no el de un error de implementación, que persistiría con signo constante a cualquier resolución.</w:t>
      </w:r>
    </w:p>
    <w:p>
      <w:r>
        <w:t xml:space="preserve">La malla de 0,006 es el peor caso de las cuatro, con una asimetría cuatro veces mayor que la de la malla más gruesa pese a tener más resolución.</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4.2: insertar resultados_finales/comparativa/cp_superficie_a00.0.png]</w:t>
      </w:r>
    </w:p>
    <w:p>
      <w:pPr>
        <w:pStyle w:val="Figura"/>
      </w:pPr>
      <w:r>
        <w:t xml:space="preserve">Figura 4.2</w:t>
      </w:r>
      <w:r>
        <w:t xml:space="preserve">: Coeficiente de presión sobre extradós e intradós del NACA 0012 a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r>
        <w:t xml:space="preserve">. La superposición de ambas ramas es el control gráfico de la simetría del cálculo.</w:t>
      </w:r>
    </w:p>
    <w:p>
      <w:pPr>
        <w:pStyle w:val="Ttulo3"/>
        <w:numPr>
          <w:ilvl w:val="0"/>
          <w:numId w:val="0"/>
        </w:numPr>
        <w:ind w:left="431" w:hanging="431"/>
      </w:pPr>
      <w:r>
        <w:t xml:space="preserve">4.1.3 Elección de la terna</w:t>
      </w:r>
    </w:p>
    <w:p>
      <w:r>
        <w:t xml:space="preserve">El procedimiento estándar de estimación de incertidumbre por refinamiento de malla [11], [12], [13] requiere una razón de refinamiento constante entre los tres niveles. Se calcularon cuatro mallas para poder formar dos ternas candidatas y elegir con criterio en lugar de por conveniencia.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1511"/>
        <w:gridCol w:w="1511"/>
        <w:gridCol w:w="1511"/>
        <w:gridCol w:w="1511"/>
        <w:gridCol w:w="1511"/>
      </w:tblGrid>
      <w:trPr>
        <w:tblHeader/>
      </w:trPr>
      <w:tr>
        <w:tc>
          <w:tcPr>
            <w:tcW w:w="1511" w:type="dxa"/>
            <w:shd w:val="clear" w:color="auto" w:fill="EDEDED"/>
            <w:vAlign w:val="center"/>
          </w:tcPr>
          <w:p>
            <w:pPr>
              <w:spacing w:before="40" w:after="40"/>
              <w:jc w:val="center"/>
            </w:pPr>
            <w:r>
              <w:rPr>
                <w:b/>
              </w:rPr>
              <w:t xml:space="preserve">Terna [</w:t>
            </w:r>
            <m:oMath>
              <m:r>
                <w:rPr>
                  <w:rFonts w:ascii="Cambria Math" w:hAnsi="Cambria Math"/>
                </w:rPr>
                <m:t xml:space="preserve">d</m:t>
              </m:r>
              <m:r>
                <w:rPr>
                  <w:rFonts w:ascii="Cambria Math" w:hAnsi="Cambria Math"/>
                </w:rPr>
                <m:t xml:space="preserve">x</m:t>
              </m:r>
            </m:oMath>
            <w:r>
              <w:rPr>
                <w:b/>
              </w:rPr>
              <w:t xml:space="preserve">]</w:t>
            </w:r>
          </w:p>
        </w:tc>
        <w:tc>
          <w:tcPr>
            <w:tcW w:w="1511" w:type="dxa"/>
            <w:shd w:val="clear" w:color="auto" w:fill="EDEDED"/>
            <w:vAlign w:val="center"/>
          </w:tcPr>
          <w:p>
            <w:pPr>
              <w:spacing w:before="40" w:after="40"/>
              <w:jc w:val="center"/>
            </w:pPr>
            <w:r>
              <w:rPr>
                <w:b/>
              </w:rPr>
              <w:t xml:space="preserve">Razones</w:t>
            </w:r>
          </w:p>
        </w:tc>
        <w:tc>
          <w:tcPr>
            <w:tcW w:w="1511" w:type="dxa"/>
            <w:shd w:val="clear" w:color="auto" w:fill="EDEDED"/>
            <w:vAlign w:val="center"/>
          </w:tcPr>
          <w:p>
            <w:pPr>
              <w:spacing w:before="40" w:after="40"/>
              <w:jc w:val="center"/>
            </w:pPr>
            <w:r>
              <w:rPr>
                <w:b/>
              </w:rPr>
              <w:t xml:space="preserve">Monótonas</w:t>
            </w:r>
          </w:p>
        </w:tc>
        <w:tc>
          <w:tcPr>
            <w:tcW w:w="1511" w:type="dxa"/>
            <w:shd w:val="clear" w:color="auto" w:fill="EDEDED"/>
            <w:vAlign w:val="center"/>
          </w:tcPr>
          <w:p>
            <w:pPr>
              <w:spacing w:before="40" w:after="40"/>
              <w:jc w:val="center"/>
            </w:pPr>
            <m:oMath>
              <m:r>
                <w:rPr>
                  <w:rFonts w:ascii="Cambria Math" w:hAnsi="Cambria Math"/>
                </w:rPr>
                <m:t xml:space="preserve">p</m:t>
              </m:r>
            </m:oMath>
            <w:r>
              <w:rPr>
                <w:b/>
              </w:rPr>
              <w:t xml:space="preserve"> en rango</w:t>
            </w:r>
          </w:p>
        </w:tc>
        <w:tc>
          <w:tcPr>
            <w:tcW w:w="1511" w:type="dxa"/>
            <w:shd w:val="clear" w:color="auto" w:fill="EDEDED"/>
            <w:vAlign w:val="center"/>
          </w:tcPr>
          <w:p>
            <w:pPr>
              <w:spacing w:before="40" w:after="40"/>
              <w:jc w:val="center"/>
            </w:pPr>
            <w:r>
              <w:rPr>
                <w:b/>
              </w:rPr>
              <w:t xml:space="preserve">GCI mediano</w:t>
            </w:r>
          </w:p>
        </w:tc>
        <w:tc>
          <w:tcPr>
            <w:tcW w:w="1511" w:type="dxa"/>
            <w:shd w:val="clear" w:color="auto" w:fill="EDEDED"/>
            <w:vAlign w:val="center"/>
          </w:tcPr>
          <w:p>
            <w:pPr>
              <w:spacing w:before="40" w:after="40"/>
              <w:jc w:val="center"/>
            </w:pPr>
            <w:r>
              <w:rPr>
                <w:b/>
              </w:rPr>
              <w:t xml:space="preserve">GCI percentil 90</w:t>
            </w:r>
          </w:p>
        </w:tc>
      </w:tr>
      <w:tr>
        <w:tc>
          <w:tcPr>
            <w:tcW w:w="1511" w:type="dxa"/>
            <w:vAlign w:val="center"/>
          </w:tcPr>
          <w:p>
            <w:pPr>
              <w:spacing w:before="40" w:after="40"/>
              <w:jc w:val="center"/>
            </w:pPr>
            <w:r>
              <w:t xml:space="preserve">0,008 / 0,004 / 0,002</w:t>
            </w:r>
          </w:p>
        </w:tc>
        <w:tc>
          <w:tcPr>
            <w:tcW w:w="1511" w:type="dxa"/>
            <w:vAlign w:val="center"/>
          </w:tcPr>
          <w:p>
            <w:pPr>
              <w:spacing w:before="40" w:after="40"/>
              <w:jc w:val="center"/>
            </w:pPr>
            <w:r>
              <w:t xml:space="preserve">2 y 2</w:t>
            </w:r>
          </w:p>
        </w:tc>
        <w:tc>
          <w:tcPr>
            <w:tcW w:w="1511" w:type="dxa"/>
            <w:vAlign w:val="center"/>
          </w:tcPr>
          <w:p>
            <w:pPr>
              <w:spacing w:before="40" w:after="40"/>
              <w:jc w:val="center"/>
            </w:pPr>
            <w:r>
              <w:t xml:space="preserve">47/54</w:t>
            </w:r>
          </w:p>
        </w:tc>
        <w:tc>
          <w:tcPr>
            <w:tcW w:w="1511" w:type="dxa"/>
            <w:vAlign w:val="center"/>
          </w:tcPr>
          <w:p>
            <w:pPr>
              <w:spacing w:before="40" w:after="40"/>
              <w:jc w:val="center"/>
            </w:pPr>
            <w:r>
              <w:t xml:space="preserve">35/54</w:t>
            </w:r>
          </w:p>
        </w:tc>
        <w:tc>
          <w:tcPr>
            <w:tcW w:w="1511" w:type="dxa"/>
            <w:vAlign w:val="center"/>
          </w:tcPr>
          <w:p>
            <w:pPr>
              <w:spacing w:before="40" w:after="40"/>
              <w:jc w:val="center"/>
            </w:pPr>
            <w:r>
              <w:t xml:space="preserve">20,1 %</w:t>
            </w:r>
          </w:p>
        </w:tc>
        <w:tc>
          <w:tcPr>
            <w:tcW w:w="1511" w:type="dxa"/>
            <w:vAlign w:val="center"/>
          </w:tcPr>
          <w:p>
            <w:pPr>
              <w:spacing w:before="40" w:after="40"/>
              <w:jc w:val="center"/>
            </w:pPr>
            <w:r>
              <w:t xml:space="preserve">63,5 %</w:t>
            </w:r>
          </w:p>
        </w:tc>
      </w:tr>
      <w:tr>
        <w:tc>
          <w:tcPr>
            <w:tcW w:w="1511" w:type="dxa"/>
            <w:vAlign w:val="center"/>
          </w:tcPr>
          <w:p>
            <w:pPr>
              <w:spacing w:before="40" w:after="40"/>
              <w:jc w:val="center"/>
            </w:pPr>
            <w:r>
              <w:t xml:space="preserve">0,006 / 0,004 / 0,002</w:t>
            </w:r>
          </w:p>
        </w:tc>
        <w:tc>
          <w:tcPr>
            <w:tcW w:w="1511" w:type="dxa"/>
            <w:vAlign w:val="center"/>
          </w:tcPr>
          <w:p>
            <w:pPr>
              <w:spacing w:before="40" w:after="40"/>
              <w:jc w:val="center"/>
            </w:pPr>
            <w:r>
              <w:t xml:space="preserve">1,5 y 2</w:t>
            </w:r>
          </w:p>
        </w:tc>
        <w:tc>
          <w:tcPr>
            <w:tcW w:w="1511" w:type="dxa"/>
            <w:vAlign w:val="center"/>
          </w:tcPr>
          <w:p>
            <w:pPr>
              <w:spacing w:before="40" w:after="40"/>
              <w:jc w:val="center"/>
            </w:pPr>
            <w:r>
              <w:t xml:space="preserve">46/54</w:t>
            </w:r>
          </w:p>
        </w:tc>
        <w:tc>
          <w:tcPr>
            <w:tcW w:w="1511" w:type="dxa"/>
            <w:vAlign w:val="center"/>
          </w:tcPr>
          <w:p>
            <w:pPr>
              <w:spacing w:before="40" w:after="40"/>
              <w:jc w:val="center"/>
            </w:pPr>
            <w:r>
              <w:t xml:space="preserve">28/54</w:t>
            </w:r>
          </w:p>
        </w:tc>
        <w:tc>
          <w:tcPr>
            <w:tcW w:w="1511" w:type="dxa"/>
            <w:vAlign w:val="center"/>
          </w:tcPr>
          <w:p>
            <w:pPr>
              <w:spacing w:before="40" w:after="40"/>
              <w:jc w:val="center"/>
            </w:pPr>
            <w:r>
              <w:t xml:space="preserve">44,2 %</w:t>
            </w:r>
          </w:p>
        </w:tc>
        <w:tc>
          <w:tcPr>
            <w:tcW w:w="1511" w:type="dxa"/>
            <w:vAlign w:val="center"/>
          </w:tcPr>
          <w:p>
            <w:pPr>
              <w:spacing w:before="40" w:after="40"/>
              <w:jc w:val="center"/>
            </w:pPr>
            <w:r>
              <w:t xml:space="preserve">111,8 %</w:t>
            </w:r>
          </w:p>
        </w:tc>
      </w:tr>
    </w:tbl>
    <w:p>
      <w:pPr>
        <w:pStyle w:val="Taula"/>
      </w:pPr>
      <w:r>
        <w:t xml:space="preserve">Tabla 4.3</w:t>
      </w:r>
      <w:r>
        <w:t xml:space="preserve">: Comparación de las dos ternas candidatas sobre los mismos 54 casos.</w:t>
      </w:r>
    </w:p>
    <w:p>
      <w:r>
        <w:t xml:space="preserve">La terna de razón constante gana en las cuatro métricas y es la que se emplea en el resto del capítulo. La alternativa pierde por tres motivos concretos: incluye la malla que peor conserva la simetría del NACA 0012, con </w:t>
      </w: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0184</m:t>
        </m:r>
      </m:oMath>
      <w:r>
        <w:t xml:space="preserve">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r>
        <w:t xml:space="preserve"> frente a </w:t>
      </w:r>
      <m:oMath>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0040</m:t>
        </m:r>
      </m:oMath>
      <w:r>
        <w:t xml:space="preserve"> de la de 0,008; rompe la monotonía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8</m:t>
        </m:r>
      </m:oMath>
      <w:r>
        <w:t xml:space="preserve"> del perfil optimizado en las tres magnitudes a la vez; y con razón 1,5 el salto entre las dos mallas más gruesas es pequeño, de modo que la diferencia queda cerca del ruido de la propia serie temporal.</w:t>
      </w:r>
    </w:p>
    <w:p>
      <w:r>
        <w:t xml:space="preserve">El plan inicial contemplaba una terna 0,004 / 0,002 / 0,001, preferible por el lado teórico al situar los tres niveles en la parte fina del barrido. Se descartó por un motivo numérico y no de presupuesto: 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el paso temporal colapsa. De 0,004 a 0,002 se reduce en un factor 0,57, aproximadamente lineal con el tamaño de celda, que es lo esperable de un límite advectivo. De 0,002 a 0,001 se reduce en un factor 0,15, es decir, sobra un factor 3,4 respecto de la reducción lineal. Con el mismo presupuesto de iteraciones, los puntos de esa malla se quedaban en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6</m:t>
        </m:r>
      </m:oMath>
      <w:r>
        <w:t xml:space="preserve"> en lugar de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 con lo que la extrapolación habría comparado un punto medido en pleno transitorio de arranque contra dos medidos en régimen desarrollado, atribuyendo esa diferencia temporal al refinamiento espacial.</w:t>
      </w:r>
    </w:p>
    <w:p>
      <w:pPr>
        <w:pStyle w:val="Ttulo3"/>
        <w:numPr>
          <w:ilvl w:val="0"/>
          <w:numId w:val="0"/>
        </w:numPr>
        <w:ind w:left="431" w:hanging="431"/>
      </w:pPr>
      <w:r>
        <w:t xml:space="preserve">4.1.4 Extrapolación robusta</w:t>
      </w:r>
    </w:p>
    <w:p>
      <w:r>
        <w:t xml:space="preserve">La extrapolación de Richardson estima el valor de la magnitud en el límite de malla nula a partir de tres soluciones y del orden aparente de convergencia </w:t>
      </w:r>
      <m:oMath>
        <m:r>
          <w:rPr>
            <w:rFonts w:ascii="Cambria Math" w:hAnsi="Cambria Math"/>
          </w:rPr>
          <m:t xml:space="preserve">p</m:t>
        </m:r>
      </m:oMath>
      <w:r>
        <w:t xml:space="preserve"> deducido de ellas. El factor de amplificación de la corrección es </w:t>
      </w:r>
      <m:oMath>
        <m:r>
          <m:rPr>
            <m:sty m:val="p"/>
          </m:rPr>
          <w:rPr>
            <w:rFonts w:ascii="Cambria Math" w:hAnsi="Cambria Math"/>
          </w:rPr>
          <m:t xml:space="preserve">1</m:t>
        </m:r>
        <m:r>
          <w:rPr>
            <w:rFonts w:ascii="Cambria Math" w:hAnsi="Cambria Math"/>
          </w:rPr>
          <m:t xml:space="preserve">/</m:t>
        </m:r>
        <m:r>
          <w:rPr>
            <w:rFonts w:ascii="Cambria Math" w:hAnsi="Cambria Math"/>
          </w:rPr>
          <m:t xml:space="preserve">(</m:t>
        </m:r>
        <m:sSup>
          <m:e>
            <m:r>
              <w:rPr>
                <w:rFonts w:ascii="Cambria Math" w:hAnsi="Cambria Math"/>
              </w:rPr>
              <m:t xml:space="preserve">r</m:t>
            </m:r>
          </m:e>
          <m:sup>
            <m:r>
              <w:rPr>
                <w:rFonts w:ascii="Cambria Math" w:hAnsi="Cambria Math"/>
              </w:rPr>
              <m:t xml:space="preserve">p</m:t>
            </m:r>
          </m:sup>
        </m:sSup>
        <m:r>
          <w:rPr>
            <w:rFonts w:ascii="Cambria Math" w:hAnsi="Cambria Math"/>
          </w:rPr>
          <m:t xml:space="preserve">-</m:t>
        </m:r>
        <m:r>
          <m:rPr>
            <m:sty m:val="p"/>
          </m:rPr>
          <w:rPr>
            <w:rFonts w:ascii="Cambria Math" w:hAnsi="Cambria Math"/>
          </w:rPr>
          <m:t xml:space="preserve">1</m:t>
        </m:r>
        <m:r>
          <w:rPr>
            <w:rFonts w:ascii="Cambria Math" w:hAnsi="Cambria Math"/>
          </w:rPr>
          <m:t xml:space="preserve">)</m:t>
        </m:r>
      </m:oMath>
      <w:r>
        <w:t xml:space="preserve">, que crece sin límite cuando </w:t>
      </w:r>
      <m:oMath>
        <m:r>
          <w:rPr>
            <w:rFonts w:ascii="Cambria Math" w:hAnsi="Cambria Math"/>
          </w:rPr>
          <m:t xml:space="preserve">p</m:t>
        </m:r>
      </m:oMath>
      <w:r>
        <w:t xml:space="preserve"> tiende a cero. Aplicada en estado puro produce en este estudio resultados carentes de sentido físico.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2267"/>
        <w:gridCol w:w="2267"/>
        <w:gridCol w:w="2267"/>
      </w:tblGrid>
      <w:trPr>
        <w:tblHeader/>
      </w:trPr>
      <w:tr>
        <w:tc>
          <w:tcPr>
            <w:tcW w:w="2267" w:type="dxa"/>
            <w:shd w:val="clear" w:color="auto" w:fill="EDEDED"/>
            <w:vAlign w:val="center"/>
          </w:tcPr>
          <w:p>
            <w:pPr>
              <w:spacing w:before="40" w:after="40"/>
              <w:jc w:val="center"/>
            </w:pPr>
            <w:r>
              <w:rPr>
                <w:b/>
              </w:rPr>
              <w:t xml:space="preserve">Caso</w:t>
            </w:r>
          </w:p>
        </w:tc>
        <w:tc>
          <w:tcPr>
            <w:tcW w:w="2267" w:type="dxa"/>
            <w:shd w:val="clear" w:color="auto" w:fill="EDEDED"/>
            <w:vAlign w:val="center"/>
          </w:tcPr>
          <w:p>
            <w:pPr>
              <w:spacing w:before="40" w:after="40"/>
              <w:jc w:val="center"/>
            </w:pPr>
            <m:oMath>
              <m:r>
                <w:rPr>
                  <w:rFonts w:ascii="Cambria Math" w:hAnsi="Cambria Math"/>
                </w:rPr>
                <m:t xml:space="preserve">p</m:t>
              </m:r>
            </m:oMath>
            <w:r>
              <w:rPr>
                <w:b/>
              </w:rPr>
              <w:t xml:space="preserve"> observado</w:t>
            </w:r>
          </w:p>
        </w:tc>
        <w:tc>
          <w:tcPr>
            <w:tcW w:w="2267" w:type="dxa"/>
            <w:shd w:val="clear" w:color="auto" w:fill="EDEDED"/>
            <w:vAlign w:val="center"/>
          </w:tcPr>
          <w:p>
            <w:pPr>
              <w:spacing w:before="40" w:after="40"/>
              <w:jc w:val="center"/>
            </w:pPr>
            <w:r>
              <w:rPr>
                <w:b/>
              </w:rPr>
              <w:t xml:space="preserve">Extrapolado</w:t>
            </w:r>
          </w:p>
        </w:tc>
        <w:tc>
          <w:tcPr>
            <w:tcW w:w="2267" w:type="dxa"/>
            <w:shd w:val="clear" w:color="auto" w:fill="EDEDED"/>
            <w:vAlign w:val="center"/>
          </w:tcPr>
          <w:p>
            <w:pPr>
              <w:spacing w:before="40" w:after="40"/>
              <w:jc w:val="center"/>
            </w:pPr>
            <w:r>
              <w:rPr>
                <w:b/>
              </w:rPr>
              <w:t xml:space="preserve">Malla fina</w:t>
            </w:r>
          </w:p>
        </w:tc>
      </w:tr>
      <w:tr>
        <w:tc>
          <w:tcPr>
            <w:tcW w:w="2267" w:type="dxa"/>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t xml:space="preserve"> del ganador,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6</m:t>
              </m:r>
            </m:oMath>
          </w:p>
        </w:tc>
        <w:tc>
          <w:tcPr>
            <w:tcW w:w="2267" w:type="dxa"/>
            <w:vAlign w:val="center"/>
          </w:tcPr>
          <w:p>
            <w:pPr>
              <w:spacing w:before="40" w:after="40"/>
              <w:jc w:val="center"/>
            </w:pPr>
            <w:r>
              <w:t xml:space="preserve">-0,05</w:t>
            </w:r>
          </w:p>
        </w:tc>
        <w:tc>
          <w:tcPr>
            <w:tcW w:w="2267" w:type="dxa"/>
            <w:vAlign w:val="center"/>
          </w:tcPr>
          <w:p>
            <w:pPr>
              <w:spacing w:before="40" w:after="40"/>
              <w:jc w:val="center"/>
            </w:pPr>
            <w:r>
              <w:t xml:space="preserve">2,912</w:t>
            </w:r>
          </w:p>
        </w:tc>
        <w:tc>
          <w:tcPr>
            <w:tcW w:w="2267" w:type="dxa"/>
            <w:vAlign w:val="center"/>
          </w:tcPr>
          <w:p>
            <w:pPr>
              <w:spacing w:before="40" w:after="40"/>
              <w:jc w:val="center"/>
            </w:pPr>
            <w:r>
              <w:t xml:space="preserve">0,879</w:t>
            </w:r>
          </w:p>
        </w:tc>
      </w:tr>
      <w:tr>
        <w:tc>
          <w:tcPr>
            <w:tcW w:w="2267"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t xml:space="preserve"> del ganador,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6</m:t>
              </m:r>
            </m:oMath>
          </w:p>
        </w:tc>
        <w:tc>
          <w:tcPr>
            <w:tcW w:w="2267" w:type="dxa"/>
            <w:vAlign w:val="center"/>
          </w:tcPr>
          <w:p>
            <w:pPr>
              <w:spacing w:before="40" w:after="40"/>
              <w:jc w:val="center"/>
            </w:pPr>
            <w:r>
              <w:t xml:space="preserve">-0,10</w:t>
            </w:r>
          </w:p>
        </w:tc>
        <w:tc>
          <w:tcPr>
            <w:tcW w:w="2267" w:type="dxa"/>
            <w:vAlign w:val="center"/>
          </w:tcPr>
          <w:p>
            <w:pPr>
              <w:spacing w:before="40" w:after="40"/>
              <w:jc w:val="center"/>
            </w:pPr>
            <w:r>
              <w:t xml:space="preserve">-0,0153</w:t>
            </w:r>
          </w:p>
        </w:tc>
        <w:tc>
          <w:tcPr>
            <w:tcW w:w="2267" w:type="dxa"/>
            <w:vAlign w:val="center"/>
          </w:tcPr>
          <w:p>
            <w:pPr>
              <w:spacing w:before="40" w:after="40"/>
              <w:jc w:val="center"/>
            </w:pPr>
            <w:r>
              <w:t xml:space="preserve">0,0357</w:t>
            </w:r>
          </w:p>
        </w:tc>
      </w:tr>
      <w:tr>
        <w:tc>
          <w:tcPr>
            <w:tcW w:w="2267"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t xml:space="preserve"> del NACA 0012,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p>
        </w:tc>
        <w:tc>
          <w:tcPr>
            <w:tcW w:w="2267" w:type="dxa"/>
            <w:vAlign w:val="center"/>
          </w:tcPr>
          <w:p>
            <w:pPr>
              <w:spacing w:before="40" w:after="40"/>
              <w:jc w:val="center"/>
            </w:pPr>
            <w:r>
              <w:t xml:space="preserve">-0,20</w:t>
            </w:r>
          </w:p>
        </w:tc>
        <w:tc>
          <w:tcPr>
            <w:tcW w:w="2267" w:type="dxa"/>
            <w:vAlign w:val="center"/>
          </w:tcPr>
          <w:p>
            <w:pPr>
              <w:spacing w:before="40" w:after="40"/>
              <w:jc w:val="center"/>
            </w:pPr>
            <w:r>
              <w:t xml:space="preserve">-0,0116</w:t>
            </w:r>
          </w:p>
        </w:tc>
        <w:tc>
          <w:tcPr>
            <w:tcW w:w="2267" w:type="dxa"/>
            <w:vAlign w:val="center"/>
          </w:tcPr>
          <w:p>
            <w:pPr>
              <w:spacing w:before="40" w:after="40"/>
              <w:jc w:val="center"/>
            </w:pPr>
            <w:r>
              <w:t xml:space="preserve">0,0143</w:t>
            </w:r>
          </w:p>
        </w:tc>
      </w:tr>
    </w:tbl>
    <w:p>
      <w:pPr>
        <w:pStyle w:val="Taula"/>
      </w:pPr>
      <w:r>
        <w:t xml:space="preserve">Tabla 4.4</w:t>
      </w:r>
      <w:r>
        <w:t xml:space="preserve">: Casos en que la extrapolación de Richardson sin salvaguardas produce valores inadmisibles.</w:t>
      </w:r>
    </w:p>
    <w:p>
      <w:r>
        <w:t xml:space="preserve">Un coeficiente de sustentación de 2,91 en un perfil que mide 0,88 en malla fina, o un coeficiente de resistencia negativo, no son estimaciones con incertidumbre grande: son valores imposibles. Se aplican por ello dos correcciones.</w:t>
      </w:r>
    </w:p>
    <w:p>
      <w:r>
        <w:t xml:space="preserve">La primera es un umbral sobre el orden aparente. Solo se emplea el valor observado si cae en el intervalo </w:t>
      </w:r>
      <m:oMath>
        <m:r>
          <w:rPr>
            <w:rFonts w:ascii="Cambria Math" w:hAnsi="Cambria Math"/>
          </w:rPr>
          <m:t xml:space="preserve">p</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4</m:t>
        </m:r>
        <m:r>
          <w:rPr>
            <w:rFonts w:ascii="Cambria Math" w:hAnsi="Cambria Math"/>
          </w:rPr>
          <m:t xml:space="preserve">]</m:t>
        </m:r>
      </m:oMath>
      <w:r>
        <w:t xml:space="preserve">, y en caso contrario se fuerza el orden nominal del esquema, </w:t>
      </w:r>
      <m:oMath>
        <m:r>
          <w:rPr>
            <w:rFonts w:ascii="Cambria Math" w:hAnsi="Cambria Math"/>
          </w:rPr>
          <m:t xml:space="preserve">p</m:t>
        </m:r>
        <m:r>
          <w:rPr>
            <w:rFonts w:ascii="Cambria Math" w:hAnsi="Cambria Math"/>
          </w:rPr>
          <m:t xml:space="preserve">=</m:t>
        </m:r>
        <m:r>
          <m:rPr>
            <m:sty m:val="p"/>
          </m:rPr>
          <w:rPr>
            <w:rFonts w:ascii="Cambria Math" w:hAnsi="Cambria Math"/>
          </w:rPr>
          <m:t xml:space="preserve">2</m:t>
        </m:r>
      </m:oMath>
      <w:r>
        <w:t xml:space="preserve">. El límite inferior se sitúa en 1 y no más abajo porque con razón de refinamiento 2 la amplificación vale exactamente la unidad en </w:t>
      </w:r>
      <m:oMath>
        <m:r>
          <w:rPr>
            <w:rFonts w:ascii="Cambria Math" w:hAnsi="Cambria Math"/>
          </w:rPr>
          <m:t xml:space="preserve">p</m:t>
        </m:r>
        <m:r>
          <w:rPr>
            <w:rFonts w:ascii="Cambria Math" w:hAnsi="Cambria Math"/>
          </w:rPr>
          <m:t xml:space="preserve">=</m:t>
        </m:r>
        <m:r>
          <m:rPr>
            <m:sty m:val="p"/>
          </m:rPr>
          <w:rPr>
            <w:rFonts w:ascii="Cambria Math" w:hAnsi="Cambria Math"/>
          </w:rPr>
          <m:t xml:space="preserve">1</m:t>
        </m:r>
      </m:oMath>
      <w:r>
        <w:t xml:space="preserve">. Por debajo de ese valor la corrección aleja el resultado extrapolado de la malla fina más que el salto completo entre las dos mallas más finas, y deja de ser una corrección para convertirse en una extrapolación sin control.</w:t>
      </w:r>
    </w:p>
    <w:p>
      <w:r>
        <w:t xml:space="preserve">La segunda es que la resistencia se ajusta sobre su logaritmo, de modo que el valor extrapolado sale de una exponencial y no puede cruzar cero por construcción.</w:t>
      </w:r>
    </w:p>
    <w:p>
      <w:r>
        <w:t xml:space="preserve">Se registra además el signo del orden aparente, que la formulación habitual devuelve en valor absoluto. Un orden negativo significa que los saltos entre mallas crecen al refinar, es decir, que la serie no converge en absoluto, y esa información se perdería al tomar el valor absoluto. Sale negativo en la mayoría de los casos de resistencia.</w:t>
      </w:r>
    </w:p>
    <w:p>
      <w:r>
        <w:t xml:space="preserve">Por último, la eficiencia extrapolada se reconstruye a partir de la sustentación y la resistencia extrapoladas por separado, y no extrapolando el cociente. Un cociente hereda las patologías de ambos términos y se dispara si el denominador extrapolado se acerca a cero.</w:t>
      </w:r>
    </w:p>
    <w:p>
      <w:r>
        <w:t xml:space="preserve">Estas correcciones han debido aplicarse principalmente por el tamaño de las mallas del grupo estudiado y la distancia entre ellas. Con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disponible probablemente no habrían sido necesarias.</w:t>
      </w:r>
    </w:p>
    <w:p>
      <w:pPr>
        <w:pStyle w:val="Ttulo3"/>
        <w:numPr>
          <w:ilvl w:val="0"/>
          <w:numId w:val="0"/>
        </w:numPr>
        <w:ind w:left="431" w:hanging="431"/>
      </w:pPr>
      <w:r>
        <w:t xml:space="preserve">4.1.5 Convergencia de malla del NACA 0012</w:t>
      </w:r>
    </w:p>
    <w:p>
      <w:r>
        <w:t xml:space="preserve">En el punto de diseño la verificación del perfil de referencia arroja lo siguiente. La columna de orden fiable indica si el orden aparente cae en el intervalo admisible; donde no lo hace, el valor extrapolado se obtiene con el orden nominal y constituye una estimación indicativa acotada, no una medida del error de discretización.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33"/>
        <w:gridCol w:w="1133"/>
        <w:gridCol w:w="1133"/>
        <w:gridCol w:w="1133"/>
        <w:gridCol w:w="1133"/>
        <w:gridCol w:w="1133"/>
        <w:gridCol w:w="1133"/>
        <w:gridCol w:w="1133"/>
      </w:tblGrid>
      <w:trPr>
        <w:tblHeader/>
      </w:trPr>
      <w:tr>
        <w:tc>
          <w:tcPr>
            <w:tcW w:w="1133" w:type="dxa"/>
            <w:shd w:val="clear" w:color="auto" w:fill="EDEDED"/>
            <w:vAlign w:val="center"/>
          </w:tcPr>
          <w:p>
            <w:pPr>
              <w:spacing w:before="40" w:after="40"/>
              <w:jc w:val="center"/>
            </w:pPr>
            <w:r>
              <w:rPr>
                <w:b/>
              </w:rPr>
              <w:t xml:space="preserve">Mag.</w:t>
            </w:r>
          </w:p>
        </w:tc>
        <w:tc>
          <w:tcPr>
            <w:tcW w:w="1133"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r>
              <w:rPr>
                <w:b/>
              </w:rPr>
              <w:t xml:space="preserve">=8 mm</w:t>
            </w:r>
          </w:p>
        </w:tc>
        <w:tc>
          <w:tcPr>
            <w:tcW w:w="1133"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r>
              <w:rPr>
                <w:b/>
              </w:rPr>
              <w:t xml:space="preserve">=4 mm</w:t>
            </w:r>
          </w:p>
        </w:tc>
        <w:tc>
          <w:tcPr>
            <w:tcW w:w="1133"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r>
              <w:rPr>
                <w:b/>
              </w:rPr>
              <w:t xml:space="preserve">=2 mm</w:t>
            </w:r>
          </w:p>
        </w:tc>
        <w:tc>
          <w:tcPr>
            <w:tcW w:w="1133" w:type="dxa"/>
            <w:shd w:val="clear" w:color="auto" w:fill="EDEDED"/>
            <w:vAlign w:val="center"/>
          </w:tcPr>
          <w:p>
            <w:pPr>
              <w:spacing w:before="40" w:after="40"/>
              <w:jc w:val="center"/>
            </w:pPr>
            <m:oMath>
              <m:r>
                <w:rPr>
                  <w:rFonts w:ascii="Cambria Math" w:hAnsi="Cambria Math"/>
                </w:rPr>
                <m:t xml:space="preserve">p</m:t>
              </m:r>
            </m:oMath>
          </w:p>
        </w:tc>
        <w:tc>
          <w:tcPr>
            <w:tcW w:w="1133" w:type="dxa"/>
            <w:shd w:val="clear" w:color="auto" w:fill="EDEDED"/>
            <w:vAlign w:val="center"/>
          </w:tcPr>
          <w:p>
            <w:pPr>
              <w:spacing w:before="40" w:after="40"/>
              <w:jc w:val="center"/>
            </w:pPr>
            <w:r>
              <w:rPr>
                <w:b/>
              </w:rPr>
              <w:t xml:space="preserve">Extrap.</w:t>
            </w:r>
          </w:p>
        </w:tc>
        <w:tc>
          <w:tcPr>
            <w:tcW w:w="1133" w:type="dxa"/>
            <w:shd w:val="clear" w:color="auto" w:fill="EDEDED"/>
            <w:vAlign w:val="center"/>
          </w:tcPr>
          <w:p>
            <w:pPr>
              <w:spacing w:before="40" w:after="40"/>
              <w:jc w:val="center"/>
            </w:pPr>
            <w:r>
              <w:rPr>
                <w:b/>
              </w:rPr>
              <w:t xml:space="preserve">GCI [%]</w:t>
            </w:r>
          </w:p>
        </w:tc>
        <w:tc>
          <w:tcPr>
            <w:tcW w:w="1133" w:type="dxa"/>
            <w:shd w:val="clear" w:color="auto" w:fill="EDEDED"/>
            <w:vAlign w:val="center"/>
          </w:tcPr>
          <w:p>
            <w:pPr>
              <w:spacing w:before="40" w:after="40"/>
              <w:jc w:val="center"/>
            </w:pPr>
            <m:oMath>
              <m:r>
                <w:rPr>
                  <w:rFonts w:ascii="Cambria Math" w:hAnsi="Cambria Math"/>
                </w:rPr>
                <m:t xml:space="preserve">p</m:t>
              </m:r>
            </m:oMath>
            <w:r>
              <w:rPr>
                <w:b/>
              </w:rPr>
              <w:t xml:space="preserve"> fiable</w:t>
            </w:r>
          </w:p>
        </w:tc>
      </w:tr>
      <w:tr>
        <w:tc>
          <w:tcPr>
            <w:tcW w:w="1133" w:type="dxa"/>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1133" w:type="dxa"/>
            <w:vAlign w:val="center"/>
          </w:tcPr>
          <w:p>
            <w:pPr>
              <w:spacing w:before="40" w:after="40"/>
              <w:jc w:val="center"/>
            </w:pPr>
            <w:r>
              <w:t xml:space="preserve">0,3180</w:t>
            </w:r>
          </w:p>
        </w:tc>
        <w:tc>
          <w:tcPr>
            <w:tcW w:w="1133" w:type="dxa"/>
            <w:vAlign w:val="center"/>
          </w:tcPr>
          <w:p>
            <w:pPr>
              <w:spacing w:before="40" w:after="40"/>
              <w:jc w:val="center"/>
            </w:pPr>
            <w:r>
              <w:t xml:space="preserve">0,4612</w:t>
            </w:r>
          </w:p>
        </w:tc>
        <w:tc>
          <w:tcPr>
            <w:tcW w:w="1133" w:type="dxa"/>
            <w:vAlign w:val="center"/>
          </w:tcPr>
          <w:p>
            <w:pPr>
              <w:spacing w:before="40" w:after="40"/>
              <w:jc w:val="center"/>
            </w:pPr>
            <w:r>
              <w:t xml:space="preserve">0,4978</w:t>
            </w:r>
          </w:p>
        </w:tc>
        <w:tc>
          <w:tcPr>
            <w:tcW w:w="1133" w:type="dxa"/>
            <w:vAlign w:val="center"/>
          </w:tcPr>
          <w:p>
            <w:pPr>
              <w:spacing w:before="40" w:after="40"/>
              <w:jc w:val="center"/>
            </w:pPr>
            <w:r>
              <w:t xml:space="preserve">1,97</w:t>
            </w:r>
          </w:p>
        </w:tc>
        <w:tc>
          <w:tcPr>
            <w:tcW w:w="1133" w:type="dxa"/>
            <w:vAlign w:val="center"/>
          </w:tcPr>
          <w:p>
            <w:pPr>
              <w:spacing w:before="40" w:after="40"/>
              <w:jc w:val="center"/>
            </w:pPr>
            <w:r>
              <w:t xml:space="preserve">0,5103</w:t>
            </w:r>
          </w:p>
        </w:tc>
        <w:tc>
          <w:tcPr>
            <w:tcW w:w="1133" w:type="dxa"/>
            <w:vAlign w:val="center"/>
          </w:tcPr>
          <w:p>
            <w:pPr>
              <w:spacing w:before="40" w:after="40"/>
              <w:jc w:val="center"/>
            </w:pPr>
            <w:r>
              <w:t xml:space="preserve">3,15</w:t>
            </w:r>
          </w:p>
        </w:tc>
        <w:tc>
          <w:tcPr>
            <w:tcW w:w="1133" w:type="dxa"/>
            <w:vAlign w:val="center"/>
          </w:tcPr>
          <w:p>
            <w:pPr>
              <w:spacing w:before="40" w:after="40"/>
              <w:jc w:val="center"/>
            </w:pPr>
            <w:r>
              <w:t xml:space="preserve">sí</w:t>
            </w:r>
          </w:p>
        </w:tc>
      </w:tr>
      <w:tr>
        <w:tc>
          <w:tcPr>
            <w:tcW w:w="1133"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p>
        </w:tc>
        <w:tc>
          <w:tcPr>
            <w:tcW w:w="1133" w:type="dxa"/>
            <w:vAlign w:val="center"/>
          </w:tcPr>
          <w:p>
            <w:pPr>
              <w:spacing w:before="40" w:after="40"/>
              <w:jc w:val="center"/>
            </w:pPr>
            <w:r>
              <w:t xml:space="preserve">0,04623</w:t>
            </w:r>
          </w:p>
        </w:tc>
        <w:tc>
          <w:tcPr>
            <w:tcW w:w="1133" w:type="dxa"/>
            <w:vAlign w:val="center"/>
          </w:tcPr>
          <w:p>
            <w:pPr>
              <w:spacing w:before="40" w:after="40"/>
              <w:jc w:val="center"/>
            </w:pPr>
            <w:r>
              <w:t xml:space="preserve">0,04468</w:t>
            </w:r>
          </w:p>
        </w:tc>
        <w:tc>
          <w:tcPr>
            <w:tcW w:w="1133" w:type="dxa"/>
            <w:vAlign w:val="center"/>
          </w:tcPr>
          <w:p>
            <w:pPr>
              <w:spacing w:before="40" w:after="40"/>
              <w:jc w:val="center"/>
            </w:pPr>
            <w:r>
              <w:t xml:space="preserve">0,02746</w:t>
            </w:r>
          </w:p>
        </w:tc>
        <w:tc>
          <w:tcPr>
            <w:tcW w:w="1133" w:type="dxa"/>
            <w:vAlign w:val="center"/>
          </w:tcPr>
          <w:p>
            <w:pPr>
              <w:spacing w:before="40" w:after="40"/>
              <w:jc w:val="center"/>
            </w:pPr>
            <w:r>
              <w:t xml:space="preserve">-3,83</w:t>
            </w:r>
          </w:p>
        </w:tc>
        <w:tc>
          <w:tcPr>
            <w:tcW w:w="1133" w:type="dxa"/>
            <w:vAlign w:val="center"/>
          </w:tcPr>
          <w:p>
            <w:pPr>
              <w:spacing w:before="40" w:after="40"/>
              <w:jc w:val="center"/>
            </w:pPr>
            <w:r>
              <w:t xml:space="preserve">0,02335</w:t>
            </w:r>
          </w:p>
        </w:tc>
        <w:tc>
          <w:tcPr>
            <w:tcW w:w="1133" w:type="dxa"/>
            <w:vAlign w:val="center"/>
          </w:tcPr>
          <w:p>
            <w:pPr>
              <w:spacing w:before="40" w:after="40"/>
              <w:jc w:val="center"/>
            </w:pPr>
            <w:r>
              <w:t xml:space="preserve">7,76</w:t>
            </w:r>
          </w:p>
        </w:tc>
        <w:tc>
          <w:tcPr>
            <w:tcW w:w="1133" w:type="dxa"/>
            <w:vAlign w:val="center"/>
          </w:tcPr>
          <w:p>
            <w:pPr>
              <w:spacing w:before="40" w:after="40"/>
              <w:jc w:val="center"/>
            </w:pPr>
            <w:r>
              <w:t xml:space="preserve">no</w:t>
            </w:r>
          </w:p>
        </w:tc>
      </w:tr>
    </w:tbl>
    <w:p>
      <w:pPr>
        <w:pStyle w:val="Taula"/>
      </w:pPr>
      <w:r>
        <w:t xml:space="preserve">Tabla 4.5</w:t>
      </w:r>
      <w:r>
        <w:t xml:space="preserve">: Verificación de convergencia de malla del NACA 0012 en el punto de diseño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w:t>
      </w:r>
    </w:p>
    <w:p>
      <w:r>
        <w:t xml:space="preserve">La sustentación converge de forma limpia, con un orden aparente de 1,97, prácticamente el nominal del esquema, y un índice de convergencia de malla del 3,15 %. La resistencia no: el orden aparente sale negativo, señal de que los saltos entre mallas crecen al refinar en lugar de decrecer.</w:t>
      </w:r>
    </w:p>
    <w:p>
      <w:r>
        <w:t xml:space="preserve">El comportamiento a lo largo del barrido completo de incidencias es el siguiente.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33"/>
        <w:gridCol w:w="1133"/>
        <w:gridCol w:w="1133"/>
        <w:gridCol w:w="1133"/>
        <w:gridCol w:w="1133"/>
        <w:gridCol w:w="1133"/>
        <w:gridCol w:w="1133"/>
        <w:gridCol w:w="1133"/>
      </w:tblGrid>
      <w:trPr>
        <w:tblHeader/>
      </w:trPr>
      <w:tr>
        <w:tc>
          <w:tcPr>
            <w:tcW w:w="1133" w:type="dxa"/>
            <w:shd w:val="clear" w:color="auto" w:fill="EDEDED"/>
            <w:vAlign w:val="center"/>
          </w:tcPr>
          <w:p>
            <w:pPr>
              <w:spacing w:before="40" w:after="40"/>
              <w:jc w:val="center"/>
            </w:pPr>
            <m:oMath>
              <m:r>
                <w:rPr>
                  <w:rFonts w:ascii="Cambria Math" w:hAnsi="Cambria Math"/>
                </w:rPr>
                <m:t xml:space="preserve">α</m:t>
              </m:r>
            </m:oMath>
            <w:r>
              <w:rPr>
                <w:b/>
              </w:rPr>
              <w:t xml:space="preserve"> [°]</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fina</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extrap.</w:t>
            </w:r>
          </w:p>
        </w:tc>
        <w:tc>
          <w:tcPr>
            <w:tcW w:w="1133" w:type="dxa"/>
            <w:shd w:val="clear" w:color="auto" w:fill="EDEDED"/>
            <w:vAlign w:val="center"/>
          </w:tcPr>
          <w:p>
            <w:pPr>
              <w:spacing w:before="40" w:after="40"/>
              <w:jc w:val="center"/>
            </w:pPr>
            <w:r>
              <w:rPr>
                <w:b/>
              </w:rPr>
              <w:t xml:space="preserve">GCI [%]</w:t>
            </w:r>
          </w:p>
        </w:tc>
        <w:tc>
          <w:tcPr>
            <w:tcW w:w="1133" w:type="dxa"/>
            <w:shd w:val="clear" w:color="auto" w:fill="EDEDED"/>
            <w:vAlign w:val="center"/>
          </w:tcPr>
          <w:p>
            <w:pPr>
              <w:spacing w:before="40" w:after="40"/>
              <w:jc w:val="center"/>
            </w:pPr>
            <m:oMath>
              <m:r>
                <w:rPr>
                  <w:rFonts w:ascii="Cambria Math" w:hAnsi="Cambria Math"/>
                </w:rPr>
                <m:t xml:space="preserve">p</m:t>
              </m:r>
            </m:oMath>
            <w:r>
              <w:rPr>
                <w:b/>
              </w:rPr>
              <w:t xml:space="preserve"> fiable</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fina</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extrap.</w:t>
            </w:r>
          </w:p>
        </w:tc>
        <w:tc>
          <w:tcPr>
            <w:tcW w:w="1133" w:type="dxa"/>
            <w:shd w:val="clear" w:color="auto" w:fill="EDEDED"/>
            <w:vAlign w:val="center"/>
          </w:tcPr>
          <w:p>
            <w:pPr>
              <w:spacing w:before="40" w:after="40"/>
              <w:jc w:val="center"/>
            </w:pPr>
            <w:r>
              <w:rPr>
                <w:b/>
              </w:rPr>
              <w:t xml:space="preserve">GCI [%]</w:t>
            </w:r>
          </w:p>
        </w:tc>
      </w:tr>
      <w:tr>
        <w:tc>
          <w:tcPr>
            <w:tcW w:w="1133" w:type="dxa"/>
            <w:vAlign w:val="center"/>
          </w:tcPr>
          <w:p>
            <w:pPr>
              <w:spacing w:before="40" w:after="40"/>
              <w:jc w:val="center"/>
            </w:pPr>
            <w:r>
              <w:t xml:space="preserve">0</w:t>
            </w:r>
          </w:p>
        </w:tc>
        <w:tc>
          <w:tcPr>
            <w:tcW w:w="1133" w:type="dxa"/>
            <w:vAlign w:val="center"/>
          </w:tcPr>
          <w:p>
            <w:pPr>
              <w:spacing w:before="40" w:after="40"/>
              <w:jc w:val="center"/>
            </w:pPr>
            <w:r>
              <w:t xml:space="preserve">-0,0015</w:t>
            </w:r>
          </w:p>
        </w:tc>
        <w:tc>
          <w:tcPr>
            <w:tcW w:w="1133" w:type="dxa"/>
            <w:vAlign w:val="center"/>
          </w:tcPr>
          <w:p>
            <w:pPr>
              <w:spacing w:before="40" w:after="40"/>
              <w:jc w:val="center"/>
            </w:pPr>
            <w:r>
              <w:t xml:space="preserve">-0,0023</w:t>
            </w:r>
          </w:p>
        </w:tc>
        <w:tc>
          <w:tcPr>
            <w:tcW w:w="1133" w:type="dxa"/>
            <w:vAlign w:val="center"/>
          </w:tcPr>
          <w:p>
            <w:pPr>
              <w:spacing w:before="40" w:after="40"/>
              <w:jc w:val="center"/>
            </w:pPr>
            <w:r>
              <w:t xml:space="preserve">825,4</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0,01434</w:t>
            </w:r>
          </w:p>
        </w:tc>
        <w:tc>
          <w:tcPr>
            <w:tcW w:w="1133" w:type="dxa"/>
            <w:vAlign w:val="center"/>
          </w:tcPr>
          <w:p>
            <w:pPr>
              <w:spacing w:before="40" w:after="40"/>
              <w:jc w:val="center"/>
            </w:pPr>
            <w:r>
              <w:t xml:space="preserve">0,01240</w:t>
            </w:r>
          </w:p>
        </w:tc>
        <w:tc>
          <w:tcPr>
            <w:tcW w:w="1133" w:type="dxa"/>
            <w:vAlign w:val="center"/>
          </w:tcPr>
          <w:p>
            <w:pPr>
              <w:spacing w:before="40" w:after="40"/>
              <w:jc w:val="center"/>
            </w:pPr>
            <w:r>
              <w:t xml:space="preserve">225,7</w:t>
            </w:r>
          </w:p>
        </w:tc>
      </w:tr>
      <w:tr>
        <w:tc>
          <w:tcPr>
            <w:tcW w:w="1133" w:type="dxa"/>
            <w:vAlign w:val="center"/>
          </w:tcPr>
          <w:p>
            <w:pPr>
              <w:spacing w:before="40" w:after="40"/>
              <w:jc w:val="center"/>
            </w:pPr>
            <w:r>
              <w:t xml:space="preserve">1</w:t>
            </w:r>
          </w:p>
        </w:tc>
        <w:tc>
          <w:tcPr>
            <w:tcW w:w="1133" w:type="dxa"/>
            <w:vAlign w:val="center"/>
          </w:tcPr>
          <w:p>
            <w:pPr>
              <w:spacing w:before="40" w:after="40"/>
              <w:jc w:val="center"/>
            </w:pPr>
            <w:r>
              <w:t xml:space="preserve">0,0970</w:t>
            </w:r>
          </w:p>
        </w:tc>
        <w:tc>
          <w:tcPr>
            <w:tcW w:w="1133" w:type="dxa"/>
            <w:vAlign w:val="center"/>
          </w:tcPr>
          <w:p>
            <w:pPr>
              <w:spacing w:before="40" w:after="40"/>
              <w:jc w:val="center"/>
            </w:pPr>
            <w:r>
              <w:t xml:space="preserve">0,0998</w:t>
            </w:r>
          </w:p>
        </w:tc>
        <w:tc>
          <w:tcPr>
            <w:tcW w:w="1133" w:type="dxa"/>
            <w:vAlign w:val="center"/>
          </w:tcPr>
          <w:p>
            <w:pPr>
              <w:spacing w:before="40" w:after="40"/>
              <w:jc w:val="center"/>
            </w:pPr>
            <w:r>
              <w:t xml:space="preserve">9,1</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0,01589</w:t>
            </w:r>
          </w:p>
        </w:tc>
        <w:tc>
          <w:tcPr>
            <w:tcW w:w="1133" w:type="dxa"/>
            <w:vAlign w:val="center"/>
          </w:tcPr>
          <w:p>
            <w:pPr>
              <w:spacing w:before="40" w:after="40"/>
              <w:jc w:val="center"/>
            </w:pPr>
            <w:r>
              <w:t xml:space="preserve">0,01371</w:t>
            </w:r>
          </w:p>
        </w:tc>
        <w:tc>
          <w:tcPr>
            <w:tcW w:w="1133" w:type="dxa"/>
            <w:vAlign w:val="center"/>
          </w:tcPr>
          <w:p>
            <w:pPr>
              <w:spacing w:before="40" w:after="40"/>
              <w:jc w:val="center"/>
            </w:pPr>
            <w:r>
              <w:t xml:space="preserve">64,7</w:t>
            </w:r>
          </w:p>
        </w:tc>
      </w:tr>
      <w:tr>
        <w:tc>
          <w:tcPr>
            <w:tcW w:w="1133" w:type="dxa"/>
            <w:vAlign w:val="center"/>
          </w:tcPr>
          <w:p>
            <w:pPr>
              <w:spacing w:before="40" w:after="40"/>
              <w:jc w:val="center"/>
            </w:pPr>
            <w:r>
              <w:t xml:space="preserve">2</w:t>
            </w:r>
          </w:p>
        </w:tc>
        <w:tc>
          <w:tcPr>
            <w:tcW w:w="1133" w:type="dxa"/>
            <w:vAlign w:val="center"/>
          </w:tcPr>
          <w:p>
            <w:pPr>
              <w:spacing w:before="40" w:after="40"/>
              <w:jc w:val="center"/>
            </w:pPr>
            <w:r>
              <w:t xml:space="preserve">0,2075</w:t>
            </w:r>
          </w:p>
        </w:tc>
        <w:tc>
          <w:tcPr>
            <w:tcW w:w="1133" w:type="dxa"/>
            <w:vAlign w:val="center"/>
          </w:tcPr>
          <w:p>
            <w:pPr>
              <w:spacing w:before="40" w:after="40"/>
              <w:jc w:val="center"/>
            </w:pPr>
            <w:r>
              <w:t xml:space="preserve">0,2085</w:t>
            </w:r>
          </w:p>
        </w:tc>
        <w:tc>
          <w:tcPr>
            <w:tcW w:w="1133" w:type="dxa"/>
            <w:vAlign w:val="center"/>
          </w:tcPr>
          <w:p>
            <w:pPr>
              <w:spacing w:before="40" w:after="40"/>
              <w:jc w:val="center"/>
            </w:pPr>
            <w:r>
              <w:t xml:space="preserve">0,6</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0,01728</w:t>
            </w:r>
          </w:p>
        </w:tc>
        <w:tc>
          <w:tcPr>
            <w:tcW w:w="1133" w:type="dxa"/>
            <w:vAlign w:val="center"/>
          </w:tcPr>
          <w:p>
            <w:pPr>
              <w:spacing w:before="40" w:after="40"/>
              <w:jc w:val="center"/>
            </w:pPr>
            <w:r>
              <w:t xml:space="preserve">0,01434</w:t>
            </w:r>
          </w:p>
        </w:tc>
        <w:tc>
          <w:tcPr>
            <w:tcW w:w="1133" w:type="dxa"/>
            <w:vAlign w:val="center"/>
          </w:tcPr>
          <w:p>
            <w:pPr>
              <w:spacing w:before="40" w:after="40"/>
              <w:jc w:val="center"/>
            </w:pPr>
            <w:r>
              <w:t xml:space="preserve">122,9</w:t>
            </w:r>
          </w:p>
        </w:tc>
      </w:tr>
      <w:tr>
        <w:tc>
          <w:tcPr>
            <w:tcW w:w="1133" w:type="dxa"/>
            <w:vAlign w:val="center"/>
          </w:tcPr>
          <w:p>
            <w:pPr>
              <w:spacing w:before="40" w:after="40"/>
              <w:jc w:val="center"/>
            </w:pPr>
            <w:r>
              <w:t xml:space="preserve">3</w:t>
            </w:r>
          </w:p>
        </w:tc>
        <w:tc>
          <w:tcPr>
            <w:tcW w:w="1133" w:type="dxa"/>
            <w:vAlign w:val="center"/>
          </w:tcPr>
          <w:p>
            <w:pPr>
              <w:spacing w:before="40" w:after="40"/>
              <w:jc w:val="center"/>
            </w:pPr>
            <w:r>
              <w:t xml:space="preserve">0,3660</w:t>
            </w:r>
          </w:p>
        </w:tc>
        <w:tc>
          <w:tcPr>
            <w:tcW w:w="1133" w:type="dxa"/>
            <w:vAlign w:val="center"/>
          </w:tcPr>
          <w:p>
            <w:pPr>
              <w:spacing w:before="40" w:after="40"/>
              <w:jc w:val="center"/>
            </w:pPr>
            <w:r>
              <w:t xml:space="preserve">0,3788</w:t>
            </w:r>
          </w:p>
        </w:tc>
        <w:tc>
          <w:tcPr>
            <w:tcW w:w="1133" w:type="dxa"/>
            <w:vAlign w:val="center"/>
          </w:tcPr>
          <w:p>
            <w:pPr>
              <w:spacing w:before="40" w:after="40"/>
              <w:jc w:val="center"/>
            </w:pPr>
            <w:r>
              <w:t xml:space="preserve">4,4</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0,02107</w:t>
            </w:r>
          </w:p>
        </w:tc>
        <w:tc>
          <w:tcPr>
            <w:tcW w:w="1133" w:type="dxa"/>
            <w:vAlign w:val="center"/>
          </w:tcPr>
          <w:p>
            <w:pPr>
              <w:spacing w:before="40" w:after="40"/>
              <w:jc w:val="center"/>
            </w:pPr>
            <w:r>
              <w:t xml:space="preserve">0,01755</w:t>
            </w:r>
          </w:p>
        </w:tc>
        <w:tc>
          <w:tcPr>
            <w:tcW w:w="1133" w:type="dxa"/>
            <w:vAlign w:val="center"/>
          </w:tcPr>
          <w:p>
            <w:pPr>
              <w:spacing w:before="40" w:after="40"/>
              <w:jc w:val="center"/>
            </w:pPr>
            <w:r>
              <w:t xml:space="preserve">44,1</w:t>
            </w:r>
          </w:p>
        </w:tc>
      </w:tr>
      <w:tr>
        <w:tc>
          <w:tcPr>
            <w:tcW w:w="1133" w:type="dxa"/>
            <w:vAlign w:val="center"/>
          </w:tcPr>
          <w:p>
            <w:pPr>
              <w:spacing w:before="40" w:after="40"/>
              <w:jc w:val="center"/>
            </w:pPr>
            <w:r>
              <w:t xml:space="preserve">4</w:t>
            </w:r>
          </w:p>
        </w:tc>
        <w:tc>
          <w:tcPr>
            <w:tcW w:w="1133" w:type="dxa"/>
            <w:vAlign w:val="center"/>
          </w:tcPr>
          <w:p>
            <w:pPr>
              <w:spacing w:before="40" w:after="40"/>
              <w:jc w:val="center"/>
            </w:pPr>
            <w:r>
              <w:t xml:space="preserve">0,4978</w:t>
            </w:r>
          </w:p>
        </w:tc>
        <w:tc>
          <w:tcPr>
            <w:tcW w:w="1133" w:type="dxa"/>
            <w:vAlign w:val="center"/>
          </w:tcPr>
          <w:p>
            <w:pPr>
              <w:spacing w:before="40" w:after="40"/>
              <w:jc w:val="center"/>
            </w:pPr>
            <w:r>
              <w:t xml:space="preserve">0,5103</w:t>
            </w:r>
          </w:p>
        </w:tc>
        <w:tc>
          <w:tcPr>
            <w:tcW w:w="1133" w:type="dxa"/>
            <w:vAlign w:val="center"/>
          </w:tcPr>
          <w:p>
            <w:pPr>
              <w:spacing w:before="40" w:after="40"/>
              <w:jc w:val="center"/>
            </w:pPr>
            <w:r>
              <w:t xml:space="preserve">3,2</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0,02746</w:t>
            </w:r>
          </w:p>
        </w:tc>
        <w:tc>
          <w:tcPr>
            <w:tcW w:w="1133" w:type="dxa"/>
            <w:vAlign w:val="center"/>
          </w:tcPr>
          <w:p>
            <w:pPr>
              <w:spacing w:before="40" w:after="40"/>
              <w:jc w:val="center"/>
            </w:pPr>
            <w:r>
              <w:t xml:space="preserve">0,02335</w:t>
            </w:r>
          </w:p>
        </w:tc>
        <w:tc>
          <w:tcPr>
            <w:tcW w:w="1133" w:type="dxa"/>
            <w:vAlign w:val="center"/>
          </w:tcPr>
          <w:p>
            <w:pPr>
              <w:spacing w:before="40" w:after="40"/>
              <w:jc w:val="center"/>
            </w:pPr>
            <w:r>
              <w:t xml:space="preserve">7,8</w:t>
            </w:r>
          </w:p>
        </w:tc>
      </w:tr>
      <w:tr>
        <w:tc>
          <w:tcPr>
            <w:tcW w:w="1133" w:type="dxa"/>
            <w:vAlign w:val="center"/>
          </w:tcPr>
          <w:p>
            <w:pPr>
              <w:spacing w:before="40" w:after="40"/>
              <w:jc w:val="center"/>
            </w:pPr>
            <w:r>
              <w:t xml:space="preserve">5</w:t>
            </w:r>
          </w:p>
        </w:tc>
        <w:tc>
          <w:tcPr>
            <w:tcW w:w="1133" w:type="dxa"/>
            <w:vAlign w:val="center"/>
          </w:tcPr>
          <w:p>
            <w:pPr>
              <w:spacing w:before="40" w:after="40"/>
              <w:jc w:val="center"/>
            </w:pPr>
            <w:r>
              <w:t xml:space="preserve">0,5616</w:t>
            </w:r>
          </w:p>
        </w:tc>
        <w:tc>
          <w:tcPr>
            <w:tcW w:w="1133" w:type="dxa"/>
            <w:vAlign w:val="center"/>
          </w:tcPr>
          <w:p>
            <w:pPr>
              <w:spacing w:before="40" w:after="40"/>
              <w:jc w:val="center"/>
            </w:pPr>
            <w:r>
              <w:t xml:space="preserve">0,6357</w:t>
            </w:r>
          </w:p>
        </w:tc>
        <w:tc>
          <w:tcPr>
            <w:tcW w:w="1133" w:type="dxa"/>
            <w:vAlign w:val="center"/>
          </w:tcPr>
          <w:p>
            <w:pPr>
              <w:spacing w:before="40" w:after="40"/>
              <w:jc w:val="center"/>
            </w:pPr>
            <w:r>
              <w:t xml:space="preserve">16,5</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0,03222</w:t>
            </w:r>
          </w:p>
        </w:tc>
        <w:tc>
          <w:tcPr>
            <w:tcW w:w="1133" w:type="dxa"/>
            <w:vAlign w:val="center"/>
          </w:tcPr>
          <w:p>
            <w:pPr>
              <w:spacing w:before="40" w:after="40"/>
              <w:jc w:val="center"/>
            </w:pPr>
            <w:r>
              <w:t xml:space="preserve">0,02733</w:t>
            </w:r>
          </w:p>
        </w:tc>
        <w:tc>
          <w:tcPr>
            <w:tcW w:w="1133" w:type="dxa"/>
            <w:vAlign w:val="center"/>
          </w:tcPr>
          <w:p>
            <w:pPr>
              <w:spacing w:before="40" w:after="40"/>
              <w:jc w:val="center"/>
            </w:pPr>
            <w:r>
              <w:t xml:space="preserve">17,8</w:t>
            </w:r>
          </w:p>
        </w:tc>
      </w:tr>
      <w:tr>
        <w:tc>
          <w:tcPr>
            <w:tcW w:w="1133" w:type="dxa"/>
            <w:vAlign w:val="center"/>
          </w:tcPr>
          <w:p>
            <w:pPr>
              <w:spacing w:before="40" w:after="40"/>
              <w:jc w:val="center"/>
            </w:pPr>
            <w:r>
              <w:t xml:space="preserve">6</w:t>
            </w:r>
          </w:p>
        </w:tc>
        <w:tc>
          <w:tcPr>
            <w:tcW w:w="1133" w:type="dxa"/>
            <w:vAlign w:val="center"/>
          </w:tcPr>
          <w:p>
            <w:pPr>
              <w:spacing w:before="40" w:after="40"/>
              <w:jc w:val="center"/>
            </w:pPr>
            <w:r>
              <w:t xml:space="preserve">0,6087</w:t>
            </w:r>
          </w:p>
        </w:tc>
        <w:tc>
          <w:tcPr>
            <w:tcW w:w="1133" w:type="dxa"/>
            <w:vAlign w:val="center"/>
          </w:tcPr>
          <w:p>
            <w:pPr>
              <w:spacing w:before="40" w:after="40"/>
              <w:jc w:val="center"/>
            </w:pPr>
            <w:r>
              <w:t xml:space="preserve">0,6504</w:t>
            </w:r>
          </w:p>
        </w:tc>
        <w:tc>
          <w:tcPr>
            <w:tcW w:w="1133" w:type="dxa"/>
            <w:vAlign w:val="center"/>
          </w:tcPr>
          <w:p>
            <w:pPr>
              <w:spacing w:before="40" w:after="40"/>
              <w:jc w:val="center"/>
            </w:pPr>
            <w:r>
              <w:t xml:space="preserve">96,4</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0,03987</w:t>
            </w:r>
          </w:p>
        </w:tc>
        <w:tc>
          <w:tcPr>
            <w:tcW w:w="1133" w:type="dxa"/>
            <w:vAlign w:val="center"/>
          </w:tcPr>
          <w:p>
            <w:pPr>
              <w:spacing w:before="40" w:after="40"/>
              <w:jc w:val="center"/>
            </w:pPr>
            <w:r>
              <w:t xml:space="preserve">0,03408</w:t>
            </w:r>
          </w:p>
        </w:tc>
        <w:tc>
          <w:tcPr>
            <w:tcW w:w="1133" w:type="dxa"/>
            <w:vAlign w:val="center"/>
          </w:tcPr>
          <w:p>
            <w:pPr>
              <w:spacing w:before="40" w:after="40"/>
              <w:jc w:val="center"/>
            </w:pPr>
            <w:r>
              <w:t xml:space="preserve">8,9</w:t>
            </w:r>
          </w:p>
        </w:tc>
      </w:tr>
      <w:tr>
        <w:tc>
          <w:tcPr>
            <w:tcW w:w="1133" w:type="dxa"/>
            <w:vAlign w:val="center"/>
          </w:tcPr>
          <w:p>
            <w:pPr>
              <w:spacing w:before="40" w:after="40"/>
              <w:jc w:val="center"/>
            </w:pPr>
            <w:r>
              <w:t xml:space="preserve">7</w:t>
            </w:r>
          </w:p>
        </w:tc>
        <w:tc>
          <w:tcPr>
            <w:tcW w:w="1133" w:type="dxa"/>
            <w:vAlign w:val="center"/>
          </w:tcPr>
          <w:p>
            <w:pPr>
              <w:spacing w:before="40" w:after="40"/>
              <w:jc w:val="center"/>
            </w:pPr>
            <w:r>
              <w:t xml:space="preserve">0,6520</w:t>
            </w:r>
          </w:p>
        </w:tc>
        <w:tc>
          <w:tcPr>
            <w:tcW w:w="1133" w:type="dxa"/>
            <w:vAlign w:val="center"/>
          </w:tcPr>
          <w:p>
            <w:pPr>
              <w:spacing w:before="40" w:after="40"/>
              <w:jc w:val="center"/>
            </w:pPr>
            <w:r>
              <w:t xml:space="preserve">0,7066</w:t>
            </w:r>
          </w:p>
        </w:tc>
        <w:tc>
          <w:tcPr>
            <w:tcW w:w="1133" w:type="dxa"/>
            <w:vAlign w:val="center"/>
          </w:tcPr>
          <w:p>
            <w:pPr>
              <w:spacing w:before="40" w:after="40"/>
              <w:jc w:val="center"/>
            </w:pPr>
            <w:r>
              <w:t xml:space="preserve">68,1</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0,05185</w:t>
            </w:r>
          </w:p>
        </w:tc>
        <w:tc>
          <w:tcPr>
            <w:tcW w:w="1133" w:type="dxa"/>
            <w:vAlign w:val="center"/>
          </w:tcPr>
          <w:p>
            <w:pPr>
              <w:spacing w:before="40" w:after="40"/>
              <w:jc w:val="center"/>
            </w:pPr>
            <w:r>
              <w:t xml:space="preserve">0,04265</w:t>
            </w:r>
          </w:p>
        </w:tc>
        <w:tc>
          <w:tcPr>
            <w:tcW w:w="1133" w:type="dxa"/>
            <w:vAlign w:val="center"/>
          </w:tcPr>
          <w:p>
            <w:pPr>
              <w:spacing w:before="40" w:after="40"/>
              <w:jc w:val="center"/>
            </w:pPr>
            <w:r>
              <w:t xml:space="preserve">34,5</w:t>
            </w:r>
          </w:p>
        </w:tc>
      </w:tr>
      <w:tr>
        <w:tc>
          <w:tcPr>
            <w:tcW w:w="1133" w:type="dxa"/>
            <w:vAlign w:val="center"/>
          </w:tcPr>
          <w:p>
            <w:pPr>
              <w:spacing w:before="40" w:after="40"/>
              <w:jc w:val="center"/>
            </w:pPr>
            <w:r>
              <w:t xml:space="preserve">8</w:t>
            </w:r>
          </w:p>
        </w:tc>
        <w:tc>
          <w:tcPr>
            <w:tcW w:w="1133" w:type="dxa"/>
            <w:vAlign w:val="center"/>
          </w:tcPr>
          <w:p>
            <w:pPr>
              <w:spacing w:before="40" w:after="40"/>
              <w:jc w:val="center"/>
            </w:pPr>
            <w:r>
              <w:t xml:space="preserve">0,6732</w:t>
            </w:r>
          </w:p>
        </w:tc>
        <w:tc>
          <w:tcPr>
            <w:tcW w:w="1133" w:type="dxa"/>
            <w:vAlign w:val="center"/>
          </w:tcPr>
          <w:p>
            <w:pPr>
              <w:spacing w:before="40" w:after="40"/>
              <w:jc w:val="center"/>
            </w:pPr>
            <w:r>
              <w:t xml:space="preserve">0,7288</w:t>
            </w:r>
          </w:p>
        </w:tc>
        <w:tc>
          <w:tcPr>
            <w:tcW w:w="1133" w:type="dxa"/>
            <w:vAlign w:val="center"/>
          </w:tcPr>
          <w:p>
            <w:pPr>
              <w:spacing w:before="40" w:after="40"/>
              <w:jc w:val="center"/>
            </w:pPr>
            <w:r>
              <w:t xml:space="preserve">56,8</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0,07984</w:t>
            </w:r>
          </w:p>
        </w:tc>
        <w:tc>
          <w:tcPr>
            <w:tcW w:w="1133" w:type="dxa"/>
            <w:vAlign w:val="center"/>
          </w:tcPr>
          <w:p>
            <w:pPr>
              <w:spacing w:before="40" w:after="40"/>
              <w:jc w:val="center"/>
            </w:pPr>
            <w:r>
              <w:t xml:space="preserve">0,07070</w:t>
            </w:r>
          </w:p>
        </w:tc>
        <w:tc>
          <w:tcPr>
            <w:tcW w:w="1133" w:type="dxa"/>
            <w:vAlign w:val="center"/>
          </w:tcPr>
          <w:p>
            <w:pPr>
              <w:spacing w:before="40" w:after="40"/>
              <w:jc w:val="center"/>
            </w:pPr>
            <w:r>
              <w:t xml:space="preserve">40,2</w:t>
            </w:r>
          </w:p>
        </w:tc>
      </w:tr>
    </w:tbl>
    <w:p>
      <w:pPr>
        <w:pStyle w:val="Taula"/>
      </w:pPr>
      <w:r>
        <w:t xml:space="preserve">Tabla 4.6</w:t>
      </w:r>
      <w:r>
        <w:t xml:space="preserve">: Convergencia de malla del NACA 0012 en el barrido completo de incidencias.</w:t>
      </w:r>
    </w:p>
    <w:p>
      <w:r>
        <w:t xml:space="preserve">De los veintisiete casos del perfil de referencia, nueve ángulos por tres magnitudes, el orden aparente resulta utilizable en cuatro, todos ellos en la sustentación y todos concentrados en el intervalo </w:t>
      </w:r>
      <m:oMath>
        <m:r>
          <w:rPr>
            <w:rFonts w:ascii="Cambria Math" w:hAnsi="Cambria Math"/>
          </w:rPr>
          <m:t xml:space="preserve">α</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2</m:t>
        </m:r>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5</m:t>
        </m:r>
        <m:r>
          <w:rPr>
            <w:rFonts w:ascii="Cambria Math" w:hAnsi="Cambria Math"/>
          </w:rPr>
          <m:t xml:space="preserve">]</m:t>
        </m:r>
      </m:oMath>
      <w:r>
        <w:t xml:space="preserve">. </w:t>
      </w:r>
      <w:r>
        <w:rPr>
          <w:b/>
        </w:rPr>
        <w:t xml:space="preserve">La resistencia no arroja ningún caso utilizable, y la eficiencia tampoco.</w:t>
      </w:r>
    </w:p>
    <w:p>
      <w:r>
        <w:t xml:space="preserve">La distribución de esos fallos no es aleatoria y admite una explicación física. Se concentran en la resistencia y en los extremos del barrido, donde la burbuja de separación laminar cambia de posición con la resolución. Cuando eso ocurre, lo que separa a dos mallas no es error de truncamiento sino una solución distinta, y la extrapolación de Richardson no le es aplicable por construcción, puesto que su hipótesis de partida es que las tres soluciones son la misma salvo un término de error que decrece con potencia fija del tamaño de celda.</w:t>
      </w:r>
    </w:p>
    <w:p>
      <w:r>
        <w:t xml:space="preserve">El solver converge por tanto en sustentación en el entorno del punto de diseño, con órdenes próximos al nominal e incertidumbres de malla de pocos puntos porcentuales. Fuera de ese entorno, y en resistencia en general, los valores extrapolados son estimaciones indicativas y así se tratan en el resto del capítulo.</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4.3: insertar resultados_finales/richardson/figuras/convergencia_naca0012.png]</w:t>
      </w:r>
    </w:p>
    <w:p>
      <w:pPr>
        <w:pStyle w:val="Figura"/>
      </w:pPr>
      <w:r>
        <w:t xml:space="preserve">Figura 4.3</w:t>
      </w:r>
      <w:r>
        <w:t xml:space="preserve">: Convergencia de </w:t>
      </w:r>
      <m:oMath>
        <m:sSub>
          <m:e>
            <m:r>
              <w:rPr>
                <w:rFonts w:ascii="Cambria Math" w:hAnsi="Cambria Math"/>
              </w:rPr>
              <m:t xml:space="preserve">C</m:t>
            </m:r>
          </m:e>
          <m:sub>
            <m:r>
              <w:rPr>
                <w:rFonts w:ascii="Cambria Math" w:hAnsi="Cambria Math"/>
              </w:rPr>
              <m:t xml:space="preserve">L</m:t>
            </m:r>
          </m:sub>
        </m:sSub>
      </m:oMath>
      <w:r>
        <w:t xml:space="preserve">, </w:t>
      </w:r>
      <m:oMath>
        <m:sSub>
          <m:e>
            <m:r>
              <w:rPr>
                <w:rFonts w:ascii="Cambria Math" w:hAnsi="Cambria Math"/>
              </w:rPr>
              <m:t xml:space="preserve">C</m:t>
            </m:r>
          </m:e>
          <m:sub>
            <m:r>
              <w:rPr>
                <w:rFonts w:ascii="Cambria Math" w:hAnsi="Cambria Math"/>
              </w:rPr>
              <m:t xml:space="preserve">D</m:t>
            </m:r>
          </m:sub>
        </m:sSub>
      </m:oMath>
      <w:r>
        <w:t xml:space="preserve"> y eficiencia frente al paso de malla para el NACA 0012, una curva por ángulo, con el valor extrapolado marcado en el origen. La línea continua indica orden observado utilizable y la punteada orden forzado al nominal.</w:t>
      </w:r>
    </w:p>
    <w:p>
      <w:pPr>
        <w:pStyle w:val="Ttulo3"/>
        <w:numPr>
          <w:ilvl w:val="0"/>
          <w:numId w:val="0"/>
        </w:numPr>
        <w:ind w:left="431" w:hanging="431"/>
      </w:pPr>
      <w:r>
        <w:t xml:space="preserve">4.1.6 Contraste con una referencia externa</w:t>
      </w:r>
    </w:p>
    <w:p>
      <w:r>
        <w:t xml:space="preserve">La polar calculada del NACA 0012 se compara con la que produce XFOIL [10] en el mismo régimen,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con </w:t>
      </w:r>
      <m:oMath>
        <m:sSub>
          <m:e>
            <m:r>
              <w:rPr>
                <w:rFonts w:ascii="Cambria Math" w:hAnsi="Cambria Math"/>
              </w:rPr>
              <m:t xml:space="preserve">N</m:t>
            </m:r>
          </m:e>
          <m:sub>
            <m:r>
              <w:rPr>
                <w:rFonts w:ascii="Cambria Math" w:hAnsi="Cambria Math"/>
              </w:rPr>
              <m:t xml:space="preserve">c</m:t>
            </m:r>
            <m:r>
              <w:rPr>
                <w:rFonts w:ascii="Cambria Math" w:hAnsi="Cambria Math"/>
              </w:rPr>
              <m:t xml:space="preserve">r</m:t>
            </m:r>
            <m:r>
              <w:rPr>
                <w:rFonts w:ascii="Cambria Math" w:hAnsi="Cambria Math"/>
              </w:rPr>
              <m:t xml:space="preserve">i</m:t>
            </m:r>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9</m:t>
        </m:r>
      </m:oMath>
      <w:r>
        <w:t xml:space="preserve">. XFOIL no es un experimento, pero es la referencia de uso corriente en el diseño de perfiles a bajo número de Reynolds, y su formulación, capa límite integral acoplada a un método de paneles con criterio de transición </w:t>
      </w:r>
      <m:oMath>
        <m:sSup>
          <m:e>
            <m:r>
              <w:rPr>
                <w:rFonts w:ascii="Cambria Math" w:hAnsi="Cambria Math"/>
              </w:rPr>
              <m:t xml:space="preserve">e</m:t>
            </m:r>
          </m:e>
          <m:sup>
            <m:r>
              <w:rPr>
                <w:rFonts w:ascii="Cambria Math" w:hAnsi="Cambria Math"/>
              </w:rPr>
              <m:t xml:space="preserve">N</m:t>
            </m:r>
          </m:sup>
        </m:sSup>
      </m:oMath>
      <w:r>
        <w:t xml:space="preserve">, es independiente de la del solver aquí desarrollado. La discrepancia entre ambos mide por tanto algo real.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m:oMath>
              <m:r>
                <w:rPr>
                  <w:rFonts w:ascii="Cambria Math" w:hAnsi="Cambria Math"/>
                </w:rPr>
                <m:t xml:space="preserve">α</m:t>
              </m:r>
            </m:oMath>
            <w:r>
              <w:rPr>
                <w:b/>
              </w:rPr>
              <w:t xml:space="preserve"> [°]</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XFOIL</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extrap.</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XFOIL</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extrap.</w:t>
            </w:r>
          </w:p>
        </w:tc>
      </w:tr>
      <w:tr>
        <w:tc>
          <w:tcPr>
            <w:tcW w:w="1295" w:type="dxa"/>
            <w:vAlign w:val="center"/>
          </w:tcPr>
          <w:p>
            <w:pPr>
              <w:spacing w:before="40" w:after="40"/>
              <w:jc w:val="center"/>
            </w:pPr>
            <w:r>
              <w:t xml:space="preserve">0</w:t>
            </w:r>
          </w:p>
        </w:tc>
        <w:tc>
          <w:tcPr>
            <w:tcW w:w="1295" w:type="dxa"/>
            <w:vAlign w:val="center"/>
          </w:tcPr>
          <w:p>
            <w:pPr>
              <w:spacing w:before="40" w:after="40"/>
              <w:jc w:val="center"/>
            </w:pPr>
            <w:r>
              <w:t xml:space="preserve">0,0000</w:t>
            </w:r>
          </w:p>
        </w:tc>
        <w:tc>
          <w:tcPr>
            <w:tcW w:w="1295" w:type="dxa"/>
            <w:vAlign w:val="center"/>
          </w:tcPr>
          <w:p>
            <w:pPr>
              <w:spacing w:before="40" w:after="40"/>
              <w:jc w:val="center"/>
            </w:pPr>
            <w:r>
              <w:t xml:space="preserve">-0,0015</w:t>
            </w:r>
          </w:p>
        </w:tc>
        <w:tc>
          <w:tcPr>
            <w:tcW w:w="1295" w:type="dxa"/>
            <w:vAlign w:val="center"/>
          </w:tcPr>
          <w:p>
            <w:pPr>
              <w:spacing w:before="40" w:after="40"/>
              <w:jc w:val="center"/>
            </w:pPr>
            <w:r>
              <w:t xml:space="preserve">-0,0023</w:t>
            </w:r>
          </w:p>
        </w:tc>
        <w:tc>
          <w:tcPr>
            <w:tcW w:w="1295" w:type="dxa"/>
            <w:vAlign w:val="center"/>
          </w:tcPr>
          <w:p>
            <w:pPr>
              <w:spacing w:before="40" w:after="40"/>
              <w:jc w:val="center"/>
            </w:pPr>
            <w:r>
              <w:t xml:space="preserve">0,01693</w:t>
            </w:r>
          </w:p>
        </w:tc>
        <w:tc>
          <w:tcPr>
            <w:tcW w:w="1295" w:type="dxa"/>
            <w:vAlign w:val="center"/>
          </w:tcPr>
          <w:p>
            <w:pPr>
              <w:spacing w:before="40" w:after="40"/>
              <w:jc w:val="center"/>
            </w:pPr>
            <w:r>
              <w:t xml:space="preserve">0,01434</w:t>
            </w:r>
          </w:p>
        </w:tc>
        <w:tc>
          <w:tcPr>
            <w:tcW w:w="1295" w:type="dxa"/>
            <w:vAlign w:val="center"/>
          </w:tcPr>
          <w:p>
            <w:pPr>
              <w:spacing w:before="40" w:after="40"/>
              <w:jc w:val="center"/>
            </w:pPr>
            <w:r>
              <w:t xml:space="preserve">0,01240</w:t>
            </w:r>
          </w:p>
        </w:tc>
      </w:tr>
      <w:tr>
        <w:tc>
          <w:tcPr>
            <w:tcW w:w="1295" w:type="dxa"/>
            <w:vAlign w:val="center"/>
          </w:tcPr>
          <w:p>
            <w:pPr>
              <w:spacing w:before="40" w:after="40"/>
              <w:jc w:val="center"/>
            </w:pPr>
            <w:r>
              <w:t xml:space="preserve">2</w:t>
            </w:r>
          </w:p>
        </w:tc>
        <w:tc>
          <w:tcPr>
            <w:tcW w:w="1295" w:type="dxa"/>
            <w:vAlign w:val="center"/>
          </w:tcPr>
          <w:p>
            <w:pPr>
              <w:spacing w:before="40" w:after="40"/>
              <w:jc w:val="center"/>
            </w:pPr>
            <w:r>
              <w:t xml:space="preserve">0,3737</w:t>
            </w:r>
          </w:p>
        </w:tc>
        <w:tc>
          <w:tcPr>
            <w:tcW w:w="1295" w:type="dxa"/>
            <w:vAlign w:val="center"/>
          </w:tcPr>
          <w:p>
            <w:pPr>
              <w:spacing w:before="40" w:after="40"/>
              <w:jc w:val="center"/>
            </w:pPr>
            <w:r>
              <w:t xml:space="preserve">0,2075</w:t>
            </w:r>
          </w:p>
        </w:tc>
        <w:tc>
          <w:tcPr>
            <w:tcW w:w="1295" w:type="dxa"/>
            <w:vAlign w:val="center"/>
          </w:tcPr>
          <w:p>
            <w:pPr>
              <w:spacing w:before="40" w:after="40"/>
              <w:jc w:val="center"/>
            </w:pPr>
            <w:r>
              <w:t xml:space="preserve">0,2085</w:t>
            </w:r>
          </w:p>
        </w:tc>
        <w:tc>
          <w:tcPr>
            <w:tcW w:w="1295" w:type="dxa"/>
            <w:vAlign w:val="center"/>
          </w:tcPr>
          <w:p>
            <w:pPr>
              <w:spacing w:before="40" w:after="40"/>
              <w:jc w:val="center"/>
            </w:pPr>
            <w:r>
              <w:t xml:space="preserve">0,01444</w:t>
            </w:r>
          </w:p>
        </w:tc>
        <w:tc>
          <w:tcPr>
            <w:tcW w:w="1295" w:type="dxa"/>
            <w:vAlign w:val="center"/>
          </w:tcPr>
          <w:p>
            <w:pPr>
              <w:spacing w:before="40" w:after="40"/>
              <w:jc w:val="center"/>
            </w:pPr>
            <w:r>
              <w:t xml:space="preserve">0,01728</w:t>
            </w:r>
          </w:p>
        </w:tc>
        <w:tc>
          <w:tcPr>
            <w:tcW w:w="1295" w:type="dxa"/>
            <w:vAlign w:val="center"/>
          </w:tcPr>
          <w:p>
            <w:pPr>
              <w:spacing w:before="40" w:after="40"/>
              <w:jc w:val="center"/>
            </w:pPr>
            <w:r>
              <w:t xml:space="preserve">0,01434</w:t>
            </w:r>
          </w:p>
        </w:tc>
      </w:tr>
      <w:tr>
        <w:tc>
          <w:tcPr>
            <w:tcW w:w="1295" w:type="dxa"/>
            <w:vAlign w:val="center"/>
          </w:tcPr>
          <w:p>
            <w:pPr>
              <w:spacing w:before="40" w:after="40"/>
              <w:jc w:val="center"/>
            </w:pPr>
            <w:r>
              <w:t xml:space="preserve">4</w:t>
            </w:r>
          </w:p>
        </w:tc>
        <w:tc>
          <w:tcPr>
            <w:tcW w:w="1295" w:type="dxa"/>
            <w:vAlign w:val="center"/>
          </w:tcPr>
          <w:p>
            <w:pPr>
              <w:spacing w:before="40" w:after="40"/>
              <w:jc w:val="center"/>
            </w:pPr>
            <w:r>
              <w:t xml:space="preserve">0,5365</w:t>
            </w:r>
          </w:p>
        </w:tc>
        <w:tc>
          <w:tcPr>
            <w:tcW w:w="1295" w:type="dxa"/>
            <w:vAlign w:val="center"/>
          </w:tcPr>
          <w:p>
            <w:pPr>
              <w:spacing w:before="40" w:after="40"/>
              <w:jc w:val="center"/>
            </w:pPr>
            <w:r>
              <w:t xml:space="preserve">0,4978</w:t>
            </w:r>
          </w:p>
        </w:tc>
        <w:tc>
          <w:tcPr>
            <w:tcW w:w="1295" w:type="dxa"/>
            <w:vAlign w:val="center"/>
          </w:tcPr>
          <w:p>
            <w:pPr>
              <w:spacing w:before="40" w:after="40"/>
              <w:jc w:val="center"/>
            </w:pPr>
            <w:r>
              <w:t xml:space="preserve">0,5103</w:t>
            </w:r>
          </w:p>
        </w:tc>
        <w:tc>
          <w:tcPr>
            <w:tcW w:w="1295" w:type="dxa"/>
            <w:vAlign w:val="center"/>
          </w:tcPr>
          <w:p>
            <w:pPr>
              <w:spacing w:before="40" w:after="40"/>
              <w:jc w:val="center"/>
            </w:pPr>
            <w:r>
              <w:t xml:space="preserve">0,01520</w:t>
            </w:r>
          </w:p>
        </w:tc>
        <w:tc>
          <w:tcPr>
            <w:tcW w:w="1295" w:type="dxa"/>
            <w:vAlign w:val="center"/>
          </w:tcPr>
          <w:p>
            <w:pPr>
              <w:spacing w:before="40" w:after="40"/>
              <w:jc w:val="center"/>
            </w:pPr>
            <w:r>
              <w:t xml:space="preserve">0,02746</w:t>
            </w:r>
          </w:p>
        </w:tc>
        <w:tc>
          <w:tcPr>
            <w:tcW w:w="1295" w:type="dxa"/>
            <w:vAlign w:val="center"/>
          </w:tcPr>
          <w:p>
            <w:pPr>
              <w:spacing w:before="40" w:after="40"/>
              <w:jc w:val="center"/>
            </w:pPr>
            <w:r>
              <w:t xml:space="preserve">0,02335</w:t>
            </w:r>
          </w:p>
        </w:tc>
      </w:tr>
      <w:tr>
        <w:tc>
          <w:tcPr>
            <w:tcW w:w="1295" w:type="dxa"/>
            <w:vAlign w:val="center"/>
          </w:tcPr>
          <w:p>
            <w:pPr>
              <w:spacing w:before="40" w:after="40"/>
              <w:jc w:val="center"/>
            </w:pPr>
            <w:r>
              <w:t xml:space="preserve">6</w:t>
            </w:r>
          </w:p>
        </w:tc>
        <w:tc>
          <w:tcPr>
            <w:tcW w:w="1295" w:type="dxa"/>
            <w:vAlign w:val="center"/>
          </w:tcPr>
          <w:p>
            <w:pPr>
              <w:spacing w:before="40" w:after="40"/>
              <w:jc w:val="center"/>
            </w:pPr>
            <w:r>
              <w:t xml:space="preserve">0,6862</w:t>
            </w:r>
          </w:p>
        </w:tc>
        <w:tc>
          <w:tcPr>
            <w:tcW w:w="1295" w:type="dxa"/>
            <w:vAlign w:val="center"/>
          </w:tcPr>
          <w:p>
            <w:pPr>
              <w:spacing w:before="40" w:after="40"/>
              <w:jc w:val="center"/>
            </w:pPr>
            <w:r>
              <w:t xml:space="preserve">0,6087</w:t>
            </w:r>
          </w:p>
        </w:tc>
        <w:tc>
          <w:tcPr>
            <w:tcW w:w="1295" w:type="dxa"/>
            <w:vAlign w:val="center"/>
          </w:tcPr>
          <w:p>
            <w:pPr>
              <w:spacing w:before="40" w:after="40"/>
              <w:jc w:val="center"/>
            </w:pPr>
            <w:r>
              <w:t xml:space="preserve">0,6504</w:t>
            </w:r>
          </w:p>
        </w:tc>
        <w:tc>
          <w:tcPr>
            <w:tcW w:w="1295" w:type="dxa"/>
            <w:vAlign w:val="center"/>
          </w:tcPr>
          <w:p>
            <w:pPr>
              <w:spacing w:before="40" w:after="40"/>
              <w:jc w:val="center"/>
            </w:pPr>
            <w:r>
              <w:t xml:space="preserve">0,01958</w:t>
            </w:r>
          </w:p>
        </w:tc>
        <w:tc>
          <w:tcPr>
            <w:tcW w:w="1295" w:type="dxa"/>
            <w:vAlign w:val="center"/>
          </w:tcPr>
          <w:p>
            <w:pPr>
              <w:spacing w:before="40" w:after="40"/>
              <w:jc w:val="center"/>
            </w:pPr>
            <w:r>
              <w:t xml:space="preserve">0,03987</w:t>
            </w:r>
          </w:p>
        </w:tc>
        <w:tc>
          <w:tcPr>
            <w:tcW w:w="1295" w:type="dxa"/>
            <w:vAlign w:val="center"/>
          </w:tcPr>
          <w:p>
            <w:pPr>
              <w:spacing w:before="40" w:after="40"/>
              <w:jc w:val="center"/>
            </w:pPr>
            <w:r>
              <w:t xml:space="preserve">0,03408</w:t>
            </w:r>
          </w:p>
        </w:tc>
      </w:tr>
      <w:tr>
        <w:tc>
          <w:tcPr>
            <w:tcW w:w="1295" w:type="dxa"/>
            <w:vAlign w:val="center"/>
          </w:tcPr>
          <w:p>
            <w:pPr>
              <w:spacing w:before="40" w:after="40"/>
              <w:jc w:val="center"/>
            </w:pPr>
            <w:r>
              <w:t xml:space="preserve">8</w:t>
            </w:r>
          </w:p>
        </w:tc>
        <w:tc>
          <w:tcPr>
            <w:tcW w:w="1295" w:type="dxa"/>
            <w:vAlign w:val="center"/>
          </w:tcPr>
          <w:p>
            <w:pPr>
              <w:spacing w:before="40" w:after="40"/>
              <w:jc w:val="center"/>
            </w:pPr>
            <w:r>
              <w:t xml:space="preserve">0,8471</w:t>
            </w:r>
          </w:p>
        </w:tc>
        <w:tc>
          <w:tcPr>
            <w:tcW w:w="1295" w:type="dxa"/>
            <w:vAlign w:val="center"/>
          </w:tcPr>
          <w:p>
            <w:pPr>
              <w:spacing w:before="40" w:after="40"/>
              <w:jc w:val="center"/>
            </w:pPr>
            <w:r>
              <w:t xml:space="preserve">0,6732</w:t>
            </w:r>
          </w:p>
        </w:tc>
        <w:tc>
          <w:tcPr>
            <w:tcW w:w="1295" w:type="dxa"/>
            <w:vAlign w:val="center"/>
          </w:tcPr>
          <w:p>
            <w:pPr>
              <w:spacing w:before="40" w:after="40"/>
              <w:jc w:val="center"/>
            </w:pPr>
            <w:r>
              <w:t xml:space="preserve">0,7288</w:t>
            </w:r>
          </w:p>
        </w:tc>
        <w:tc>
          <w:tcPr>
            <w:tcW w:w="1295" w:type="dxa"/>
            <w:vAlign w:val="center"/>
          </w:tcPr>
          <w:p>
            <w:pPr>
              <w:spacing w:before="40" w:after="40"/>
              <w:jc w:val="center"/>
            </w:pPr>
            <w:r>
              <w:t xml:space="preserve">0,02869</w:t>
            </w:r>
          </w:p>
        </w:tc>
        <w:tc>
          <w:tcPr>
            <w:tcW w:w="1295" w:type="dxa"/>
            <w:vAlign w:val="center"/>
          </w:tcPr>
          <w:p>
            <w:pPr>
              <w:spacing w:before="40" w:after="40"/>
              <w:jc w:val="center"/>
            </w:pPr>
            <w:r>
              <w:t xml:space="preserve">0,07984</w:t>
            </w:r>
          </w:p>
        </w:tc>
        <w:tc>
          <w:tcPr>
            <w:tcW w:w="1295" w:type="dxa"/>
            <w:vAlign w:val="center"/>
          </w:tcPr>
          <w:p>
            <w:pPr>
              <w:spacing w:before="40" w:after="40"/>
              <w:jc w:val="center"/>
            </w:pPr>
            <w:r>
              <w:t xml:space="preserve">0,07070</w:t>
            </w:r>
          </w:p>
        </w:tc>
      </w:tr>
    </w:tbl>
    <w:p>
      <w:pPr>
        <w:pStyle w:val="Taula"/>
      </w:pPr>
      <w:r>
        <w:t xml:space="preserve">Tabla 4.7</w:t>
      </w:r>
      <w:r>
        <w:t xml:space="preserve">: Contraste de la polar calculada del NACA 0012 con XFOIL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w:t>
      </w:r>
    </w:p>
    <w:p>
      <w:r>
        <w:t xml:space="preserve">La lectura de la tabla separa con nitidez las dos magnitudes. La sustentación concuerda de forma razonable en el entorno del punto de diseño: el valor extrapolado se aparta un 4,9 %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y un 5,2 %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6</m:t>
        </m:r>
      </m:oMath>
      <w:r>
        <w:t xml:space="preserve">. El acuerdo se degrada hacia los extremos del intervalo, con un 44 % de defecto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2</m:t>
        </m:r>
      </m:oMath>
      <w:r>
        <w:t xml:space="preserve"> y un 14 %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8</m:t>
        </m:r>
      </m:oMath>
      <w:r>
        <w:t xml:space="preserve">. Es el mismo intervalo de incidencias en el que el orden aparente resultaba fiable.</w:t>
      </w:r>
    </w:p>
    <w:p>
      <w:r>
        <w:t xml:space="preserve">La resistencia se sobrestima de forma sistemática y por un margen mucho mayor, entre el 54 % y el 146 % según el ángulo tras extrapolar, y el defecto crece con la incidencia. Como el cociente hereda el error de ambas magnitudes, la eficiencia aerodinámica calculada resulta aproximadamente la mitad de la que predice la referencia: 21,86 frente a 35,3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w:t>
      </w:r>
    </w:p>
    <w:p>
      <w:r>
        <w:t xml:space="preserve">Este resultado condiciona todo lo que sigue y conviene enunciarlo sin rodeos: </w:t>
      </w:r>
      <w:r>
        <w:rPr>
          <w:b/>
        </w:rPr>
        <w:t xml:space="preserve">los valores absolutos de eficiencia que produce este solver no están validados</w:t>
      </w:r>
      <w:r>
        <w:t xml:space="preserve">, y su uso como predicción cuantitativa de rendimiento no está justificado. Lo que sí queda validado es el comportamiento de la sustentación y la capacidad de discriminar entre geometrías, que es la función que el solver desempeña dentro del optimizador. El alcance exacto de esa afirmación se acota en el capítulo 5.</w:t>
      </w:r>
    </w:p>
    <w:p>
      <w:r>
        <w:t xml:space="preserve">El exceso de resistencia no responde a un sesgo aditivo constante, puesto que crece con el ángulo de ataque, desde un defecto del 15 %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0</m:t>
        </m:r>
      </m:oMath>
      <w:r>
        <w:t xml:space="preserve"> hasta un exceso del 146 % en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8</m:t>
        </m:r>
      </m:oMath>
      <w:r>
        <w:t xml:space="preserve"> tras extrapolar. La serie de mallas lo sitúa en buena parte del lado numérico: el </w:t>
      </w:r>
      <m:oMath>
        <m:sSub>
          <m:e>
            <m:r>
              <w:rPr>
                <w:rFonts w:ascii="Cambria Math" w:hAnsi="Cambria Math"/>
              </w:rPr>
              <m:t xml:space="preserve">C</m:t>
            </m:r>
          </m:e>
          <m:sub>
            <m:r>
              <w:rPr>
                <w:rFonts w:ascii="Cambria Math" w:hAnsi="Cambria Math"/>
              </w:rPr>
              <m:t xml:space="preserve">D</m:t>
            </m:r>
          </m:sub>
        </m:sSub>
      </m:oMath>
      <w:r>
        <w:t xml:space="preserve"> disminuye de forma monótona al refinar en siete de los nueve ángulos, y el orden observado con signo es negativo, lo que indica que la serie no ha entrado en rango asintótico y que el valor seguiría bajando con mallas más finas. Sobre esa componente actúan la difusión numérica residual del esquema de advección, que engrosa la capa límite, y la representación escalonada de la superficie por frontera inmersa, que añade resistencia de forma. Ambas actúan sobre la resistencia y apenas sobre la circulación, que es exactamente el reparto de error observado.</w:t>
      </w:r>
    </w:p>
    <w:p>
      <w:r>
        <w:t xml:space="preserve">El sesgo no desaparece al extrapolar, lo que descarta que sea únicamente discretización espacial. Cabe señalar que la referencia tampoco es exacta: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r>
        <w:t xml:space="preserve"> el flujo está dominado por la burbuja laminar de separación, y el modelo integral estacionario de XFOIL opera fuera de su rango de mayor fiabilidad. Determinar qué parte del exceso es numérica y cuál corresponde a fenómenos no estacionarios que el modelo de referencia no representa exige contraste con datos experimentales, que queda fuera del alcance de este trabajo.</w:t>
      </w:r>
    </w:p>
    <w:p>
      <w:pPr>
        <w:pStyle w:val="Ttulo2"/>
        <w:numPr>
          <w:ilvl w:val="0"/>
          <w:numId w:val="0"/>
        </w:numPr>
        <w:ind w:left="431" w:hanging="431"/>
      </w:pPr>
      <w:r>
        <w:t xml:space="preserve">4.2 Campaña de optimización</w:t>
      </w:r>
    </w:p>
    <w:p>
      <w:pPr>
        <w:pStyle w:val="Ttulo3"/>
        <w:numPr>
          <w:ilvl w:val="0"/>
          <w:numId w:val="0"/>
        </w:numPr>
        <w:ind w:left="431" w:hanging="431"/>
      </w:pPr>
      <w:r>
        <w:t xml:space="preserve">4.2.1 Configuración</w:t>
      </w:r>
    </w:p>
    <w:p>
      <w:r>
        <w:t xml:space="preserve">La campaña emplea una arquitectura de cuatro islas, poblaciones de dieciséis individuos que evolucionan en paralelo y migran entre sí cada dos épocas, con dos generaciones por época a lo largo de once épocas. Los cuatro perfiles semilla son perfiles de catálogo, escogidos para cubrir familias distintas: NACA 0012, AG24, GM15 y s1014.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Parámetro</w:t>
            </w:r>
          </w:p>
        </w:tc>
        <w:tc>
          <w:tcPr>
            <w:tcW w:w="4535" w:type="dxa"/>
            <w:shd w:val="clear" w:color="auto" w:fill="EDEDED"/>
            <w:vAlign w:val="center"/>
          </w:tcPr>
          <w:p>
            <w:pPr>
              <w:spacing w:before="40" w:after="40"/>
              <w:jc w:val="center"/>
            </w:pPr>
            <w:r>
              <w:rPr>
                <w:b/>
              </w:rPr>
              <w:t xml:space="preserve">Valor</w:t>
            </w:r>
          </w:p>
        </w:tc>
      </w:tr>
      <w:tr>
        <w:tc>
          <w:tcPr>
            <w:tcW w:w="4535" w:type="dxa"/>
            <w:vAlign w:val="center"/>
          </w:tcPr>
          <w:p>
            <w:pPr>
              <w:spacing w:before="40" w:after="40"/>
              <w:jc w:val="center"/>
            </w:pPr>
            <w:r>
              <w:t xml:space="preserve">Islas</w:t>
            </w:r>
          </w:p>
        </w:tc>
        <w:tc>
          <w:tcPr>
            <w:tcW w:w="4535" w:type="dxa"/>
            <w:vAlign w:val="center"/>
          </w:tcPr>
          <w:p>
            <w:pPr>
              <w:spacing w:before="40" w:after="40"/>
              <w:jc w:val="center"/>
            </w:pPr>
            <w:r>
              <w:t xml:space="preserve">4, con migración cada 2 épocas</w:t>
            </w:r>
          </w:p>
        </w:tc>
      </w:tr>
      <w:tr>
        <w:tc>
          <w:tcPr>
            <w:tcW w:w="4535" w:type="dxa"/>
            <w:vAlign w:val="center"/>
          </w:tcPr>
          <w:p>
            <w:pPr>
              <w:spacing w:before="40" w:after="40"/>
              <w:jc w:val="center"/>
            </w:pPr>
            <w:r>
              <w:t xml:space="preserve">Población por isla</w:t>
            </w:r>
          </w:p>
        </w:tc>
        <w:tc>
          <w:tcPr>
            <w:tcW w:w="4535" w:type="dxa"/>
            <w:vAlign w:val="center"/>
          </w:tcPr>
          <w:p>
            <w:pPr>
              <w:spacing w:before="40" w:after="40"/>
              <w:jc w:val="center"/>
            </w:pPr>
            <w:r>
              <w:t xml:space="preserve">16 individuos</w:t>
            </w:r>
          </w:p>
        </w:tc>
      </w:tr>
      <w:tr>
        <w:tc>
          <w:tcPr>
            <w:tcW w:w="4535" w:type="dxa"/>
            <w:vAlign w:val="center"/>
          </w:tcPr>
          <w:p>
            <w:pPr>
              <w:spacing w:before="40" w:after="40"/>
              <w:jc w:val="center"/>
            </w:pPr>
            <w:r>
              <w:t xml:space="preserve">Épocas x generaciones</w:t>
            </w:r>
          </w:p>
        </w:tc>
        <w:tc>
          <w:tcPr>
            <w:tcW w:w="4535" w:type="dxa"/>
            <w:vAlign w:val="center"/>
          </w:tcPr>
          <w:p>
            <w:pPr>
              <w:spacing w:before="40" w:after="40"/>
              <w:jc w:val="center"/>
            </w:pPr>
            <w:r>
              <w:t xml:space="preserve">11 x 2</w:t>
            </w:r>
          </w:p>
        </w:tc>
      </w:tr>
      <w:tr>
        <w:tc>
          <w:tcPr>
            <w:tcW w:w="4535" w:type="dxa"/>
            <w:vAlign w:val="center"/>
          </w:tcPr>
          <w:p>
            <w:pPr>
              <w:spacing w:before="40" w:after="40"/>
              <w:jc w:val="center"/>
            </w:pPr>
            <w:r>
              <w:t xml:space="preserve">Élites por generación</w:t>
            </w:r>
          </w:p>
        </w:tc>
        <w:tc>
          <w:tcPr>
            <w:tcW w:w="4535" w:type="dxa"/>
            <w:vAlign w:val="center"/>
          </w:tcPr>
          <w:p>
            <w:pPr>
              <w:spacing w:before="40" w:after="40"/>
              <w:jc w:val="center"/>
            </w:pPr>
            <w:r>
              <w:t xml:space="preserve">4</w:t>
            </w:r>
          </w:p>
        </w:tc>
      </w:tr>
      <w:tr>
        <w:tc>
          <w:tcPr>
            <w:tcW w:w="4535" w:type="dxa"/>
            <w:vAlign w:val="center"/>
          </w:tcPr>
          <w:p>
            <w:pPr>
              <w:spacing w:before="40" w:after="40"/>
              <w:jc w:val="center"/>
            </w:pPr>
            <w:r>
              <w:t xml:space="preserve">Selección</w:t>
            </w:r>
          </w:p>
        </w:tc>
        <w:tc>
          <w:tcPr>
            <w:tcW w:w="4535" w:type="dxa"/>
            <w:vAlign w:val="center"/>
          </w:tcPr>
          <w:p>
            <w:pPr>
              <w:spacing w:before="40" w:after="40"/>
              <w:jc w:val="center"/>
            </w:pPr>
            <w:r>
              <w:t xml:space="preserve">Torneo de tamaño 4</w:t>
            </w:r>
          </w:p>
        </w:tc>
      </w:tr>
      <w:tr>
        <w:tc>
          <w:tcPr>
            <w:tcW w:w="4535" w:type="dxa"/>
            <w:vAlign w:val="center"/>
          </w:tcPr>
          <w:p>
            <w:pPr>
              <w:spacing w:before="40" w:after="40"/>
              <w:jc w:val="center"/>
            </w:pPr>
            <w:r>
              <w:t xml:space="preserve">Probabilidad de mutación</w:t>
            </w:r>
          </w:p>
        </w:tc>
        <w:tc>
          <w:tcPr>
            <w:tcW w:w="4535" w:type="dxa"/>
            <w:vAlign w:val="center"/>
          </w:tcPr>
          <w:p>
            <w:pPr>
              <w:spacing w:before="40" w:after="40"/>
              <w:jc w:val="center"/>
            </w:pPr>
            <w:r>
              <w:t xml:space="preserve">0,85</w:t>
            </w:r>
          </w:p>
        </w:tc>
      </w:tr>
      <w:tr>
        <w:tc>
          <w:tcPr>
            <w:tcW w:w="4535" w:type="dxa"/>
            <w:vAlign w:val="center"/>
          </w:tcPr>
          <w:p>
            <w:pPr>
              <w:spacing w:before="40" w:after="40"/>
              <w:jc w:val="center"/>
            </w:pPr>
            <w:r>
              <w:t xml:space="preserve">Punto de diseño</w:t>
            </w:r>
          </w:p>
        </w:tc>
        <w:tc>
          <w:tcPr>
            <w:tcW w:w="4535" w:type="dxa"/>
            <w:vAlign w:val="center"/>
          </w:tcPr>
          <w:p>
            <w:pPr>
              <w:spacing w:before="40" w:after="40"/>
              <w:jc w:val="center"/>
            </w:pP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oMath>
          </w:p>
        </w:tc>
      </w:tr>
      <w:tr>
        <w:tc>
          <w:tcPr>
            <w:tcW w:w="4535" w:type="dxa"/>
            <w:vAlign w:val="center"/>
          </w:tcPr>
          <w:p>
            <w:pPr>
              <w:spacing w:before="40" w:after="40"/>
              <w:jc w:val="center"/>
            </w:pPr>
            <w:r>
              <w:t xml:space="preserve">Malla de exploración</w:t>
            </w:r>
          </w:p>
        </w:tc>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p>
        </w:tc>
      </w:tr>
      <w:tr>
        <w:tc>
          <w:tcPr>
            <w:tcW w:w="4535" w:type="dxa"/>
            <w:vAlign w:val="center"/>
          </w:tcPr>
          <w:p>
            <w:pPr>
              <w:spacing w:before="40" w:after="40"/>
              <w:jc w:val="center"/>
            </w:pPr>
            <w:r>
              <w:t xml:space="preserve">Evaluaciones CFD</w:t>
            </w:r>
          </w:p>
        </w:tc>
        <w:tc>
          <w:tcPr>
            <w:tcW w:w="4535" w:type="dxa"/>
            <w:vAlign w:val="center"/>
          </w:tcPr>
          <w:p>
            <w:pPr>
              <w:spacing w:before="40" w:after="40"/>
              <w:jc w:val="center"/>
            </w:pPr>
            <w:r>
              <w:t xml:space="preserve">1 332</w:t>
            </w:r>
          </w:p>
        </w:tc>
      </w:tr>
      <w:tr>
        <w:tc>
          <w:tcPr>
            <w:tcW w:w="4535" w:type="dxa"/>
            <w:vAlign w:val="center"/>
          </w:tcPr>
          <w:p>
            <w:pPr>
              <w:spacing w:before="40" w:after="40"/>
              <w:jc w:val="center"/>
            </w:pPr>
            <w:r>
              <w:t xml:space="preserve">Función objetivo</w:t>
            </w:r>
          </w:p>
        </w:tc>
        <w:tc>
          <w:tcPr>
            <w:tcW w:w="4535" w:type="dxa"/>
            <w:vAlign w:val="center"/>
          </w:tcPr>
          <w:p>
            <w:pPr>
              <w:spacing w:before="40" w:after="40"/>
              <w:jc w:val="center"/>
            </w:pPr>
            <w:r>
              <w:t xml:space="preserve">Eficiencia aerodinámica </w:t>
            </w:r>
            <m:oMath>
              <m:r>
                <w:rPr>
                  <w:rFonts w:ascii="Cambria Math" w:hAnsi="Cambria Math"/>
                </w:rPr>
                <m:t xml:space="preserve">L</m:t>
              </m:r>
              <m:r>
                <w:rPr>
                  <w:rFonts w:ascii="Cambria Math" w:hAnsi="Cambria Math"/>
                </w:rPr>
                <m:t xml:space="preserve">/</m:t>
              </m:r>
              <m:r>
                <w:rPr>
                  <w:rFonts w:ascii="Cambria Math" w:hAnsi="Cambria Math"/>
                </w:rPr>
                <m:t xml:space="preserve">D</m:t>
              </m:r>
            </m:oMath>
          </w:p>
        </w:tc>
      </w:tr>
    </w:tbl>
    <w:p>
      <w:pPr>
        <w:pStyle w:val="Taula"/>
      </w:pPr>
      <w:r>
        <w:t xml:space="preserve">Tabla 4.8</w:t>
      </w:r>
      <w:r>
        <w:t xml:space="preserve">: Configuración de la campaña de optimización.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Parámetro</w:t>
            </w:r>
          </w:p>
        </w:tc>
        <w:tc>
          <w:tcPr>
            <w:tcW w:w="4535" w:type="dxa"/>
            <w:shd w:val="clear" w:color="auto" w:fill="EDEDED"/>
            <w:vAlign w:val="center"/>
          </w:tcPr>
          <w:p>
            <w:pPr>
              <w:spacing w:before="40" w:after="40"/>
              <w:jc w:val="center"/>
            </w:pPr>
            <w:r>
              <w:rPr>
                <w:b/>
              </w:rPr>
              <w:t xml:space="preserve">Valor</w:t>
            </w:r>
          </w:p>
        </w:tc>
      </w:tr>
      <w:tr>
        <w:tc>
          <w:tcPr>
            <w:tcW w:w="4535" w:type="dxa"/>
            <w:vAlign w:val="center"/>
          </w:tcPr>
          <w:p>
            <w:pPr>
              <w:spacing w:before="40" w:after="40"/>
              <w:jc w:val="center"/>
            </w:pPr>
            <w:r>
              <w:t xml:space="preserve">Espacio de diseño</w:t>
            </w:r>
          </w:p>
        </w:tc>
        <w:tc>
          <w:tcPr>
            <w:tcW w:w="4535" w:type="dxa"/>
            <w:vAlign w:val="center"/>
          </w:tcPr>
          <w:p>
            <w:pPr>
              <w:spacing w:before="40" w:after="40"/>
              <w:jc w:val="center"/>
            </w:pPr>
            <w:r>
              <w:t xml:space="preserve">Curvatura media, espesor</w:t>
            </w:r>
          </w:p>
        </w:tc>
      </w:tr>
      <w:tr>
        <w:tc>
          <w:tcPr>
            <w:tcW w:w="4535" w:type="dxa"/>
            <w:vAlign w:val="center"/>
          </w:tcPr>
          <w:p>
            <w:pPr>
              <w:spacing w:before="40" w:after="40"/>
              <w:jc w:val="center"/>
            </w:pPr>
            <w:r>
              <w:t xml:space="preserve">Nodos de control por perturbación</w:t>
            </w:r>
          </w:p>
        </w:tc>
        <w:tc>
          <w:tcPr>
            <w:tcW w:w="4535" w:type="dxa"/>
            <w:vAlign w:val="center"/>
          </w:tcPr>
          <w:p>
            <w:pPr>
              <w:spacing w:before="40" w:after="40"/>
              <w:jc w:val="center"/>
            </w:pPr>
            <w:r>
              <w:t xml:space="preserve">7, equiespaciados, ruido gaussiano interpolado linealmente</w:t>
            </w:r>
          </w:p>
        </w:tc>
      </w:tr>
      <w:tr>
        <w:tc>
          <w:tcPr>
            <w:tcW w:w="4535" w:type="dxa"/>
            <w:vAlign w:val="center"/>
          </w:tcPr>
          <w:p>
            <w:pPr>
              <w:spacing w:before="40" w:after="40"/>
              <w:jc w:val="center"/>
            </w:pPr>
            <w:r>
              <w:t xml:space="preserve">Desviación típica de mutación de la curvatura</w:t>
            </w:r>
          </w:p>
        </w:tc>
        <w:tc>
          <w:tcPr>
            <w:tcW w:w="4535" w:type="dxa"/>
            <w:vAlign w:val="center"/>
          </w:tcPr>
          <w:p>
            <w:pPr>
              <w:spacing w:before="40" w:after="40"/>
              <w:jc w:val="center"/>
            </w:pPr>
            <w:r>
              <w:t xml:space="preserve">0,0035 c</w:t>
            </w:r>
          </w:p>
        </w:tc>
      </w:tr>
      <w:tr>
        <w:tc>
          <w:tcPr>
            <w:tcW w:w="4535" w:type="dxa"/>
            <w:vAlign w:val="center"/>
          </w:tcPr>
          <w:p>
            <w:pPr>
              <w:spacing w:before="40" w:after="40"/>
              <w:jc w:val="center"/>
            </w:pPr>
            <w:r>
              <w:t xml:space="preserve">Desviación típica de mutación del espesor</w:t>
            </w:r>
          </w:p>
        </w:tc>
        <w:tc>
          <w:tcPr>
            <w:tcW w:w="4535" w:type="dxa"/>
            <w:vAlign w:val="center"/>
          </w:tcPr>
          <w:p>
            <w:pPr>
              <w:spacing w:before="40" w:after="40"/>
              <w:jc w:val="center"/>
            </w:pPr>
            <w:r>
              <w:t xml:space="preserve">0,0045 c</w:t>
            </w:r>
          </w:p>
        </w:tc>
      </w:tr>
      <w:tr>
        <w:tc>
          <w:tcPr>
            <w:tcW w:w="4535" w:type="dxa"/>
            <w:vAlign w:val="center"/>
          </w:tcPr>
          <w:p>
            <w:pPr>
              <w:spacing w:before="40" w:after="40"/>
              <w:jc w:val="center"/>
            </w:pPr>
            <w:r>
              <w:t xml:space="preserve">Desplazamiento de curvatura en el TE</w:t>
            </w:r>
          </w:p>
        </w:tc>
        <w:tc>
          <w:tcPr>
            <w:tcW w:w="4535" w:type="dxa"/>
            <w:vAlign w:val="center"/>
          </w:tcPr>
          <w:p>
            <w:pPr>
              <w:spacing w:before="40" w:after="40"/>
              <w:jc w:val="center"/>
            </w:pPr>
            <w:r>
              <w:t xml:space="preserve">0,0015 c, con ley cuadrática en </w:t>
            </w:r>
            <m:oMath>
              <m:r>
                <w:rPr>
                  <w:rFonts w:ascii="Cambria Math" w:hAnsi="Cambria Math"/>
                </w:rPr>
                <m:t xml:space="preserve">x</m:t>
              </m:r>
              <m:r>
                <w:rPr>
                  <w:rFonts w:ascii="Cambria Math" w:hAnsi="Cambria Math"/>
                </w:rPr>
                <m:t xml:space="preserve">/</m:t>
              </m:r>
              <m:r>
                <w:rPr>
                  <w:rFonts w:ascii="Cambria Math" w:hAnsi="Cambria Math"/>
                </w:rPr>
                <m:t xml:space="preserve">c</m:t>
              </m:r>
            </m:oMath>
          </w:p>
        </w:tc>
      </w:tr>
      <w:tr>
        <w:tc>
          <w:tcPr>
            <w:tcW w:w="4535" w:type="dxa"/>
            <w:vAlign w:val="center"/>
          </w:tcPr>
          <w:p>
            <w:pPr>
              <w:spacing w:before="40" w:after="40"/>
              <w:jc w:val="center"/>
            </w:pPr>
            <w:r>
              <w:t xml:space="preserve">Ajuste de espesor en el borde de salida</w:t>
            </w:r>
          </w:p>
        </w:tc>
        <w:tc>
          <w:tcPr>
            <w:tcW w:w="4535" w:type="dxa"/>
            <w:vAlign w:val="center"/>
          </w:tcPr>
          <w:p>
            <w:pPr>
              <w:spacing w:before="40" w:after="40"/>
              <w:jc w:val="center"/>
            </w:pPr>
            <w:r>
              <w:t xml:space="preserve">0,0012 c</w:t>
            </w:r>
          </w:p>
        </w:tc>
      </w:tr>
      <w:tr>
        <w:tc>
          <w:tcPr>
            <w:tcW w:w="4535" w:type="dxa"/>
            <w:vAlign w:val="center"/>
          </w:tcPr>
          <w:p>
            <w:pPr>
              <w:spacing w:before="40" w:after="40"/>
              <w:jc w:val="center"/>
            </w:pPr>
            <w:r>
              <w:t xml:space="preserve">Suavizado posterior a la mutación</w:t>
            </w:r>
          </w:p>
        </w:tc>
        <w:tc>
          <w:tcPr>
            <w:tcW w:w="4535" w:type="dxa"/>
            <w:vAlign w:val="center"/>
          </w:tcPr>
          <w:p>
            <w:pPr>
              <w:spacing w:before="40" w:after="40"/>
              <w:jc w:val="center"/>
            </w:pPr>
            <w:r>
              <w:t xml:space="preserve">2 pasadas de suavizado laplaciano</w:t>
            </w:r>
          </w:p>
        </w:tc>
      </w:tr>
      <w:tr>
        <w:tc>
          <w:tcPr>
            <w:tcW w:w="4535" w:type="dxa"/>
            <w:vAlign w:val="center"/>
          </w:tcPr>
          <w:p>
            <w:pPr>
              <w:spacing w:before="40" w:after="40"/>
              <w:jc w:val="center"/>
            </w:pPr>
            <w:r>
              <w:t xml:space="preserve">Protección del borde de ataque</w:t>
            </w:r>
          </w:p>
        </w:tc>
        <w:tc>
          <w:tcPr>
            <w:tcW w:w="4535" w:type="dxa"/>
            <w:vAlign w:val="center"/>
          </w:tcPr>
          <w:p>
            <w:pPr>
              <w:spacing w:before="40" w:after="40"/>
              <w:jc w:val="center"/>
            </w:pPr>
            <w:r>
              <w:t xml:space="preserve">Zona </w:t>
            </w:r>
            <m:oMath>
              <m:r>
                <w:rPr>
                  <w:rFonts w:ascii="Cambria Math" w:hAnsi="Cambria Math"/>
                </w:rPr>
                <m:t xml:space="preserve">x</m:t>
              </m:r>
              <m: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06</m:t>
              </m:r>
            </m:oMath>
            <w:r>
              <w:t xml:space="preserve"> con perturbación atenuada y nariz anclada al perfil de referencia</w:t>
            </w:r>
          </w:p>
        </w:tc>
      </w:tr>
      <w:tr>
        <w:tc>
          <w:tcPr>
            <w:tcW w:w="4535" w:type="dxa"/>
            <w:vAlign w:val="center"/>
          </w:tcPr>
          <w:p>
            <w:pPr>
              <w:spacing w:before="40" w:after="40"/>
              <w:jc w:val="center"/>
            </w:pPr>
            <w:r>
              <w:t xml:space="preserve">Espesor mínimo global</w:t>
            </w:r>
          </w:p>
        </w:tc>
        <w:tc>
          <w:tcPr>
            <w:tcW w:w="4535" w:type="dxa"/>
            <w:vAlign w:val="center"/>
          </w:tcPr>
          <w:p>
            <w:pPr>
              <w:spacing w:before="40" w:after="40"/>
              <w:jc w:val="center"/>
            </w:pPr>
            <w:r>
              <w:t xml:space="preserve">2·10⁻⁴ c, para impedir el cruce entre extradós e intradós</w:t>
            </w:r>
          </w:p>
        </w:tc>
      </w:tr>
      <w:tr>
        <w:tc>
          <w:tcPr>
            <w:tcW w:w="4535" w:type="dxa"/>
            <w:vAlign w:val="center"/>
          </w:tcPr>
          <w:p>
            <w:pPr>
              <w:spacing w:before="40" w:after="40"/>
              <w:jc w:val="center"/>
            </w:pPr>
            <w:r>
              <w:t xml:space="preserve">Espesor del borde de salida</w:t>
            </w:r>
          </w:p>
        </w:tc>
        <w:tc>
          <w:tcPr>
            <w:tcW w:w="4535" w:type="dxa"/>
            <w:vAlign w:val="center"/>
          </w:tcPr>
          <w:p>
            <w:pPr>
              <w:spacing w:before="40" w:after="40"/>
              <w:jc w:val="center"/>
            </w:pPr>
            <w:r>
              <w:t xml:space="preserve">Entre 0,65 y 3,50 veces el del perfil base, con cota absoluta de 3·10⁻⁴ c</w:t>
            </w:r>
          </w:p>
        </w:tc>
      </w:tr>
      <w:tr>
        <w:tc>
          <w:tcPr>
            <w:tcW w:w="4535" w:type="dxa"/>
            <w:vAlign w:val="center"/>
          </w:tcPr>
          <w:p>
            <w:pPr>
              <w:spacing w:before="40" w:after="40"/>
              <w:jc w:val="center"/>
            </w:pPr>
            <w:r>
              <w:t xml:space="preserve">Radio del borde de ataque</w:t>
            </w:r>
          </w:p>
        </w:tc>
        <w:tc>
          <w:tcPr>
            <w:tcW w:w="4535" w:type="dxa"/>
            <w:vAlign w:val="center"/>
          </w:tcPr>
          <w:p>
            <w:pPr>
              <w:spacing w:before="40" w:after="40"/>
              <w:jc w:val="center"/>
            </w:pPr>
            <w:r>
              <w:t xml:space="preserve">No inferior a 0,40 veces el del perfil base</w:t>
            </w:r>
          </w:p>
        </w:tc>
      </w:tr>
    </w:tbl>
    <w:p>
      <w:pPr>
        <w:pStyle w:val="Taula"/>
      </w:pPr>
      <w:r>
        <w:t xml:space="preserve">Tabla 4.9</w:t>
      </w:r>
      <w:r>
        <w:t xml:space="preserve">: Parámetros de mutación del perfil y restricciones geométricas.</w:t>
      </w:r>
    </w:p>
    <w:p>
      <w:r>
        <w:t xml:space="preserve">La evaluación de cada individuo se realiza sobre la malla de exploración con el criterio de terminación descrito en la sección 3.10.3. El filtro predictivo por modelo sustituto permaneció desactivado durante toda la campaña, de modo que las 1 332 evaluaciones corresponden a simulaciones CFD completas y ningún individuo fue descartado por predicción. La campaña refleja por tanto el comportamiento puro del sistema de optimización, sin la interferencia de un modelo aproximado.</w:t>
      </w:r>
    </w:p>
    <w:p>
      <w:pPr>
        <w:pStyle w:val="Ttulo3"/>
        <w:numPr>
          <w:ilvl w:val="0"/>
          <w:numId w:val="0"/>
        </w:numPr>
        <w:ind w:left="431" w:hanging="431"/>
      </w:pPr>
      <w:r>
        <w:t xml:space="preserve">4.2.2 Convergencia de las islas</w:t>
      </w:r>
    </w:p>
    <w:p>
      <w:r>
        <w:t xml:space="preserve">El modelo de islas se aplica no solo para encontrar al mejor individuo, sino para estudiar si las poblaciones convergen hacia la misma región del espacio de diseño o se dispersan en óptimos locales distintos. Se emplean dos indicadores: la distancia de forma media entre los mejores individuos de cada isla y la dispersión de sus eficiencias.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Época</w:t>
            </w:r>
          </w:p>
        </w:tc>
        <w:tc>
          <w:tcPr>
            <w:tcW w:w="3023" w:type="dxa"/>
            <w:shd w:val="clear" w:color="auto" w:fill="EDEDED"/>
            <w:vAlign w:val="center"/>
          </w:tcPr>
          <w:p>
            <w:pPr>
              <w:spacing w:before="40" w:after="40"/>
              <w:jc w:val="center"/>
            </w:pPr>
            <w:r>
              <w:rPr>
                <w:b/>
              </w:rPr>
              <w:t xml:space="preserve">Distancia de forma media</w:t>
            </w:r>
          </w:p>
        </w:tc>
        <w:tc>
          <w:tcPr>
            <w:tcW w:w="3023" w:type="dxa"/>
            <w:shd w:val="clear" w:color="auto" w:fill="EDEDED"/>
            <w:vAlign w:val="center"/>
          </w:tcPr>
          <w:p>
            <w:pPr>
              <w:spacing w:before="40" w:after="40"/>
              <w:jc w:val="center"/>
            </w:pPr>
            <w:r>
              <w:rPr>
                <w:b/>
              </w:rPr>
              <w:t xml:space="preserve">Dispersión de eficiencia</w:t>
            </w:r>
          </w:p>
        </w:tc>
      </w:tr>
      <w:tr>
        <w:tc>
          <w:tcPr>
            <w:tcW w:w="3023" w:type="dxa"/>
            <w:vAlign w:val="center"/>
          </w:tcPr>
          <w:p>
            <w:pPr>
              <w:spacing w:before="40" w:after="40"/>
              <w:jc w:val="center"/>
            </w:pPr>
            <w:r>
              <w:t xml:space="preserve">0</w:t>
            </w:r>
          </w:p>
        </w:tc>
        <w:tc>
          <w:tcPr>
            <w:tcW w:w="3023" w:type="dxa"/>
            <w:vAlign w:val="center"/>
          </w:tcPr>
          <w:p>
            <w:pPr>
              <w:spacing w:before="40" w:after="40"/>
              <w:jc w:val="center"/>
            </w:pPr>
            <w:r>
              <w:t xml:space="preserve">0,0475</w:t>
            </w:r>
          </w:p>
        </w:tc>
        <w:tc>
          <w:tcPr>
            <w:tcW w:w="3023" w:type="dxa"/>
            <w:vAlign w:val="center"/>
          </w:tcPr>
          <w:p>
            <w:pPr>
              <w:spacing w:before="40" w:after="40"/>
              <w:jc w:val="center"/>
            </w:pPr>
            <w:r>
              <w:t xml:space="preserve">9,82</w:t>
            </w:r>
          </w:p>
        </w:tc>
      </w:tr>
      <w:tr>
        <w:tc>
          <w:tcPr>
            <w:tcW w:w="3023" w:type="dxa"/>
            <w:vAlign w:val="center"/>
          </w:tcPr>
          <w:p>
            <w:pPr>
              <w:spacing w:before="40" w:after="40"/>
              <w:jc w:val="center"/>
            </w:pPr>
            <w:r>
              <w:t xml:space="preserve">2</w:t>
            </w:r>
          </w:p>
        </w:tc>
        <w:tc>
          <w:tcPr>
            <w:tcW w:w="3023" w:type="dxa"/>
            <w:vAlign w:val="center"/>
          </w:tcPr>
          <w:p>
            <w:pPr>
              <w:spacing w:before="40" w:after="40"/>
              <w:jc w:val="center"/>
            </w:pPr>
            <w:r>
              <w:t xml:space="preserve">0,0057</w:t>
            </w:r>
          </w:p>
        </w:tc>
        <w:tc>
          <w:tcPr>
            <w:tcW w:w="3023" w:type="dxa"/>
            <w:vAlign w:val="center"/>
          </w:tcPr>
          <w:p>
            <w:pPr>
              <w:spacing w:before="40" w:after="40"/>
              <w:jc w:val="center"/>
            </w:pPr>
            <w:r>
              <w:t xml:space="preserve">2,00</w:t>
            </w:r>
          </w:p>
        </w:tc>
      </w:tr>
      <w:tr>
        <w:tc>
          <w:tcPr>
            <w:tcW w:w="3023" w:type="dxa"/>
            <w:vAlign w:val="center"/>
          </w:tcPr>
          <w:p>
            <w:pPr>
              <w:spacing w:before="40" w:after="40"/>
              <w:jc w:val="center"/>
            </w:pPr>
            <w:r>
              <w:t xml:space="preserve">4</w:t>
            </w:r>
          </w:p>
        </w:tc>
        <w:tc>
          <w:tcPr>
            <w:tcW w:w="3023" w:type="dxa"/>
            <w:vAlign w:val="center"/>
          </w:tcPr>
          <w:p>
            <w:pPr>
              <w:spacing w:before="40" w:after="40"/>
              <w:jc w:val="center"/>
            </w:pPr>
            <w:r>
              <w:t xml:space="preserve">0,0058</w:t>
            </w:r>
          </w:p>
        </w:tc>
        <w:tc>
          <w:tcPr>
            <w:tcW w:w="3023" w:type="dxa"/>
            <w:vAlign w:val="center"/>
          </w:tcPr>
          <w:p>
            <w:pPr>
              <w:spacing w:before="40" w:after="40"/>
              <w:jc w:val="center"/>
            </w:pPr>
            <w:r>
              <w:t xml:space="preserve">0,63</w:t>
            </w:r>
          </w:p>
        </w:tc>
      </w:tr>
      <w:tr>
        <w:tc>
          <w:tcPr>
            <w:tcW w:w="3023" w:type="dxa"/>
            <w:vAlign w:val="center"/>
          </w:tcPr>
          <w:p>
            <w:pPr>
              <w:spacing w:before="40" w:after="40"/>
              <w:jc w:val="center"/>
            </w:pPr>
            <w:r>
              <w:t xml:space="preserve">6</w:t>
            </w:r>
          </w:p>
        </w:tc>
        <w:tc>
          <w:tcPr>
            <w:tcW w:w="3023" w:type="dxa"/>
            <w:vAlign w:val="center"/>
          </w:tcPr>
          <w:p>
            <w:pPr>
              <w:spacing w:before="40" w:after="40"/>
              <w:jc w:val="center"/>
            </w:pPr>
            <w:r>
              <w:t xml:space="preserve">0,0030</w:t>
            </w:r>
          </w:p>
        </w:tc>
        <w:tc>
          <w:tcPr>
            <w:tcW w:w="3023" w:type="dxa"/>
            <w:vAlign w:val="center"/>
          </w:tcPr>
          <w:p>
            <w:pPr>
              <w:spacing w:before="40" w:after="40"/>
              <w:jc w:val="center"/>
            </w:pPr>
            <w:r>
              <w:t xml:space="preserve">0,93</w:t>
            </w:r>
          </w:p>
        </w:tc>
      </w:tr>
      <w:tr>
        <w:tc>
          <w:tcPr>
            <w:tcW w:w="3023" w:type="dxa"/>
            <w:vAlign w:val="center"/>
          </w:tcPr>
          <w:p>
            <w:pPr>
              <w:spacing w:before="40" w:after="40"/>
              <w:jc w:val="center"/>
            </w:pPr>
            <w:r>
              <w:t xml:space="preserve">8</w:t>
            </w:r>
          </w:p>
        </w:tc>
        <w:tc>
          <w:tcPr>
            <w:tcW w:w="3023" w:type="dxa"/>
            <w:vAlign w:val="center"/>
          </w:tcPr>
          <w:p>
            <w:pPr>
              <w:spacing w:before="40" w:after="40"/>
              <w:jc w:val="center"/>
            </w:pPr>
            <w:r>
              <w:t xml:space="preserve">0,0029</w:t>
            </w:r>
          </w:p>
        </w:tc>
        <w:tc>
          <w:tcPr>
            <w:tcW w:w="3023" w:type="dxa"/>
            <w:vAlign w:val="center"/>
          </w:tcPr>
          <w:p>
            <w:pPr>
              <w:spacing w:before="40" w:after="40"/>
              <w:jc w:val="center"/>
            </w:pPr>
            <w:r>
              <w:t xml:space="preserve">0,92</w:t>
            </w:r>
          </w:p>
        </w:tc>
      </w:tr>
      <w:tr>
        <w:tc>
          <w:tcPr>
            <w:tcW w:w="3023" w:type="dxa"/>
            <w:vAlign w:val="center"/>
          </w:tcPr>
          <w:p>
            <w:pPr>
              <w:spacing w:before="40" w:after="40"/>
              <w:jc w:val="center"/>
            </w:pPr>
            <w:r>
              <w:t xml:space="preserve">10</w:t>
            </w:r>
          </w:p>
        </w:tc>
        <w:tc>
          <w:tcPr>
            <w:tcW w:w="3023" w:type="dxa"/>
            <w:vAlign w:val="center"/>
          </w:tcPr>
          <w:p>
            <w:pPr>
              <w:spacing w:before="40" w:after="40"/>
              <w:jc w:val="center"/>
            </w:pPr>
            <w:r>
              <w:t xml:space="preserve">0,0033</w:t>
            </w:r>
          </w:p>
        </w:tc>
        <w:tc>
          <w:tcPr>
            <w:tcW w:w="3023" w:type="dxa"/>
            <w:vAlign w:val="center"/>
          </w:tcPr>
          <w:p>
            <w:pPr>
              <w:spacing w:before="40" w:after="40"/>
              <w:jc w:val="center"/>
            </w:pPr>
            <w:r>
              <w:t xml:space="preserve">2,75</w:t>
            </w:r>
          </w:p>
        </w:tc>
      </w:tr>
    </w:tbl>
    <w:p>
      <w:pPr>
        <w:pStyle w:val="Taula"/>
      </w:pPr>
      <w:r>
        <w:t xml:space="preserve">Tabla 4.10</w:t>
      </w:r>
      <w:r>
        <w:t xml:space="preserve">: Convergencia del modelo de islas a lo largo de la campaña.</w:t>
      </w:r>
    </w:p>
    <w:p>
      <w:r>
        <w:t xml:space="preserve">La distancia de forma cae un factor catorce entre la primera y la última época, de 0,0475 a 0,0033, con el mayor avance entre las dos primeras, que es cuando ocurre la primera migración. Las cuatro islas, partiendo de familias de perfiles distintas, terminan explorando geometrías muy próximas entre sí. La dispersión de eficiencias sigue el mismo patrón, de 9,82 a 2,75.</w:t>
      </w:r>
    </w:p>
    <w:p>
      <w:r>
        <w:t xml:space="preserve">Pese a que esta convergencia pueda parecer alentadora, cabe recalcar que ocurre justo después de la primera migración, en la que el ganador de una isla se envía a las otras tres. Si una semilla tiene una eficiencia mucho más alta que las demás, estas adoptan gran parte de su forma, con lo que la búsqueda queda sesgada hacia esa región desde muy pronto y se reduce la diversidad que justifica el modelo de islas.</w:t>
      </w:r>
    </w:p>
    <w:p>
      <w:r>
        <w:t xml:space="preserve">Por otra parte tiene un lado positivo, ya que permite acercar hacia el óptimo global a semillas muy lejanas manteniendo parte de su genética inicial, como se aprecia en que la distancia de forma no llega a anularse. La migración no actúa por tanto como una sustitución al uso, sino que aporta una diversidad genética notable a la vez que acelera la convergencia.</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4.4: pendiente de generar]</w:t>
      </w:r>
    </w:p>
    <w:p>
      <w:pPr>
        <w:pStyle w:val="Figura"/>
      </w:pPr>
      <w:r>
        <w:t xml:space="preserve">Figura 4.4</w:t>
      </w:r>
      <w:r>
        <w:t xml:space="preserve">: Evolución de la eficiencia del mejor individuo de cada isla y de la distancia de forma media entre ellas a lo largo de las once épocas.</w:t>
      </w:r>
    </w:p>
    <w:p>
      <w:pPr>
        <w:pStyle w:val="Ttulo3"/>
        <w:numPr>
          <w:ilvl w:val="0"/>
          <w:numId w:val="0"/>
        </w:numPr>
        <w:ind w:left="431" w:hanging="431"/>
      </w:pPr>
      <w:r>
        <w:t xml:space="preserve">4.2.3 Selección del ganador por refinado de malla</w:t>
      </w:r>
    </w:p>
    <w:p>
      <w:r>
        <w:t xml:space="preserve">Por cuestiones de coste computacional, las evaluaciones de individuos se realizaron sobre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Una vez finalizada la campaña, los tres mejores individuos se reevaluaron sobre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el doble de fina, para comprobar si el orden establecido en exploración se mantiene.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Individuo</w:t>
            </w:r>
          </w:p>
        </w:tc>
        <w:tc>
          <w:tcPr>
            <w:tcW w:w="3023" w:type="dxa"/>
            <w:shd w:val="clear" w:color="auto" w:fill="EDEDED"/>
            <w:vAlign w:val="center"/>
          </w:tcPr>
          <w:p>
            <w:pPr>
              <w:spacing w:before="40" w:after="40"/>
              <w:jc w:val="center"/>
            </w:pPr>
            <w:r>
              <w:rPr>
                <w:b/>
              </w:rPr>
              <w:t xml:space="preserve">Eficiencia en exploración</w:t>
            </w:r>
          </w:p>
        </w:tc>
        <w:tc>
          <w:tcPr>
            <w:tcW w:w="3023" w:type="dxa"/>
            <w:shd w:val="clear" w:color="auto" w:fill="EDEDED"/>
            <w:vAlign w:val="center"/>
          </w:tcPr>
          <w:p>
            <w:pPr>
              <w:spacing w:before="40" w:after="40"/>
              <w:jc w:val="center"/>
            </w:pPr>
            <w:r>
              <w:rPr>
                <w:b/>
              </w:rPr>
              <w:t xml:space="preserve">Eficiencia refinada</w:t>
            </w:r>
          </w:p>
        </w:tc>
      </w:tr>
      <w:tr>
        <w:tc>
          <w:tcPr>
            <w:tcW w:w="3023" w:type="dxa"/>
            <w:vAlign w:val="center"/>
          </w:tcPr>
          <w:p>
            <w:pPr>
              <w:spacing w:before="40" w:after="40"/>
              <w:jc w:val="center"/>
            </w:pPr>
            <w:r>
              <w:t xml:space="preserve">Isla s1014, época 9</w:t>
            </w:r>
          </w:p>
        </w:tc>
        <w:tc>
          <w:tcPr>
            <w:tcW w:w="3023" w:type="dxa"/>
            <w:vAlign w:val="center"/>
          </w:tcPr>
          <w:p>
            <w:pPr>
              <w:spacing w:before="40" w:after="40"/>
              <w:jc w:val="center"/>
            </w:pPr>
            <w:r>
              <w:t xml:space="preserve">28,66</w:t>
            </w:r>
          </w:p>
        </w:tc>
        <w:tc>
          <w:tcPr>
            <w:tcW w:w="3023" w:type="dxa"/>
            <w:vAlign w:val="center"/>
          </w:tcPr>
          <w:p>
            <w:pPr>
              <w:spacing w:before="40" w:after="40"/>
              <w:jc w:val="center"/>
            </w:pPr>
            <w:r>
              <w:t xml:space="preserve">24,81</w:t>
            </w:r>
          </w:p>
        </w:tc>
      </w:tr>
      <w:tr>
        <w:tc>
          <w:tcPr>
            <w:tcW w:w="3023" w:type="dxa"/>
            <w:vAlign w:val="center"/>
          </w:tcPr>
          <w:p>
            <w:pPr>
              <w:spacing w:before="40" w:after="40"/>
              <w:jc w:val="center"/>
            </w:pPr>
            <w:r>
              <w:t xml:space="preserve">Isla NACA 0012, época 10</w:t>
            </w:r>
          </w:p>
        </w:tc>
        <w:tc>
          <w:tcPr>
            <w:tcW w:w="3023" w:type="dxa"/>
            <w:vAlign w:val="center"/>
          </w:tcPr>
          <w:p>
            <w:pPr>
              <w:spacing w:before="40" w:after="40"/>
              <w:jc w:val="center"/>
            </w:pPr>
            <w:r>
              <w:t xml:space="preserve">27,75</w:t>
            </w:r>
          </w:p>
        </w:tc>
        <w:tc>
          <w:tcPr>
            <w:tcW w:w="3023" w:type="dxa"/>
            <w:vAlign w:val="center"/>
          </w:tcPr>
          <w:p>
            <w:pPr>
              <w:spacing w:before="40" w:after="40"/>
              <w:jc w:val="center"/>
            </w:pPr>
            <w:r>
              <w:t xml:space="preserve">28,88</w:t>
            </w:r>
          </w:p>
        </w:tc>
      </w:tr>
      <w:tr>
        <w:tc>
          <w:tcPr>
            <w:tcW w:w="3023" w:type="dxa"/>
            <w:vAlign w:val="center"/>
          </w:tcPr>
          <w:p>
            <w:pPr>
              <w:spacing w:before="40" w:after="40"/>
              <w:jc w:val="center"/>
            </w:pPr>
            <w:r>
              <w:t xml:space="preserve">Isla GM15, época 10</w:t>
            </w:r>
          </w:p>
        </w:tc>
        <w:tc>
          <w:tcPr>
            <w:tcW w:w="3023" w:type="dxa"/>
            <w:vAlign w:val="center"/>
          </w:tcPr>
          <w:p>
            <w:pPr>
              <w:spacing w:before="40" w:after="40"/>
              <w:jc w:val="center"/>
            </w:pPr>
            <w:r>
              <w:t xml:space="preserve">26,84</w:t>
            </w:r>
          </w:p>
        </w:tc>
        <w:tc>
          <w:tcPr>
            <w:tcW w:w="3023" w:type="dxa"/>
            <w:vAlign w:val="center"/>
          </w:tcPr>
          <w:p>
            <w:pPr>
              <w:spacing w:before="40" w:after="40"/>
              <w:jc w:val="center"/>
            </w:pPr>
            <w:r>
              <w:t xml:space="preserve">27,62</w:t>
            </w:r>
          </w:p>
        </w:tc>
      </w:tr>
    </w:tbl>
    <w:p>
      <w:pPr>
        <w:pStyle w:val="Taula"/>
      </w:pPr>
      <w:r>
        <w:t xml:space="preserve">Tabla 4.11</w:t>
      </w:r>
      <w:r>
        <w:t xml:space="preserve">: Reevaluación de los tres mejores individuos sobre malla refinada.</w:t>
      </w:r>
    </w:p>
    <w:p>
      <w:r>
        <w:rPr>
          <w:b/>
        </w:rPr>
        <w:t xml:space="preserve">El refinado cambia al ganador.</w:t>
      </w:r>
      <w:r>
        <w:t xml:space="preserve"> El individuo que lideraba en exploración pierde tres puntos y medio de eficiencia al refinar, mientras que los otros dos ganan cerca de uno. El orden se invierte y el ganador de la campaña pasa a ser el mejor individuo de la isla sembrada con el NACA 0012.</w:t>
      </w:r>
    </w:p>
    <w:p>
      <w:r>
        <w:t xml:space="preserve">Es un resultado con consecuencias metodológicas directas. La malla de exploración es suficiente para conducir la búsqueda, puesto que las cuatro islas convergen y la eficiencia crece de forma sostenida a lo largo de las once épocas, pero no lo es para decidir el ganador entre candidatos próximos. Una campaña que se hubiera detenido en la malla de exploración habría seleccionado un perfil distinto. El paso de refinado no es por tanto un adorno de verificación sino parte necesaria del procedimiento de selección.</w:t>
      </w:r>
    </w:p>
    <w:p>
      <w:pPr>
        <w:pStyle w:val="Ttulo2"/>
        <w:numPr>
          <w:ilvl w:val="0"/>
          <w:numId w:val="0"/>
        </w:numPr>
        <w:ind w:left="431" w:hanging="431"/>
      </w:pPr>
      <w:r>
        <w:t xml:space="preserve">4.3 Caracterización del perfil obtenido</w:t>
      </w:r>
    </w:p>
    <w:p>
      <w:pPr>
        <w:pStyle w:val="Ttulo3"/>
        <w:numPr>
          <w:ilvl w:val="0"/>
          <w:numId w:val="0"/>
        </w:numPr>
        <w:ind w:left="431" w:hanging="431"/>
      </w:pPr>
      <w:r>
        <w:t xml:space="preserve">4.3.1 Geometría resultante</w:t>
      </w:r>
    </w:p>
    <w:p>
      <w:r>
        <w:t xml:space="preserve">El perfil resultante de la campaña se aparta radicalmente de su semilla.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Magnitud</w:t>
            </w:r>
          </w:p>
        </w:tc>
        <w:tc>
          <w:tcPr>
            <w:tcW w:w="3023" w:type="dxa"/>
            <w:shd w:val="clear" w:color="auto" w:fill="EDEDED"/>
            <w:vAlign w:val="center"/>
          </w:tcPr>
          <w:p>
            <w:pPr>
              <w:spacing w:before="40" w:after="40"/>
              <w:jc w:val="center"/>
            </w:pPr>
            <w:r>
              <w:rPr>
                <w:b/>
              </w:rPr>
              <w:t xml:space="preserve">Perfil obtenido</w:t>
            </w:r>
          </w:p>
        </w:tc>
        <w:tc>
          <w:tcPr>
            <w:tcW w:w="3023" w:type="dxa"/>
            <w:shd w:val="clear" w:color="auto" w:fill="EDEDED"/>
            <w:vAlign w:val="center"/>
          </w:tcPr>
          <w:p>
            <w:pPr>
              <w:spacing w:before="40" w:after="40"/>
              <w:jc w:val="center"/>
            </w:pPr>
            <w:r>
              <w:rPr>
                <w:b/>
              </w:rPr>
              <w:t xml:space="preserve">NACA 0012</w:t>
            </w:r>
          </w:p>
        </w:tc>
      </w:tr>
      <w:tr>
        <w:tc>
          <w:tcPr>
            <w:tcW w:w="3023" w:type="dxa"/>
            <w:vAlign w:val="center"/>
          </w:tcPr>
          <w:p>
            <w:pPr>
              <w:spacing w:before="40" w:after="40"/>
              <w:jc w:val="center"/>
            </w:pPr>
            <w:r>
              <w:t xml:space="preserve">Espesor máximo</w:t>
            </w:r>
          </w:p>
        </w:tc>
        <w:tc>
          <w:tcPr>
            <w:tcW w:w="3023" w:type="dxa"/>
            <w:vAlign w:val="center"/>
          </w:tcPr>
          <w:p>
            <w:pPr>
              <w:spacing w:before="40" w:after="40"/>
              <w:jc w:val="center"/>
            </w:pPr>
            <w:r>
              <w:t xml:space="preserve">2,16 % en </w:t>
            </w:r>
            <m:oMath>
              <m:r>
                <w:rPr>
                  <w:rFonts w:ascii="Cambria Math" w:hAnsi="Cambria Math"/>
                </w:rPr>
                <m:t xml:space="preserve">x</m:t>
              </m:r>
              <m:r>
                <w:rPr>
                  <w:rFonts w:ascii="Cambria Math" w:hAnsi="Cambria Math"/>
                </w:rPr>
                <m:t xml:space="preserve">/</m:t>
              </m:r>
              <m:r>
                <w:rPr>
                  <w:rFonts w:ascii="Cambria Math" w:hAnsi="Cambria Math"/>
                </w:rPr>
                <m:t xml:space="preserve">c</m:t>
              </m:r>
            </m:oMath>
            <w:r>
              <w:t xml:space="preserve"> = 0,66</w:t>
            </w:r>
          </w:p>
        </w:tc>
        <w:tc>
          <w:tcPr>
            <w:tcW w:w="3023" w:type="dxa"/>
            <w:vAlign w:val="center"/>
          </w:tcPr>
          <w:p>
            <w:pPr>
              <w:spacing w:before="40" w:after="40"/>
              <w:jc w:val="center"/>
            </w:pPr>
            <w:r>
              <w:t xml:space="preserve">12,00 % en </w:t>
            </w:r>
            <m:oMath>
              <m:r>
                <w:rPr>
                  <w:rFonts w:ascii="Cambria Math" w:hAnsi="Cambria Math"/>
                </w:rPr>
                <m:t xml:space="preserve">x</m:t>
              </m:r>
              <m:r>
                <w:rPr>
                  <w:rFonts w:ascii="Cambria Math" w:hAnsi="Cambria Math"/>
                </w:rPr>
                <m:t xml:space="preserve">/</m:t>
              </m:r>
              <m:r>
                <w:rPr>
                  <w:rFonts w:ascii="Cambria Math" w:hAnsi="Cambria Math"/>
                </w:rPr>
                <m:t xml:space="preserve">c</m:t>
              </m:r>
            </m:oMath>
            <w:r>
              <w:t xml:space="preserve"> = 0,29</w:t>
            </w:r>
          </w:p>
        </w:tc>
      </w:tr>
      <w:tr>
        <w:tc>
          <w:tcPr>
            <w:tcW w:w="3023" w:type="dxa"/>
            <w:vAlign w:val="center"/>
          </w:tcPr>
          <w:p>
            <w:pPr>
              <w:spacing w:before="40" w:after="40"/>
              <w:jc w:val="center"/>
            </w:pPr>
            <w:r>
              <w:t xml:space="preserve">Curvatura máxima</w:t>
            </w:r>
          </w:p>
        </w:tc>
        <w:tc>
          <w:tcPr>
            <w:tcW w:w="3023" w:type="dxa"/>
            <w:vAlign w:val="center"/>
          </w:tcPr>
          <w:p>
            <w:pPr>
              <w:spacing w:before="40" w:after="40"/>
              <w:jc w:val="center"/>
            </w:pPr>
            <w:r>
              <w:t xml:space="preserve">5,64 % en </w:t>
            </w:r>
            <m:oMath>
              <m:r>
                <w:rPr>
                  <w:rFonts w:ascii="Cambria Math" w:hAnsi="Cambria Math"/>
                </w:rPr>
                <m:t xml:space="preserve">x</m:t>
              </m:r>
              <m:r>
                <w:rPr>
                  <w:rFonts w:ascii="Cambria Math" w:hAnsi="Cambria Math"/>
                </w:rPr>
                <m:t xml:space="preserve">/</m:t>
              </m:r>
              <m:r>
                <w:rPr>
                  <w:rFonts w:ascii="Cambria Math" w:hAnsi="Cambria Math"/>
                </w:rPr>
                <m:t xml:space="preserve">c</m:t>
              </m:r>
            </m:oMath>
            <w:r>
              <w:t xml:space="preserve"> = 0,54</w:t>
            </w:r>
          </w:p>
        </w:tc>
        <w:tc>
          <w:tcPr>
            <w:tcW w:w="3023" w:type="dxa"/>
            <w:vAlign w:val="center"/>
          </w:tcPr>
          <w:p>
            <w:pPr>
              <w:spacing w:before="40" w:after="40"/>
              <w:jc w:val="center"/>
            </w:pPr>
            <w:r>
              <w:t xml:space="preserve">0</w:t>
            </w:r>
          </w:p>
        </w:tc>
      </w:tr>
      <w:tr>
        <w:tc>
          <w:tcPr>
            <w:tcW w:w="3023" w:type="dxa"/>
            <w:vAlign w:val="center"/>
          </w:tcPr>
          <w:p>
            <w:pPr>
              <w:spacing w:before="40" w:after="40"/>
              <w:jc w:val="center"/>
            </w:pPr>
            <w:r>
              <w:t xml:space="preserve">Línea media en el borde de salida</w:t>
            </w:r>
          </w:p>
        </w:tc>
        <w:tc>
          <w:tcPr>
            <w:tcW w:w="3023" w:type="dxa"/>
            <w:vAlign w:val="center"/>
          </w:tcPr>
          <w:p>
            <w:pPr>
              <w:spacing w:before="40" w:after="40"/>
              <w:jc w:val="center"/>
            </w:pPr>
            <w:r>
              <w:t xml:space="preserve">Desplazada 2,82 % de la cuerda</w:t>
            </w:r>
          </w:p>
        </w:tc>
        <w:tc>
          <w:tcPr>
            <w:tcW w:w="3023" w:type="dxa"/>
            <w:vAlign w:val="center"/>
          </w:tcPr>
          <w:p>
            <w:pPr>
              <w:spacing w:before="40" w:after="40"/>
              <w:jc w:val="center"/>
            </w:pPr>
            <w:r>
              <w:t xml:space="preserve">En el eje</w:t>
            </w:r>
          </w:p>
        </w:tc>
      </w:tr>
      <w:tr>
        <w:tc>
          <w:tcPr>
            <w:tcW w:w="3023" w:type="dxa"/>
            <w:vAlign w:val="center"/>
          </w:tcPr>
          <w:p>
            <w:pPr>
              <w:spacing w:before="40" w:after="40"/>
              <w:jc w:val="center"/>
            </w:pPr>
            <w:r>
              <w:t xml:space="preserve">Espesor del borde de salida</w:t>
            </w:r>
          </w:p>
        </w:tc>
        <w:tc>
          <w:tcPr>
            <w:tcW w:w="3023" w:type="dxa"/>
            <w:vAlign w:val="center"/>
          </w:tcPr>
          <w:p>
            <w:pPr>
              <w:spacing w:before="40" w:after="40"/>
              <w:jc w:val="center"/>
            </w:pPr>
            <w:r>
              <w:t xml:space="preserve">1,07 %</w:t>
            </w:r>
          </w:p>
        </w:tc>
        <w:tc>
          <w:tcPr>
            <w:tcW w:w="3023" w:type="dxa"/>
            <w:vAlign w:val="center"/>
          </w:tcPr>
          <w:p>
            <w:pPr>
              <w:spacing w:before="40" w:after="40"/>
              <w:jc w:val="center"/>
            </w:pPr>
            <w:r>
              <w:t xml:space="preserve">Afilado</w:t>
            </w:r>
          </w:p>
        </w:tc>
      </w:tr>
    </w:tbl>
    <w:p>
      <w:pPr>
        <w:pStyle w:val="Taula"/>
      </w:pPr>
      <w:r>
        <w:t xml:space="preserve">Tabla 4.12</w:t>
      </w:r>
      <w:r>
        <w:t xml:space="preserve">: Parámetros geométricos del perfil obtenido frente a su semilla.</w:t>
      </w:r>
    </w:p>
    <w:p>
      <w:r>
        <w:t xml:space="preserve">El optimizador ha convertido un perfil simétrico y grueso en una lámina delgada y fuertemente curvada, con el espesor máximo desplazado hacia el borde de salida y una curvatura casi tres veces mayor que la de un perfil convencional de alta sustentación. La dirección no es arbitraria: a números de Reynolds del orden de </w:t>
      </w:r>
      <m:oMath>
        <m:sSup>
          <m:e>
            <m:r>
              <m:rPr>
                <m:sty m:val="p"/>
              </m:rPr>
              <w:rPr>
                <w:rFonts w:ascii="Cambria Math" w:hAnsi="Cambria Math"/>
              </w:rPr>
              <m:t xml:space="preserve">10</m:t>
            </m:r>
          </m:e>
          <m:sup>
            <m:r>
              <m:rPr>
                <m:sty m:val="p"/>
              </m:rPr>
              <w:rPr>
                <w:rFonts w:ascii="Cambria Math" w:hAnsi="Cambria Math"/>
              </w:rPr>
              <m:t xml:space="preserve">5</m:t>
            </m:r>
          </m:sup>
        </m:sSup>
      </m:oMath>
      <w:r>
        <w:t xml:space="preserve"> las secciones delgadas y muy curvadas son precisamente las que la literatura de perfiles de bajo Reynolds identifica como eficientes [36], [22], porque reducen el gradiente adverso que dispara la burbuja de separación laminar.</w:t>
      </w:r>
    </w:p>
    <w:p>
      <w:r>
        <w:t xml:space="preserve">Conviene señalar que la línea media en el borde de salida queda desplazada un 2,82 % de la cuerda respecto del eje, consecuencia de que la parametrización permite mutar la posición del borde de salida, y que el espesor allí no es nulo sino del 1,07 % de la cuerda. Es una geometría admisible, pero su espesor máximo de 2,16 % la sitúa en el límite de lo que la resolución de malla empleada puede representar con fidelidad, cuestión que se retoma en el capítulo 5.</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4.5: insertar resultados_finales/perfiles/perfiles_comparados.png]</w:t>
      </w:r>
    </w:p>
    <w:p>
      <w:pPr>
        <w:pStyle w:val="Figura"/>
      </w:pPr>
      <w:r>
        <w:t xml:space="preserve">Figura 4.5</w:t>
      </w:r>
      <w:r>
        <w:t xml:space="preserve">: Geometría del perfil obtenido por la optimización superpuesta a la de su semilla, el NACA 0012 de borde afilado.</w:t>
      </w:r>
    </w:p>
    <w:p>
      <w:pPr>
        <w:pStyle w:val="Ttulo3"/>
        <w:numPr>
          <w:ilvl w:val="0"/>
          <w:numId w:val="0"/>
        </w:numPr>
        <w:ind w:left="431" w:hanging="431"/>
      </w:pPr>
      <w:r>
        <w:t xml:space="preserve">4.3.2 Convergencia de malla y extrapolación</w:t>
      </w:r>
    </w:p>
    <w:p>
      <w:r>
        <w:t xml:space="preserve">En el punto de diseño la verificación del perfil obtenido arroja lo siguiente.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33"/>
        <w:gridCol w:w="1133"/>
        <w:gridCol w:w="1133"/>
        <w:gridCol w:w="1133"/>
        <w:gridCol w:w="1133"/>
        <w:gridCol w:w="1133"/>
        <w:gridCol w:w="1133"/>
        <w:gridCol w:w="1133"/>
      </w:tblGrid>
      <w:trPr>
        <w:tblHeader/>
      </w:trPr>
      <w:tr>
        <w:tc>
          <w:tcPr>
            <w:tcW w:w="1133" w:type="dxa"/>
            <w:shd w:val="clear" w:color="auto" w:fill="EDEDED"/>
            <w:vAlign w:val="center"/>
          </w:tcPr>
          <w:p>
            <w:pPr>
              <w:spacing w:before="40" w:after="40"/>
              <w:jc w:val="center"/>
            </w:pPr>
            <w:r>
              <w:rPr>
                <w:b/>
              </w:rPr>
              <w:t xml:space="preserve">Mag.</w:t>
            </w:r>
          </w:p>
        </w:tc>
        <w:tc>
          <w:tcPr>
            <w:tcW w:w="1133"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r>
              <w:rPr>
                <w:b/>
              </w:rPr>
              <w:t xml:space="preserve">=8 mm</w:t>
            </w:r>
          </w:p>
        </w:tc>
        <w:tc>
          <w:tcPr>
            <w:tcW w:w="1133"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r>
              <w:rPr>
                <w:b/>
              </w:rPr>
              <w:t xml:space="preserve">=4 mm</w:t>
            </w:r>
          </w:p>
        </w:tc>
        <w:tc>
          <w:tcPr>
            <w:tcW w:w="1133"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r>
              <w:rPr>
                <w:b/>
              </w:rPr>
              <w:t xml:space="preserve">=2 mm</w:t>
            </w:r>
          </w:p>
        </w:tc>
        <w:tc>
          <w:tcPr>
            <w:tcW w:w="1133" w:type="dxa"/>
            <w:shd w:val="clear" w:color="auto" w:fill="EDEDED"/>
            <w:vAlign w:val="center"/>
          </w:tcPr>
          <w:p>
            <w:pPr>
              <w:spacing w:before="40" w:after="40"/>
              <w:jc w:val="center"/>
            </w:pPr>
            <m:oMath>
              <m:r>
                <w:rPr>
                  <w:rFonts w:ascii="Cambria Math" w:hAnsi="Cambria Math"/>
                </w:rPr>
                <m:t xml:space="preserve">p</m:t>
              </m:r>
            </m:oMath>
          </w:p>
        </w:tc>
        <w:tc>
          <w:tcPr>
            <w:tcW w:w="1133" w:type="dxa"/>
            <w:shd w:val="clear" w:color="auto" w:fill="EDEDED"/>
            <w:vAlign w:val="center"/>
          </w:tcPr>
          <w:p>
            <w:pPr>
              <w:spacing w:before="40" w:after="40"/>
              <w:jc w:val="center"/>
            </w:pPr>
            <w:r>
              <w:rPr>
                <w:b/>
              </w:rPr>
              <w:t xml:space="preserve">Extrap.</w:t>
            </w:r>
          </w:p>
        </w:tc>
        <w:tc>
          <w:tcPr>
            <w:tcW w:w="1133" w:type="dxa"/>
            <w:shd w:val="clear" w:color="auto" w:fill="EDEDED"/>
            <w:vAlign w:val="center"/>
          </w:tcPr>
          <w:p>
            <w:pPr>
              <w:spacing w:before="40" w:after="40"/>
              <w:jc w:val="center"/>
            </w:pPr>
            <w:r>
              <w:rPr>
                <w:b/>
              </w:rPr>
              <w:t xml:space="preserve">GCI [%]</w:t>
            </w:r>
          </w:p>
        </w:tc>
        <w:tc>
          <w:tcPr>
            <w:tcW w:w="1133" w:type="dxa"/>
            <w:shd w:val="clear" w:color="auto" w:fill="EDEDED"/>
            <w:vAlign w:val="center"/>
          </w:tcPr>
          <w:p>
            <w:pPr>
              <w:spacing w:before="40" w:after="40"/>
              <w:jc w:val="center"/>
            </w:pPr>
            <m:oMath>
              <m:r>
                <w:rPr>
                  <w:rFonts w:ascii="Cambria Math" w:hAnsi="Cambria Math"/>
                </w:rPr>
                <m:t xml:space="preserve">p</m:t>
              </m:r>
            </m:oMath>
            <w:r>
              <w:rPr>
                <w:b/>
              </w:rPr>
              <w:t xml:space="preserve"> fiable</w:t>
            </w:r>
          </w:p>
        </w:tc>
      </w:tr>
      <w:tr>
        <w:tc>
          <w:tcPr>
            <w:tcW w:w="1133" w:type="dxa"/>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1133" w:type="dxa"/>
            <w:vAlign w:val="center"/>
          </w:tcPr>
          <w:p>
            <w:pPr>
              <w:spacing w:before="40" w:after="40"/>
              <w:jc w:val="center"/>
            </w:pPr>
            <w:r>
              <w:t xml:space="preserve">0,5816</w:t>
            </w:r>
          </w:p>
        </w:tc>
        <w:tc>
          <w:tcPr>
            <w:tcW w:w="1133" w:type="dxa"/>
            <w:vAlign w:val="center"/>
          </w:tcPr>
          <w:p>
            <w:pPr>
              <w:spacing w:before="40" w:after="40"/>
              <w:jc w:val="center"/>
            </w:pPr>
            <w:r>
              <w:t xml:space="preserve">0,6799</w:t>
            </w:r>
          </w:p>
        </w:tc>
        <w:tc>
          <w:tcPr>
            <w:tcW w:w="1133" w:type="dxa"/>
            <w:vAlign w:val="center"/>
          </w:tcPr>
          <w:p>
            <w:pPr>
              <w:spacing w:before="40" w:after="40"/>
              <w:jc w:val="center"/>
            </w:pPr>
            <w:r>
              <w:t xml:space="preserve">0,6965</w:t>
            </w:r>
          </w:p>
        </w:tc>
        <w:tc>
          <w:tcPr>
            <w:tcW w:w="1133" w:type="dxa"/>
            <w:vAlign w:val="center"/>
          </w:tcPr>
          <w:p>
            <w:pPr>
              <w:spacing w:before="40" w:after="40"/>
              <w:jc w:val="center"/>
            </w:pPr>
            <w:r>
              <w:t xml:space="preserve">2,56</w:t>
            </w:r>
          </w:p>
        </w:tc>
        <w:tc>
          <w:tcPr>
            <w:tcW w:w="1133" w:type="dxa"/>
            <w:vAlign w:val="center"/>
          </w:tcPr>
          <w:p>
            <w:pPr>
              <w:spacing w:before="40" w:after="40"/>
              <w:jc w:val="center"/>
            </w:pPr>
            <w:r>
              <w:t xml:space="preserve">0,6999</w:t>
            </w:r>
          </w:p>
        </w:tc>
        <w:tc>
          <w:tcPr>
            <w:tcW w:w="1133" w:type="dxa"/>
            <w:vAlign w:val="center"/>
          </w:tcPr>
          <w:p>
            <w:pPr>
              <w:spacing w:before="40" w:after="40"/>
              <w:jc w:val="center"/>
            </w:pPr>
            <w:r>
              <w:t xml:space="preserve">0,61</w:t>
            </w:r>
          </w:p>
        </w:tc>
        <w:tc>
          <w:tcPr>
            <w:tcW w:w="1133" w:type="dxa"/>
            <w:vAlign w:val="center"/>
          </w:tcPr>
          <w:p>
            <w:pPr>
              <w:spacing w:before="40" w:after="40"/>
              <w:jc w:val="center"/>
            </w:pPr>
            <w:r>
              <w:t xml:space="preserve">sí</w:t>
            </w:r>
          </w:p>
        </w:tc>
      </w:tr>
      <w:tr>
        <w:tc>
          <w:tcPr>
            <w:tcW w:w="1133"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p>
        </w:tc>
        <w:tc>
          <w:tcPr>
            <w:tcW w:w="1133" w:type="dxa"/>
            <w:vAlign w:val="center"/>
          </w:tcPr>
          <w:p>
            <w:pPr>
              <w:spacing w:before="40" w:after="40"/>
              <w:jc w:val="center"/>
            </w:pPr>
            <w:r>
              <w:t xml:space="preserve">0,03307</w:t>
            </w:r>
          </w:p>
        </w:tc>
        <w:tc>
          <w:tcPr>
            <w:tcW w:w="1133" w:type="dxa"/>
            <w:vAlign w:val="center"/>
          </w:tcPr>
          <w:p>
            <w:pPr>
              <w:spacing w:before="40" w:after="40"/>
              <w:jc w:val="center"/>
            </w:pPr>
            <w:r>
              <w:t xml:space="preserve">0,02242</w:t>
            </w:r>
          </w:p>
        </w:tc>
        <w:tc>
          <w:tcPr>
            <w:tcW w:w="1133" w:type="dxa"/>
            <w:vAlign w:val="center"/>
          </w:tcPr>
          <w:p>
            <w:pPr>
              <w:spacing w:before="40" w:after="40"/>
              <w:jc w:val="center"/>
            </w:pPr>
            <w:r>
              <w:t xml:space="preserve">0,01692</w:t>
            </w:r>
          </w:p>
        </w:tc>
        <w:tc>
          <w:tcPr>
            <w:tcW w:w="1133" w:type="dxa"/>
            <w:vAlign w:val="center"/>
          </w:tcPr>
          <w:p>
            <w:pPr>
              <w:spacing w:before="40" w:after="40"/>
              <w:jc w:val="center"/>
            </w:pPr>
            <w:r>
              <w:t xml:space="preserve">0,47</w:t>
            </w:r>
          </w:p>
        </w:tc>
        <w:tc>
          <w:tcPr>
            <w:tcW w:w="1133" w:type="dxa"/>
            <w:vAlign w:val="center"/>
          </w:tcPr>
          <w:p>
            <w:pPr>
              <w:spacing w:before="40" w:after="40"/>
              <w:jc w:val="center"/>
            </w:pPr>
            <w:r>
              <w:t xml:space="preserve">0,01541</w:t>
            </w:r>
          </w:p>
        </w:tc>
        <w:tc>
          <w:tcPr>
            <w:tcW w:w="1133" w:type="dxa"/>
            <w:vAlign w:val="center"/>
          </w:tcPr>
          <w:p>
            <w:pPr>
              <w:spacing w:before="40" w:after="40"/>
              <w:jc w:val="center"/>
            </w:pPr>
            <w:r>
              <w:t xml:space="preserve">43,2</w:t>
            </w:r>
          </w:p>
        </w:tc>
        <w:tc>
          <w:tcPr>
            <w:tcW w:w="1133" w:type="dxa"/>
            <w:vAlign w:val="center"/>
          </w:tcPr>
          <w:p>
            <w:pPr>
              <w:spacing w:before="40" w:after="40"/>
              <w:jc w:val="center"/>
            </w:pPr>
            <w:r>
              <w:t xml:space="preserve">no</w:t>
            </w:r>
          </w:p>
        </w:tc>
      </w:tr>
    </w:tbl>
    <w:p>
      <w:pPr>
        <w:pStyle w:val="Taula"/>
      </w:pPr>
      <w:r>
        <w:t xml:space="preserve">Tabla 4.13</w:t>
      </w:r>
      <w:r>
        <w:t xml:space="preserve">: Verificación de convergencia de malla del perfil obtenido en el punto de diseño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w:t>
      </w:r>
    </w:p>
    <w:p>
      <w:r>
        <w:t xml:space="preserve">Su sustentación en el punto de diseño es el caso mejor comportado de todo el estudio, con un orden aparente de 2,56, próximo al nominal del esquema, y un índice de convergencia de malla del 0,61 %. La resistencia repite el patrón del perfil de referencia y no converge en orden.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33"/>
        <w:gridCol w:w="1133"/>
        <w:gridCol w:w="1133"/>
        <w:gridCol w:w="1133"/>
        <w:gridCol w:w="1133"/>
        <w:gridCol w:w="1133"/>
        <w:gridCol w:w="1133"/>
        <w:gridCol w:w="1133"/>
      </w:tblGrid>
      <w:trPr>
        <w:tblHeader/>
      </w:trPr>
      <w:tr>
        <w:tc>
          <w:tcPr>
            <w:tcW w:w="1133" w:type="dxa"/>
            <w:shd w:val="clear" w:color="auto" w:fill="EDEDED"/>
            <w:vAlign w:val="center"/>
          </w:tcPr>
          <w:p>
            <w:pPr>
              <w:spacing w:before="40" w:after="40"/>
              <w:jc w:val="center"/>
            </w:pPr>
            <m:oMath>
              <m:r>
                <w:rPr>
                  <w:rFonts w:ascii="Cambria Math" w:hAnsi="Cambria Math"/>
                </w:rPr>
                <m:t xml:space="preserve">α</m:t>
              </m:r>
            </m:oMath>
            <w:r>
              <w:rPr>
                <w:b/>
              </w:rPr>
              <w:t xml:space="preserve"> [°]</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fina</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extrap.</w:t>
            </w:r>
          </w:p>
        </w:tc>
        <w:tc>
          <w:tcPr>
            <w:tcW w:w="1133" w:type="dxa"/>
            <w:shd w:val="clear" w:color="auto" w:fill="EDEDED"/>
            <w:vAlign w:val="center"/>
          </w:tcPr>
          <w:p>
            <w:pPr>
              <w:spacing w:before="40" w:after="40"/>
              <w:jc w:val="center"/>
            </w:pPr>
            <w:r>
              <w:rPr>
                <w:b/>
              </w:rPr>
              <w:t xml:space="preserve">GCI [%]</w:t>
            </w:r>
          </w:p>
        </w:tc>
        <w:tc>
          <w:tcPr>
            <w:tcW w:w="1133" w:type="dxa"/>
            <w:shd w:val="clear" w:color="auto" w:fill="EDEDED"/>
            <w:vAlign w:val="center"/>
          </w:tcPr>
          <w:p>
            <w:pPr>
              <w:spacing w:before="40" w:after="40"/>
              <w:jc w:val="center"/>
            </w:pPr>
            <m:oMath>
              <m:r>
                <w:rPr>
                  <w:rFonts w:ascii="Cambria Math" w:hAnsi="Cambria Math"/>
                </w:rPr>
                <m:t xml:space="preserve">p</m:t>
              </m:r>
            </m:oMath>
            <w:r>
              <w:rPr>
                <w:b/>
              </w:rPr>
              <w:t xml:space="preserve"> fiable</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fina</w:t>
            </w:r>
          </w:p>
        </w:tc>
        <w:tc>
          <w:tcPr>
            <w:tcW w:w="113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extrap.</w:t>
            </w:r>
          </w:p>
        </w:tc>
        <w:tc>
          <w:tcPr>
            <w:tcW w:w="1133" w:type="dxa"/>
            <w:shd w:val="clear" w:color="auto" w:fill="EDEDED"/>
            <w:vAlign w:val="center"/>
          </w:tcPr>
          <w:p>
            <w:pPr>
              <w:spacing w:before="40" w:after="40"/>
              <w:jc w:val="center"/>
            </w:pPr>
            <w:r>
              <w:rPr>
                <w:b/>
              </w:rPr>
              <w:t xml:space="preserve">GCI [%]</w:t>
            </w:r>
          </w:p>
        </w:tc>
      </w:tr>
      <w:tr>
        <w:tc>
          <w:tcPr>
            <w:tcW w:w="1133" w:type="dxa"/>
            <w:vAlign w:val="center"/>
          </w:tcPr>
          <w:p>
            <w:pPr>
              <w:spacing w:before="40" w:after="40"/>
              <w:jc w:val="center"/>
            </w:pPr>
            <w:r>
              <w:t xml:space="preserve">0</w:t>
            </w:r>
          </w:p>
        </w:tc>
        <w:tc>
          <w:tcPr>
            <w:tcW w:w="1133" w:type="dxa"/>
            <w:vAlign w:val="center"/>
          </w:tcPr>
          <w:p>
            <w:pPr>
              <w:spacing w:before="40" w:after="40"/>
              <w:jc w:val="center"/>
            </w:pPr>
            <w:r>
              <w:t xml:space="preserve">0,1405</w:t>
            </w:r>
          </w:p>
        </w:tc>
        <w:tc>
          <w:tcPr>
            <w:tcW w:w="1133" w:type="dxa"/>
            <w:vAlign w:val="center"/>
          </w:tcPr>
          <w:p>
            <w:pPr>
              <w:spacing w:before="40" w:after="40"/>
              <w:jc w:val="center"/>
            </w:pPr>
            <w:r>
              <w:t xml:space="preserve">0,1546</w:t>
            </w:r>
          </w:p>
        </w:tc>
        <w:tc>
          <w:tcPr>
            <w:tcW w:w="1133" w:type="dxa"/>
            <w:vAlign w:val="center"/>
          </w:tcPr>
          <w:p>
            <w:pPr>
              <w:spacing w:before="40" w:after="40"/>
              <w:jc w:val="center"/>
            </w:pPr>
            <w:r>
              <w:t xml:space="preserve">12,6</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0,03679</w:t>
            </w:r>
          </w:p>
        </w:tc>
        <w:tc>
          <w:tcPr>
            <w:tcW w:w="1133" w:type="dxa"/>
            <w:vAlign w:val="center"/>
          </w:tcPr>
          <w:p>
            <w:pPr>
              <w:spacing w:before="40" w:after="40"/>
              <w:jc w:val="center"/>
            </w:pPr>
            <w:r>
              <w:t xml:space="preserve">0,03402</w:t>
            </w:r>
          </w:p>
        </w:tc>
        <w:tc>
          <w:tcPr>
            <w:tcW w:w="1133" w:type="dxa"/>
            <w:vAlign w:val="center"/>
          </w:tcPr>
          <w:p>
            <w:pPr>
              <w:spacing w:before="40" w:after="40"/>
              <w:jc w:val="center"/>
            </w:pPr>
            <w:r>
              <w:t xml:space="preserve">11,6</w:t>
            </w:r>
          </w:p>
        </w:tc>
      </w:tr>
      <w:tr>
        <w:tc>
          <w:tcPr>
            <w:tcW w:w="1133" w:type="dxa"/>
            <w:vAlign w:val="center"/>
          </w:tcPr>
          <w:p>
            <w:pPr>
              <w:spacing w:before="40" w:after="40"/>
              <w:jc w:val="center"/>
            </w:pPr>
            <w:r>
              <w:t xml:space="preserve">1</w:t>
            </w:r>
          </w:p>
        </w:tc>
        <w:tc>
          <w:tcPr>
            <w:tcW w:w="1133" w:type="dxa"/>
            <w:vAlign w:val="center"/>
          </w:tcPr>
          <w:p>
            <w:pPr>
              <w:spacing w:before="40" w:after="40"/>
              <w:jc w:val="center"/>
            </w:pPr>
            <w:r>
              <w:t xml:space="preserve">0,3216</w:t>
            </w:r>
          </w:p>
        </w:tc>
        <w:tc>
          <w:tcPr>
            <w:tcW w:w="1133" w:type="dxa"/>
            <w:vAlign w:val="center"/>
          </w:tcPr>
          <w:p>
            <w:pPr>
              <w:spacing w:before="40" w:after="40"/>
              <w:jc w:val="center"/>
            </w:pPr>
            <w:r>
              <w:t xml:space="preserve">0,3507</w:t>
            </w:r>
          </w:p>
        </w:tc>
        <w:tc>
          <w:tcPr>
            <w:tcW w:w="1133" w:type="dxa"/>
            <w:vAlign w:val="center"/>
          </w:tcPr>
          <w:p>
            <w:pPr>
              <w:spacing w:before="40" w:after="40"/>
              <w:jc w:val="center"/>
            </w:pPr>
            <w:r>
              <w:t xml:space="preserve">20,1</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0,02797</w:t>
            </w:r>
          </w:p>
        </w:tc>
        <w:tc>
          <w:tcPr>
            <w:tcW w:w="1133" w:type="dxa"/>
            <w:vAlign w:val="center"/>
          </w:tcPr>
          <w:p>
            <w:pPr>
              <w:spacing w:before="40" w:after="40"/>
              <w:jc w:val="center"/>
            </w:pPr>
            <w:r>
              <w:t xml:space="preserve">0,02522</w:t>
            </w:r>
          </w:p>
        </w:tc>
        <w:tc>
          <w:tcPr>
            <w:tcW w:w="1133" w:type="dxa"/>
            <w:vAlign w:val="center"/>
          </w:tcPr>
          <w:p>
            <w:pPr>
              <w:spacing w:before="40" w:after="40"/>
              <w:jc w:val="center"/>
            </w:pPr>
            <w:r>
              <w:t xml:space="preserve">2,8</w:t>
            </w:r>
          </w:p>
        </w:tc>
      </w:tr>
      <w:tr>
        <w:tc>
          <w:tcPr>
            <w:tcW w:w="1133" w:type="dxa"/>
            <w:vAlign w:val="center"/>
          </w:tcPr>
          <w:p>
            <w:pPr>
              <w:spacing w:before="40" w:after="40"/>
              <w:jc w:val="center"/>
            </w:pPr>
            <w:r>
              <w:t xml:space="preserve">2</w:t>
            </w:r>
          </w:p>
        </w:tc>
        <w:tc>
          <w:tcPr>
            <w:tcW w:w="1133" w:type="dxa"/>
            <w:vAlign w:val="center"/>
          </w:tcPr>
          <w:p>
            <w:pPr>
              <w:spacing w:before="40" w:after="40"/>
              <w:jc w:val="center"/>
            </w:pPr>
            <w:r>
              <w:t xml:space="preserve">0,4573</w:t>
            </w:r>
          </w:p>
        </w:tc>
        <w:tc>
          <w:tcPr>
            <w:tcW w:w="1133" w:type="dxa"/>
            <w:vAlign w:val="center"/>
          </w:tcPr>
          <w:p>
            <w:pPr>
              <w:spacing w:before="40" w:after="40"/>
              <w:jc w:val="center"/>
            </w:pPr>
            <w:r>
              <w:t xml:space="preserve">0,4893</w:t>
            </w:r>
          </w:p>
        </w:tc>
        <w:tc>
          <w:tcPr>
            <w:tcW w:w="1133" w:type="dxa"/>
            <w:vAlign w:val="center"/>
          </w:tcPr>
          <w:p>
            <w:pPr>
              <w:spacing w:before="40" w:after="40"/>
              <w:jc w:val="center"/>
            </w:pPr>
            <w:r>
              <w:t xml:space="preserve">16,0</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0,02117</w:t>
            </w:r>
          </w:p>
        </w:tc>
        <w:tc>
          <w:tcPr>
            <w:tcW w:w="1133" w:type="dxa"/>
            <w:vAlign w:val="center"/>
          </w:tcPr>
          <w:p>
            <w:pPr>
              <w:spacing w:before="40" w:after="40"/>
              <w:jc w:val="center"/>
            </w:pPr>
            <w:r>
              <w:t xml:space="preserve">0,01852</w:t>
            </w:r>
          </w:p>
        </w:tc>
        <w:tc>
          <w:tcPr>
            <w:tcW w:w="1133" w:type="dxa"/>
            <w:vAlign w:val="center"/>
          </w:tcPr>
          <w:p>
            <w:pPr>
              <w:spacing w:before="40" w:after="40"/>
              <w:jc w:val="center"/>
            </w:pPr>
            <w:r>
              <w:t xml:space="preserve">31,4</w:t>
            </w:r>
          </w:p>
        </w:tc>
      </w:tr>
      <w:tr>
        <w:tc>
          <w:tcPr>
            <w:tcW w:w="1133" w:type="dxa"/>
            <w:vAlign w:val="center"/>
          </w:tcPr>
          <w:p>
            <w:pPr>
              <w:spacing w:before="40" w:after="40"/>
              <w:jc w:val="center"/>
            </w:pPr>
            <w:r>
              <w:t xml:space="preserve">3</w:t>
            </w:r>
          </w:p>
        </w:tc>
        <w:tc>
          <w:tcPr>
            <w:tcW w:w="1133" w:type="dxa"/>
            <w:vAlign w:val="center"/>
          </w:tcPr>
          <w:p>
            <w:pPr>
              <w:spacing w:before="40" w:after="40"/>
              <w:jc w:val="center"/>
            </w:pPr>
            <w:r>
              <w:t xml:space="preserve">0,6135</w:t>
            </w:r>
          </w:p>
        </w:tc>
        <w:tc>
          <w:tcPr>
            <w:tcW w:w="1133" w:type="dxa"/>
            <w:vAlign w:val="center"/>
          </w:tcPr>
          <w:p>
            <w:pPr>
              <w:spacing w:before="40" w:after="40"/>
              <w:jc w:val="center"/>
            </w:pPr>
            <w:r>
              <w:t xml:space="preserve">0,6518</w:t>
            </w:r>
          </w:p>
        </w:tc>
        <w:tc>
          <w:tcPr>
            <w:tcW w:w="1133" w:type="dxa"/>
            <w:vAlign w:val="center"/>
          </w:tcPr>
          <w:p>
            <w:pPr>
              <w:spacing w:before="40" w:after="40"/>
              <w:jc w:val="center"/>
            </w:pPr>
            <w:r>
              <w:t xml:space="preserve">7,8</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0,01517</w:t>
            </w:r>
          </w:p>
        </w:tc>
        <w:tc>
          <w:tcPr>
            <w:tcW w:w="1133" w:type="dxa"/>
            <w:vAlign w:val="center"/>
          </w:tcPr>
          <w:p>
            <w:pPr>
              <w:spacing w:before="40" w:after="40"/>
              <w:jc w:val="center"/>
            </w:pPr>
            <w:r>
              <w:t xml:space="preserve">0,01365</w:t>
            </w:r>
          </w:p>
        </w:tc>
        <w:tc>
          <w:tcPr>
            <w:tcW w:w="1133" w:type="dxa"/>
            <w:vAlign w:val="center"/>
          </w:tcPr>
          <w:p>
            <w:pPr>
              <w:spacing w:before="40" w:after="40"/>
              <w:jc w:val="center"/>
            </w:pPr>
            <w:r>
              <w:t xml:space="preserve">28,8</w:t>
            </w:r>
          </w:p>
        </w:tc>
      </w:tr>
      <w:tr>
        <w:tc>
          <w:tcPr>
            <w:tcW w:w="1133" w:type="dxa"/>
            <w:vAlign w:val="center"/>
          </w:tcPr>
          <w:p>
            <w:pPr>
              <w:spacing w:before="40" w:after="40"/>
              <w:jc w:val="center"/>
            </w:pPr>
            <w:r>
              <w:t xml:space="preserve">4</w:t>
            </w:r>
          </w:p>
        </w:tc>
        <w:tc>
          <w:tcPr>
            <w:tcW w:w="1133" w:type="dxa"/>
            <w:vAlign w:val="center"/>
          </w:tcPr>
          <w:p>
            <w:pPr>
              <w:spacing w:before="40" w:after="40"/>
              <w:jc w:val="center"/>
            </w:pPr>
            <w:r>
              <w:t xml:space="preserve">0,6965</w:t>
            </w:r>
          </w:p>
        </w:tc>
        <w:tc>
          <w:tcPr>
            <w:tcW w:w="1133" w:type="dxa"/>
            <w:vAlign w:val="center"/>
          </w:tcPr>
          <w:p>
            <w:pPr>
              <w:spacing w:before="40" w:after="40"/>
              <w:jc w:val="center"/>
            </w:pPr>
            <w:r>
              <w:t xml:space="preserve">0,6999</w:t>
            </w:r>
          </w:p>
        </w:tc>
        <w:tc>
          <w:tcPr>
            <w:tcW w:w="1133" w:type="dxa"/>
            <w:vAlign w:val="center"/>
          </w:tcPr>
          <w:p>
            <w:pPr>
              <w:spacing w:before="40" w:after="40"/>
              <w:jc w:val="center"/>
            </w:pPr>
            <w:r>
              <w:t xml:space="preserve">0,6</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0,01692</w:t>
            </w:r>
          </w:p>
        </w:tc>
        <w:tc>
          <w:tcPr>
            <w:tcW w:w="1133" w:type="dxa"/>
            <w:vAlign w:val="center"/>
          </w:tcPr>
          <w:p>
            <w:pPr>
              <w:spacing w:before="40" w:after="40"/>
              <w:jc w:val="center"/>
            </w:pPr>
            <w:r>
              <w:t xml:space="preserve">0,01541</w:t>
            </w:r>
          </w:p>
        </w:tc>
        <w:tc>
          <w:tcPr>
            <w:tcW w:w="1133" w:type="dxa"/>
            <w:vAlign w:val="center"/>
          </w:tcPr>
          <w:p>
            <w:pPr>
              <w:spacing w:before="40" w:after="40"/>
              <w:jc w:val="center"/>
            </w:pPr>
            <w:r>
              <w:t xml:space="preserve">43,2</w:t>
            </w:r>
          </w:p>
        </w:tc>
      </w:tr>
      <w:tr>
        <w:tc>
          <w:tcPr>
            <w:tcW w:w="1133" w:type="dxa"/>
            <w:vAlign w:val="center"/>
          </w:tcPr>
          <w:p>
            <w:pPr>
              <w:spacing w:before="40" w:after="40"/>
              <w:jc w:val="center"/>
            </w:pPr>
            <w:r>
              <w:t xml:space="preserve">5</w:t>
            </w:r>
          </w:p>
        </w:tc>
        <w:tc>
          <w:tcPr>
            <w:tcW w:w="1133" w:type="dxa"/>
            <w:vAlign w:val="center"/>
          </w:tcPr>
          <w:p>
            <w:pPr>
              <w:spacing w:before="40" w:after="40"/>
              <w:jc w:val="center"/>
            </w:pPr>
            <w:r>
              <w:t xml:space="preserve">0,8152</w:t>
            </w:r>
          </w:p>
        </w:tc>
        <w:tc>
          <w:tcPr>
            <w:tcW w:w="1133" w:type="dxa"/>
            <w:vAlign w:val="center"/>
          </w:tcPr>
          <w:p>
            <w:pPr>
              <w:spacing w:before="40" w:after="40"/>
              <w:jc w:val="center"/>
            </w:pPr>
            <w:r>
              <w:t xml:space="preserve">0,8430</w:t>
            </w:r>
          </w:p>
        </w:tc>
        <w:tc>
          <w:tcPr>
            <w:tcW w:w="1133" w:type="dxa"/>
            <w:vAlign w:val="center"/>
          </w:tcPr>
          <w:p>
            <w:pPr>
              <w:spacing w:before="40" w:after="40"/>
              <w:jc w:val="center"/>
            </w:pPr>
            <w:r>
              <w:t xml:space="preserve">37,1</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0,02333</w:t>
            </w:r>
          </w:p>
        </w:tc>
        <w:tc>
          <w:tcPr>
            <w:tcW w:w="1133" w:type="dxa"/>
            <w:vAlign w:val="center"/>
          </w:tcPr>
          <w:p>
            <w:pPr>
              <w:spacing w:before="40" w:after="40"/>
              <w:jc w:val="center"/>
            </w:pPr>
            <w:r>
              <w:t xml:space="preserve">0,02072</w:t>
            </w:r>
          </w:p>
        </w:tc>
        <w:tc>
          <w:tcPr>
            <w:tcW w:w="1133" w:type="dxa"/>
            <w:vAlign w:val="center"/>
          </w:tcPr>
          <w:p>
            <w:pPr>
              <w:spacing w:before="40" w:after="40"/>
              <w:jc w:val="center"/>
            </w:pPr>
            <w:r>
              <w:t xml:space="preserve">61,8</w:t>
            </w:r>
          </w:p>
        </w:tc>
      </w:tr>
      <w:tr>
        <w:tc>
          <w:tcPr>
            <w:tcW w:w="1133" w:type="dxa"/>
            <w:vAlign w:val="center"/>
          </w:tcPr>
          <w:p>
            <w:pPr>
              <w:spacing w:before="40" w:after="40"/>
              <w:jc w:val="center"/>
            </w:pPr>
            <w:r>
              <w:t xml:space="preserve">6</w:t>
            </w:r>
          </w:p>
        </w:tc>
        <w:tc>
          <w:tcPr>
            <w:tcW w:w="1133" w:type="dxa"/>
            <w:vAlign w:val="center"/>
          </w:tcPr>
          <w:p>
            <w:pPr>
              <w:spacing w:before="40" w:after="40"/>
              <w:jc w:val="center"/>
            </w:pPr>
            <w:r>
              <w:t xml:space="preserve">0,8787</w:t>
            </w:r>
          </w:p>
        </w:tc>
        <w:tc>
          <w:tcPr>
            <w:tcW w:w="1133" w:type="dxa"/>
            <w:vAlign w:val="center"/>
          </w:tcPr>
          <w:p>
            <w:pPr>
              <w:spacing w:before="40" w:after="40"/>
              <w:jc w:val="center"/>
            </w:pPr>
            <w:r>
              <w:t xml:space="preserve">0,9033</w:t>
            </w:r>
          </w:p>
        </w:tc>
        <w:tc>
          <w:tcPr>
            <w:tcW w:w="1133" w:type="dxa"/>
            <w:vAlign w:val="center"/>
          </w:tcPr>
          <w:p>
            <w:pPr>
              <w:spacing w:before="40" w:after="40"/>
              <w:jc w:val="center"/>
            </w:pPr>
            <w:r>
              <w:t xml:space="preserve">289,3</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0,03567</w:t>
            </w:r>
          </w:p>
        </w:tc>
        <w:tc>
          <w:tcPr>
            <w:tcW w:w="1133" w:type="dxa"/>
            <w:vAlign w:val="center"/>
          </w:tcPr>
          <w:p>
            <w:pPr>
              <w:spacing w:before="40" w:after="40"/>
              <w:jc w:val="center"/>
            </w:pPr>
            <w:r>
              <w:t xml:space="preserve">0,03224</w:t>
            </w:r>
          </w:p>
        </w:tc>
        <w:tc>
          <w:tcPr>
            <w:tcW w:w="1133" w:type="dxa"/>
            <w:vAlign w:val="center"/>
          </w:tcPr>
          <w:p>
            <w:pPr>
              <w:spacing w:before="40" w:after="40"/>
              <w:jc w:val="center"/>
            </w:pPr>
            <w:r>
              <w:t xml:space="preserve">178,7</w:t>
            </w:r>
          </w:p>
        </w:tc>
      </w:tr>
      <w:tr>
        <w:tc>
          <w:tcPr>
            <w:tcW w:w="1133" w:type="dxa"/>
            <w:vAlign w:val="center"/>
          </w:tcPr>
          <w:p>
            <w:pPr>
              <w:spacing w:before="40" w:after="40"/>
              <w:jc w:val="center"/>
            </w:pPr>
            <w:r>
              <w:t xml:space="preserve">7</w:t>
            </w:r>
          </w:p>
        </w:tc>
        <w:tc>
          <w:tcPr>
            <w:tcW w:w="1133" w:type="dxa"/>
            <w:vAlign w:val="center"/>
          </w:tcPr>
          <w:p>
            <w:pPr>
              <w:spacing w:before="40" w:after="40"/>
              <w:jc w:val="center"/>
            </w:pPr>
            <w:r>
              <w:t xml:space="preserve">0,9709</w:t>
            </w:r>
          </w:p>
        </w:tc>
        <w:tc>
          <w:tcPr>
            <w:tcW w:w="1133" w:type="dxa"/>
            <w:vAlign w:val="center"/>
          </w:tcPr>
          <w:p>
            <w:pPr>
              <w:spacing w:before="40" w:after="40"/>
              <w:jc w:val="center"/>
            </w:pPr>
            <w:r>
              <w:t xml:space="preserve">1,0244</w:t>
            </w:r>
          </w:p>
        </w:tc>
        <w:tc>
          <w:tcPr>
            <w:tcW w:w="1133" w:type="dxa"/>
            <w:vAlign w:val="center"/>
          </w:tcPr>
          <w:p>
            <w:pPr>
              <w:spacing w:before="40" w:after="40"/>
              <w:jc w:val="center"/>
            </w:pPr>
            <w:r>
              <w:t xml:space="preserve">6,9</w:t>
            </w:r>
          </w:p>
        </w:tc>
        <w:tc>
          <w:tcPr>
            <w:tcW w:w="1133" w:type="dxa"/>
            <w:vAlign w:val="center"/>
          </w:tcPr>
          <w:p>
            <w:pPr>
              <w:spacing w:before="40" w:after="40"/>
              <w:jc w:val="center"/>
            </w:pPr>
            <w:r>
              <w:t xml:space="preserve">sí</w:t>
            </w:r>
          </w:p>
        </w:tc>
        <w:tc>
          <w:tcPr>
            <w:tcW w:w="1133" w:type="dxa"/>
            <w:vAlign w:val="center"/>
          </w:tcPr>
          <w:p>
            <w:pPr>
              <w:spacing w:before="40" w:after="40"/>
              <w:jc w:val="center"/>
            </w:pPr>
            <w:r>
              <w:t xml:space="preserve">0,04804</w:t>
            </w:r>
          </w:p>
        </w:tc>
        <w:tc>
          <w:tcPr>
            <w:tcW w:w="1133" w:type="dxa"/>
            <w:vAlign w:val="center"/>
          </w:tcPr>
          <w:p>
            <w:pPr>
              <w:spacing w:before="40" w:after="40"/>
              <w:jc w:val="center"/>
            </w:pPr>
            <w:r>
              <w:t xml:space="preserve">0,04245</w:t>
            </w:r>
          </w:p>
        </w:tc>
        <w:tc>
          <w:tcPr>
            <w:tcW w:w="1133" w:type="dxa"/>
            <w:vAlign w:val="center"/>
          </w:tcPr>
          <w:p>
            <w:pPr>
              <w:spacing w:before="40" w:after="40"/>
              <w:jc w:val="center"/>
            </w:pPr>
            <w:r>
              <w:t xml:space="preserve">96,4</w:t>
            </w:r>
          </w:p>
        </w:tc>
      </w:tr>
      <w:tr>
        <w:tc>
          <w:tcPr>
            <w:tcW w:w="1133" w:type="dxa"/>
            <w:vAlign w:val="center"/>
          </w:tcPr>
          <w:p>
            <w:pPr>
              <w:spacing w:before="40" w:after="40"/>
              <w:jc w:val="center"/>
            </w:pPr>
            <w:r>
              <w:t xml:space="preserve">8</w:t>
            </w:r>
          </w:p>
        </w:tc>
        <w:tc>
          <w:tcPr>
            <w:tcW w:w="1133" w:type="dxa"/>
            <w:vAlign w:val="center"/>
          </w:tcPr>
          <w:p>
            <w:pPr>
              <w:spacing w:before="40" w:after="40"/>
              <w:jc w:val="center"/>
            </w:pPr>
            <w:r>
              <w:t xml:space="preserve">1,0380</w:t>
            </w:r>
          </w:p>
        </w:tc>
        <w:tc>
          <w:tcPr>
            <w:tcW w:w="1133" w:type="dxa"/>
            <w:vAlign w:val="center"/>
          </w:tcPr>
          <w:p>
            <w:pPr>
              <w:spacing w:before="40" w:after="40"/>
              <w:jc w:val="center"/>
            </w:pPr>
            <w:r>
              <w:t xml:space="preserve">1,0709</w:t>
            </w:r>
          </w:p>
        </w:tc>
        <w:tc>
          <w:tcPr>
            <w:tcW w:w="1133" w:type="dxa"/>
            <w:vAlign w:val="center"/>
          </w:tcPr>
          <w:p>
            <w:pPr>
              <w:spacing w:before="40" w:after="40"/>
              <w:jc w:val="center"/>
            </w:pPr>
            <w:r>
              <w:t xml:space="preserve">16,5</w:t>
            </w:r>
          </w:p>
        </w:tc>
        <w:tc>
          <w:tcPr>
            <w:tcW w:w="1133" w:type="dxa"/>
            <w:vAlign w:val="center"/>
          </w:tcPr>
          <w:p>
            <w:pPr>
              <w:spacing w:before="40" w:after="40"/>
              <w:jc w:val="center"/>
            </w:pPr>
            <w:r>
              <w:t xml:space="preserve">no</w:t>
            </w:r>
          </w:p>
        </w:tc>
        <w:tc>
          <w:tcPr>
            <w:tcW w:w="1133" w:type="dxa"/>
            <w:vAlign w:val="center"/>
          </w:tcPr>
          <w:p>
            <w:pPr>
              <w:spacing w:before="40" w:after="40"/>
              <w:jc w:val="center"/>
            </w:pPr>
            <w:r>
              <w:t xml:space="preserve">0,06167</w:t>
            </w:r>
          </w:p>
        </w:tc>
        <w:tc>
          <w:tcPr>
            <w:tcW w:w="1133" w:type="dxa"/>
            <w:vAlign w:val="center"/>
          </w:tcPr>
          <w:p>
            <w:pPr>
              <w:spacing w:before="40" w:after="40"/>
              <w:jc w:val="center"/>
            </w:pPr>
            <w:r>
              <w:t xml:space="preserve">0,05187</w:t>
            </w:r>
          </w:p>
        </w:tc>
        <w:tc>
          <w:tcPr>
            <w:tcW w:w="1133" w:type="dxa"/>
            <w:vAlign w:val="center"/>
          </w:tcPr>
          <w:p>
            <w:pPr>
              <w:spacing w:before="40" w:after="40"/>
              <w:jc w:val="center"/>
            </w:pPr>
            <w:r>
              <w:t xml:space="preserve">21,3</w:t>
            </w:r>
          </w:p>
        </w:tc>
      </w:tr>
    </w:tbl>
    <w:p>
      <w:pPr>
        <w:pStyle w:val="Taula"/>
      </w:pPr>
      <w:r>
        <w:t xml:space="preserve">Tabla 4.14</w:t>
      </w:r>
      <w:r>
        <w:t xml:space="preserve">: Convergencia de malla del perfil obtenido en el barrido completo de incidencias.</w:t>
      </w:r>
    </w:p>
    <w:p>
      <w:r>
        <w:t xml:space="preserve">De sus veintisiete casos el orden aparente resulta utilizable en cinco, frente a cuatro del perfil de referencia. Sobre los 54 casos del estudio completo el orden es utilizable en 9 y la serie es monótona en 47. La distribución de los fallos reproduce la del perfil de referencia: se concentran en la resistencia y en los ángulos en que la burbuja de separación laminar cambia de posición con la resolución, con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6</m:t>
        </m:r>
      </m:oMath>
      <w:r>
        <w:t xml:space="preserve"> como caso extremo, donde el orden aparente sale prácticamente nulo y el índice de convergencia se dispara por encima del 100 %.</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4.6: insertar resultados_finales/richardson/figuras/convergencia_ganador_ag.png]</w:t>
      </w:r>
    </w:p>
    <w:p>
      <w:pPr>
        <w:pStyle w:val="Figura"/>
      </w:pPr>
      <w:r>
        <w:t xml:space="preserve">Figura 4.6</w:t>
      </w:r>
      <w:r>
        <w:t xml:space="preserve">: Convergencia de </w:t>
      </w:r>
      <m:oMath>
        <m:sSub>
          <m:e>
            <m:r>
              <w:rPr>
                <w:rFonts w:ascii="Cambria Math" w:hAnsi="Cambria Math"/>
              </w:rPr>
              <m:t xml:space="preserve">C</m:t>
            </m:r>
          </m:e>
          <m:sub>
            <m:r>
              <w:rPr>
                <w:rFonts w:ascii="Cambria Math" w:hAnsi="Cambria Math"/>
              </w:rPr>
              <m:t xml:space="preserve">L</m:t>
            </m:r>
          </m:sub>
        </m:sSub>
      </m:oMath>
      <w:r>
        <w:t xml:space="preserve">, </w:t>
      </w:r>
      <m:oMath>
        <m:sSub>
          <m:e>
            <m:r>
              <w:rPr>
                <w:rFonts w:ascii="Cambria Math" w:hAnsi="Cambria Math"/>
              </w:rPr>
              <m:t xml:space="preserve">C</m:t>
            </m:r>
          </m:e>
          <m:sub>
            <m:r>
              <w:rPr>
                <w:rFonts w:ascii="Cambria Math" w:hAnsi="Cambria Math"/>
              </w:rPr>
              <m:t xml:space="preserve">D</m:t>
            </m:r>
          </m:sub>
        </m:sSub>
      </m:oMath>
      <w:r>
        <w:t xml:space="preserve"> y eficiencia frente al paso de malla para el perfil obtenido, una curva por ángulo, con el valor extrapolado marcado en el origen.</w:t>
      </w:r>
    </w:p>
    <w:p>
      <w:pPr>
        <w:pStyle w:val="Ttulo3"/>
        <w:numPr>
          <w:ilvl w:val="0"/>
          <w:numId w:val="0"/>
        </w:numPr>
        <w:ind w:left="431" w:hanging="431"/>
      </w:pPr>
      <w:r>
        <w:t xml:space="preserve">4.3.3 Polares comparadas</w:t>
      </w:r>
    </w:p>
    <w:p>
      <w:r>
        <w:t xml:space="preserve">La comparación entre los dos perfiles sobre la malla fina, que es la medida directa, es la siguiente.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m:oMath>
              <m:r>
                <w:rPr>
                  <w:rFonts w:ascii="Cambria Math" w:hAnsi="Cambria Math"/>
                </w:rPr>
                <m:t xml:space="preserve">α</m:t>
              </m:r>
            </m:oMath>
            <w:r>
              <w:rPr>
                <w:b/>
              </w:rPr>
              <w:t xml:space="preserve"> [°]</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obt.</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obt.</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obt.</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NACA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NACA</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NACA</w:t>
            </w:r>
          </w:p>
        </w:tc>
      </w:tr>
      <w:tr>
        <w:tc>
          <w:tcPr>
            <w:tcW w:w="1295" w:type="dxa"/>
            <w:vAlign w:val="center"/>
          </w:tcPr>
          <w:p>
            <w:pPr>
              <w:spacing w:before="40" w:after="40"/>
              <w:jc w:val="center"/>
            </w:pPr>
            <w:r>
              <w:t xml:space="preserve">0</w:t>
            </w:r>
          </w:p>
        </w:tc>
        <w:tc>
          <w:tcPr>
            <w:tcW w:w="1295" w:type="dxa"/>
            <w:vAlign w:val="center"/>
          </w:tcPr>
          <w:p>
            <w:pPr>
              <w:spacing w:before="40" w:after="40"/>
              <w:jc w:val="center"/>
            </w:pPr>
            <w:r>
              <w:t xml:space="preserve">0,1405</w:t>
            </w:r>
          </w:p>
        </w:tc>
        <w:tc>
          <w:tcPr>
            <w:tcW w:w="1295" w:type="dxa"/>
            <w:vAlign w:val="center"/>
          </w:tcPr>
          <w:p>
            <w:pPr>
              <w:spacing w:before="40" w:after="40"/>
              <w:jc w:val="center"/>
            </w:pPr>
            <w:r>
              <w:t xml:space="preserve">0,03679</w:t>
            </w:r>
          </w:p>
        </w:tc>
        <w:tc>
          <w:tcPr>
            <w:tcW w:w="1295" w:type="dxa"/>
            <w:vAlign w:val="center"/>
          </w:tcPr>
          <w:p>
            <w:pPr>
              <w:spacing w:before="40" w:after="40"/>
              <w:jc w:val="center"/>
            </w:pPr>
            <w:r>
              <w:t xml:space="preserve">3,82</w:t>
            </w:r>
          </w:p>
        </w:tc>
        <w:tc>
          <w:tcPr>
            <w:tcW w:w="1295" w:type="dxa"/>
            <w:vAlign w:val="center"/>
          </w:tcPr>
          <w:p>
            <w:pPr>
              <w:spacing w:before="40" w:after="40"/>
              <w:jc w:val="center"/>
            </w:pPr>
            <w:r>
              <w:t xml:space="preserve">-0,0015</w:t>
            </w:r>
          </w:p>
        </w:tc>
        <w:tc>
          <w:tcPr>
            <w:tcW w:w="1295" w:type="dxa"/>
            <w:vAlign w:val="center"/>
          </w:tcPr>
          <w:p>
            <w:pPr>
              <w:spacing w:before="40" w:after="40"/>
              <w:jc w:val="center"/>
            </w:pPr>
            <w:r>
              <w:t xml:space="preserve">0,01434</w:t>
            </w:r>
          </w:p>
        </w:tc>
        <w:tc>
          <w:tcPr>
            <w:tcW w:w="1295" w:type="dxa"/>
            <w:vAlign w:val="center"/>
          </w:tcPr>
          <w:p>
            <w:pPr>
              <w:spacing w:before="40" w:after="40"/>
              <w:jc w:val="center"/>
            </w:pPr>
            <w:r>
              <w:t xml:space="preserve">-0,10</w:t>
            </w:r>
          </w:p>
        </w:tc>
      </w:tr>
      <w:tr>
        <w:tc>
          <w:tcPr>
            <w:tcW w:w="1295" w:type="dxa"/>
            <w:vAlign w:val="center"/>
          </w:tcPr>
          <w:p>
            <w:pPr>
              <w:spacing w:before="40" w:after="40"/>
              <w:jc w:val="center"/>
            </w:pPr>
            <w:r>
              <w:t xml:space="preserve">1</w:t>
            </w:r>
          </w:p>
        </w:tc>
        <w:tc>
          <w:tcPr>
            <w:tcW w:w="1295" w:type="dxa"/>
            <w:vAlign w:val="center"/>
          </w:tcPr>
          <w:p>
            <w:pPr>
              <w:spacing w:before="40" w:after="40"/>
              <w:jc w:val="center"/>
            </w:pPr>
            <w:r>
              <w:t xml:space="preserve">0,3216</w:t>
            </w:r>
          </w:p>
        </w:tc>
        <w:tc>
          <w:tcPr>
            <w:tcW w:w="1295" w:type="dxa"/>
            <w:vAlign w:val="center"/>
          </w:tcPr>
          <w:p>
            <w:pPr>
              <w:spacing w:before="40" w:after="40"/>
              <w:jc w:val="center"/>
            </w:pPr>
            <w:r>
              <w:t xml:space="preserve">0,02797</w:t>
            </w:r>
          </w:p>
        </w:tc>
        <w:tc>
          <w:tcPr>
            <w:tcW w:w="1295" w:type="dxa"/>
            <w:vAlign w:val="center"/>
          </w:tcPr>
          <w:p>
            <w:pPr>
              <w:spacing w:before="40" w:after="40"/>
              <w:jc w:val="center"/>
            </w:pPr>
            <w:r>
              <w:t xml:space="preserve">11,50</w:t>
            </w:r>
          </w:p>
        </w:tc>
        <w:tc>
          <w:tcPr>
            <w:tcW w:w="1295" w:type="dxa"/>
            <w:vAlign w:val="center"/>
          </w:tcPr>
          <w:p>
            <w:pPr>
              <w:spacing w:before="40" w:after="40"/>
              <w:jc w:val="center"/>
            </w:pPr>
            <w:r>
              <w:t xml:space="preserve">0,0970</w:t>
            </w:r>
          </w:p>
        </w:tc>
        <w:tc>
          <w:tcPr>
            <w:tcW w:w="1295" w:type="dxa"/>
            <w:vAlign w:val="center"/>
          </w:tcPr>
          <w:p>
            <w:pPr>
              <w:spacing w:before="40" w:after="40"/>
              <w:jc w:val="center"/>
            </w:pPr>
            <w:r>
              <w:t xml:space="preserve">0,01589</w:t>
            </w:r>
          </w:p>
        </w:tc>
        <w:tc>
          <w:tcPr>
            <w:tcW w:w="1295" w:type="dxa"/>
            <w:vAlign w:val="center"/>
          </w:tcPr>
          <w:p>
            <w:pPr>
              <w:spacing w:before="40" w:after="40"/>
              <w:jc w:val="center"/>
            </w:pPr>
            <w:r>
              <w:t xml:space="preserve">6,11</w:t>
            </w:r>
          </w:p>
        </w:tc>
      </w:tr>
      <w:tr>
        <w:tc>
          <w:tcPr>
            <w:tcW w:w="1295" w:type="dxa"/>
            <w:vAlign w:val="center"/>
          </w:tcPr>
          <w:p>
            <w:pPr>
              <w:spacing w:before="40" w:after="40"/>
              <w:jc w:val="center"/>
            </w:pPr>
            <w:r>
              <w:t xml:space="preserve">2</w:t>
            </w:r>
          </w:p>
        </w:tc>
        <w:tc>
          <w:tcPr>
            <w:tcW w:w="1295" w:type="dxa"/>
            <w:vAlign w:val="center"/>
          </w:tcPr>
          <w:p>
            <w:pPr>
              <w:spacing w:before="40" w:after="40"/>
              <w:jc w:val="center"/>
            </w:pPr>
            <w:r>
              <w:t xml:space="preserve">0,4573</w:t>
            </w:r>
          </w:p>
        </w:tc>
        <w:tc>
          <w:tcPr>
            <w:tcW w:w="1295" w:type="dxa"/>
            <w:vAlign w:val="center"/>
          </w:tcPr>
          <w:p>
            <w:pPr>
              <w:spacing w:before="40" w:after="40"/>
              <w:jc w:val="center"/>
            </w:pPr>
            <w:r>
              <w:t xml:space="preserve">0,02117</w:t>
            </w:r>
          </w:p>
        </w:tc>
        <w:tc>
          <w:tcPr>
            <w:tcW w:w="1295" w:type="dxa"/>
            <w:vAlign w:val="center"/>
          </w:tcPr>
          <w:p>
            <w:pPr>
              <w:spacing w:before="40" w:after="40"/>
              <w:jc w:val="center"/>
            </w:pPr>
            <w:r>
              <w:t xml:space="preserve">21,60</w:t>
            </w:r>
          </w:p>
        </w:tc>
        <w:tc>
          <w:tcPr>
            <w:tcW w:w="1295" w:type="dxa"/>
            <w:vAlign w:val="center"/>
          </w:tcPr>
          <w:p>
            <w:pPr>
              <w:spacing w:before="40" w:after="40"/>
              <w:jc w:val="center"/>
            </w:pPr>
            <w:r>
              <w:t xml:space="preserve">0,2075</w:t>
            </w:r>
          </w:p>
        </w:tc>
        <w:tc>
          <w:tcPr>
            <w:tcW w:w="1295" w:type="dxa"/>
            <w:vAlign w:val="center"/>
          </w:tcPr>
          <w:p>
            <w:pPr>
              <w:spacing w:before="40" w:after="40"/>
              <w:jc w:val="center"/>
            </w:pPr>
            <w:r>
              <w:t xml:space="preserve">0,01728</w:t>
            </w:r>
          </w:p>
        </w:tc>
        <w:tc>
          <w:tcPr>
            <w:tcW w:w="1295" w:type="dxa"/>
            <w:vAlign w:val="center"/>
          </w:tcPr>
          <w:p>
            <w:pPr>
              <w:spacing w:before="40" w:after="40"/>
              <w:jc w:val="center"/>
            </w:pPr>
            <w:r>
              <w:t xml:space="preserve">12,01</w:t>
            </w:r>
          </w:p>
        </w:tc>
      </w:tr>
      <w:tr>
        <w:tc>
          <w:tcPr>
            <w:tcW w:w="1295" w:type="dxa"/>
            <w:vAlign w:val="center"/>
          </w:tcPr>
          <w:p>
            <w:pPr>
              <w:spacing w:before="40" w:after="40"/>
              <w:jc w:val="center"/>
            </w:pPr>
            <w:r>
              <w:t xml:space="preserve">3</w:t>
            </w:r>
          </w:p>
        </w:tc>
        <w:tc>
          <w:tcPr>
            <w:tcW w:w="1295" w:type="dxa"/>
            <w:vAlign w:val="center"/>
          </w:tcPr>
          <w:p>
            <w:pPr>
              <w:spacing w:before="40" w:after="40"/>
              <w:jc w:val="center"/>
            </w:pPr>
            <w:r>
              <w:t xml:space="preserve">0,6135</w:t>
            </w:r>
          </w:p>
        </w:tc>
        <w:tc>
          <w:tcPr>
            <w:tcW w:w="1295" w:type="dxa"/>
            <w:vAlign w:val="center"/>
          </w:tcPr>
          <w:p>
            <w:pPr>
              <w:spacing w:before="40" w:after="40"/>
              <w:jc w:val="center"/>
            </w:pPr>
            <w:r>
              <w:t xml:space="preserve">0,01517</w:t>
            </w:r>
          </w:p>
        </w:tc>
        <w:tc>
          <w:tcPr>
            <w:tcW w:w="1295" w:type="dxa"/>
            <w:vAlign w:val="center"/>
          </w:tcPr>
          <w:p>
            <w:pPr>
              <w:spacing w:before="40" w:after="40"/>
              <w:jc w:val="center"/>
            </w:pPr>
            <w:r>
              <w:t xml:space="preserve">40,44</w:t>
            </w:r>
          </w:p>
        </w:tc>
        <w:tc>
          <w:tcPr>
            <w:tcW w:w="1295" w:type="dxa"/>
            <w:vAlign w:val="center"/>
          </w:tcPr>
          <w:p>
            <w:pPr>
              <w:spacing w:before="40" w:after="40"/>
              <w:jc w:val="center"/>
            </w:pPr>
            <w:r>
              <w:t xml:space="preserve">0,3660</w:t>
            </w:r>
          </w:p>
        </w:tc>
        <w:tc>
          <w:tcPr>
            <w:tcW w:w="1295" w:type="dxa"/>
            <w:vAlign w:val="center"/>
          </w:tcPr>
          <w:p>
            <w:pPr>
              <w:spacing w:before="40" w:after="40"/>
              <w:jc w:val="center"/>
            </w:pPr>
            <w:r>
              <w:t xml:space="preserve">0,02107</w:t>
            </w:r>
          </w:p>
        </w:tc>
        <w:tc>
          <w:tcPr>
            <w:tcW w:w="1295" w:type="dxa"/>
            <w:vAlign w:val="center"/>
          </w:tcPr>
          <w:p>
            <w:pPr>
              <w:spacing w:before="40" w:after="40"/>
              <w:jc w:val="center"/>
            </w:pPr>
            <w:r>
              <w:t xml:space="preserve">17,37</w:t>
            </w:r>
          </w:p>
        </w:tc>
      </w:tr>
      <w:tr>
        <w:tc>
          <w:tcPr>
            <w:tcW w:w="1295" w:type="dxa"/>
            <w:vAlign w:val="center"/>
          </w:tcPr>
          <w:p>
            <w:pPr>
              <w:spacing w:before="40" w:after="40"/>
              <w:jc w:val="center"/>
            </w:pPr>
            <w:r>
              <w:t xml:space="preserve">4</w:t>
            </w:r>
          </w:p>
        </w:tc>
        <w:tc>
          <w:tcPr>
            <w:tcW w:w="1295" w:type="dxa"/>
            <w:vAlign w:val="center"/>
          </w:tcPr>
          <w:p>
            <w:pPr>
              <w:spacing w:before="40" w:after="40"/>
              <w:jc w:val="center"/>
            </w:pPr>
            <w:r>
              <w:t xml:space="preserve">0,6965</w:t>
            </w:r>
          </w:p>
        </w:tc>
        <w:tc>
          <w:tcPr>
            <w:tcW w:w="1295" w:type="dxa"/>
            <w:vAlign w:val="center"/>
          </w:tcPr>
          <w:p>
            <w:pPr>
              <w:spacing w:before="40" w:after="40"/>
              <w:jc w:val="center"/>
            </w:pPr>
            <w:r>
              <w:t xml:space="preserve">0,01692</w:t>
            </w:r>
          </w:p>
        </w:tc>
        <w:tc>
          <w:tcPr>
            <w:tcW w:w="1295" w:type="dxa"/>
            <w:vAlign w:val="center"/>
          </w:tcPr>
          <w:p>
            <w:pPr>
              <w:spacing w:before="40" w:after="40"/>
              <w:jc w:val="center"/>
            </w:pPr>
            <w:r>
              <w:t xml:space="preserve">41,15</w:t>
            </w:r>
          </w:p>
        </w:tc>
        <w:tc>
          <w:tcPr>
            <w:tcW w:w="1295" w:type="dxa"/>
            <w:vAlign w:val="center"/>
          </w:tcPr>
          <w:p>
            <w:pPr>
              <w:spacing w:before="40" w:after="40"/>
              <w:jc w:val="center"/>
            </w:pPr>
            <w:r>
              <w:t xml:space="preserve">0,4978</w:t>
            </w:r>
          </w:p>
        </w:tc>
        <w:tc>
          <w:tcPr>
            <w:tcW w:w="1295" w:type="dxa"/>
            <w:vAlign w:val="center"/>
          </w:tcPr>
          <w:p>
            <w:pPr>
              <w:spacing w:before="40" w:after="40"/>
              <w:jc w:val="center"/>
            </w:pPr>
            <w:r>
              <w:t xml:space="preserve">0,02746</w:t>
            </w:r>
          </w:p>
        </w:tc>
        <w:tc>
          <w:tcPr>
            <w:tcW w:w="1295" w:type="dxa"/>
            <w:vAlign w:val="center"/>
          </w:tcPr>
          <w:p>
            <w:pPr>
              <w:spacing w:before="40" w:after="40"/>
              <w:jc w:val="center"/>
            </w:pPr>
            <w:r>
              <w:t xml:space="preserve">18,13</w:t>
            </w:r>
          </w:p>
        </w:tc>
      </w:tr>
      <w:tr>
        <w:tc>
          <w:tcPr>
            <w:tcW w:w="1295" w:type="dxa"/>
            <w:vAlign w:val="center"/>
          </w:tcPr>
          <w:p>
            <w:pPr>
              <w:spacing w:before="40" w:after="40"/>
              <w:jc w:val="center"/>
            </w:pPr>
            <w:r>
              <w:t xml:space="preserve">5</w:t>
            </w:r>
          </w:p>
        </w:tc>
        <w:tc>
          <w:tcPr>
            <w:tcW w:w="1295" w:type="dxa"/>
            <w:vAlign w:val="center"/>
          </w:tcPr>
          <w:p>
            <w:pPr>
              <w:spacing w:before="40" w:after="40"/>
              <w:jc w:val="center"/>
            </w:pPr>
            <w:r>
              <w:t xml:space="preserve">0,8152</w:t>
            </w:r>
          </w:p>
        </w:tc>
        <w:tc>
          <w:tcPr>
            <w:tcW w:w="1295" w:type="dxa"/>
            <w:vAlign w:val="center"/>
          </w:tcPr>
          <w:p>
            <w:pPr>
              <w:spacing w:before="40" w:after="40"/>
              <w:jc w:val="center"/>
            </w:pPr>
            <w:r>
              <w:t xml:space="preserve">0,02333</w:t>
            </w:r>
          </w:p>
        </w:tc>
        <w:tc>
          <w:tcPr>
            <w:tcW w:w="1295" w:type="dxa"/>
            <w:vAlign w:val="center"/>
          </w:tcPr>
          <w:p>
            <w:pPr>
              <w:spacing w:before="40" w:after="40"/>
              <w:jc w:val="center"/>
            </w:pPr>
            <w:r>
              <w:t xml:space="preserve">34,94</w:t>
            </w:r>
          </w:p>
        </w:tc>
        <w:tc>
          <w:tcPr>
            <w:tcW w:w="1295" w:type="dxa"/>
            <w:vAlign w:val="center"/>
          </w:tcPr>
          <w:p>
            <w:pPr>
              <w:spacing w:before="40" w:after="40"/>
              <w:jc w:val="center"/>
            </w:pPr>
            <w:r>
              <w:t xml:space="preserve">0,5616</w:t>
            </w:r>
          </w:p>
        </w:tc>
        <w:tc>
          <w:tcPr>
            <w:tcW w:w="1295" w:type="dxa"/>
            <w:vAlign w:val="center"/>
          </w:tcPr>
          <w:p>
            <w:pPr>
              <w:spacing w:before="40" w:after="40"/>
              <w:jc w:val="center"/>
            </w:pPr>
            <w:r>
              <w:t xml:space="preserve">0,03222</w:t>
            </w:r>
          </w:p>
        </w:tc>
        <w:tc>
          <w:tcPr>
            <w:tcW w:w="1295" w:type="dxa"/>
            <w:vAlign w:val="center"/>
          </w:tcPr>
          <w:p>
            <w:pPr>
              <w:spacing w:before="40" w:after="40"/>
              <w:jc w:val="center"/>
            </w:pPr>
            <w:r>
              <w:t xml:space="preserve">17,43</w:t>
            </w:r>
          </w:p>
        </w:tc>
      </w:tr>
      <w:tr>
        <w:tc>
          <w:tcPr>
            <w:tcW w:w="1295" w:type="dxa"/>
            <w:vAlign w:val="center"/>
          </w:tcPr>
          <w:p>
            <w:pPr>
              <w:spacing w:before="40" w:after="40"/>
              <w:jc w:val="center"/>
            </w:pPr>
            <w:r>
              <w:t xml:space="preserve">6</w:t>
            </w:r>
          </w:p>
        </w:tc>
        <w:tc>
          <w:tcPr>
            <w:tcW w:w="1295" w:type="dxa"/>
            <w:vAlign w:val="center"/>
          </w:tcPr>
          <w:p>
            <w:pPr>
              <w:spacing w:before="40" w:after="40"/>
              <w:jc w:val="center"/>
            </w:pPr>
            <w:r>
              <w:t xml:space="preserve">0,8787</w:t>
            </w:r>
          </w:p>
        </w:tc>
        <w:tc>
          <w:tcPr>
            <w:tcW w:w="1295" w:type="dxa"/>
            <w:vAlign w:val="center"/>
          </w:tcPr>
          <w:p>
            <w:pPr>
              <w:spacing w:before="40" w:after="40"/>
              <w:jc w:val="center"/>
            </w:pPr>
            <w:r>
              <w:t xml:space="preserve">0,03567</w:t>
            </w:r>
          </w:p>
        </w:tc>
        <w:tc>
          <w:tcPr>
            <w:tcW w:w="1295" w:type="dxa"/>
            <w:vAlign w:val="center"/>
          </w:tcPr>
          <w:p>
            <w:pPr>
              <w:spacing w:before="40" w:after="40"/>
              <w:jc w:val="center"/>
            </w:pPr>
            <w:r>
              <w:t xml:space="preserve">24,63</w:t>
            </w:r>
          </w:p>
        </w:tc>
        <w:tc>
          <w:tcPr>
            <w:tcW w:w="1295" w:type="dxa"/>
            <w:vAlign w:val="center"/>
          </w:tcPr>
          <w:p>
            <w:pPr>
              <w:spacing w:before="40" w:after="40"/>
              <w:jc w:val="center"/>
            </w:pPr>
            <w:r>
              <w:t xml:space="preserve">0,6087</w:t>
            </w:r>
          </w:p>
        </w:tc>
        <w:tc>
          <w:tcPr>
            <w:tcW w:w="1295" w:type="dxa"/>
            <w:vAlign w:val="center"/>
          </w:tcPr>
          <w:p>
            <w:pPr>
              <w:spacing w:before="40" w:after="40"/>
              <w:jc w:val="center"/>
            </w:pPr>
            <w:r>
              <w:t xml:space="preserve">0,03987</w:t>
            </w:r>
          </w:p>
        </w:tc>
        <w:tc>
          <w:tcPr>
            <w:tcW w:w="1295" w:type="dxa"/>
            <w:vAlign w:val="center"/>
          </w:tcPr>
          <w:p>
            <w:pPr>
              <w:spacing w:before="40" w:after="40"/>
              <w:jc w:val="center"/>
            </w:pPr>
            <w:r>
              <w:t xml:space="preserve">15,27</w:t>
            </w:r>
          </w:p>
        </w:tc>
      </w:tr>
      <w:tr>
        <w:tc>
          <w:tcPr>
            <w:tcW w:w="1295" w:type="dxa"/>
            <w:vAlign w:val="center"/>
          </w:tcPr>
          <w:p>
            <w:pPr>
              <w:spacing w:before="40" w:after="40"/>
              <w:jc w:val="center"/>
            </w:pPr>
            <w:r>
              <w:t xml:space="preserve">7</w:t>
            </w:r>
          </w:p>
        </w:tc>
        <w:tc>
          <w:tcPr>
            <w:tcW w:w="1295" w:type="dxa"/>
            <w:vAlign w:val="center"/>
          </w:tcPr>
          <w:p>
            <w:pPr>
              <w:spacing w:before="40" w:after="40"/>
              <w:jc w:val="center"/>
            </w:pPr>
            <w:r>
              <w:t xml:space="preserve">0,9709</w:t>
            </w:r>
          </w:p>
        </w:tc>
        <w:tc>
          <w:tcPr>
            <w:tcW w:w="1295" w:type="dxa"/>
            <w:vAlign w:val="center"/>
          </w:tcPr>
          <w:p>
            <w:pPr>
              <w:spacing w:before="40" w:after="40"/>
              <w:jc w:val="center"/>
            </w:pPr>
            <w:r>
              <w:t xml:space="preserve">0,04804</w:t>
            </w:r>
          </w:p>
        </w:tc>
        <w:tc>
          <w:tcPr>
            <w:tcW w:w="1295" w:type="dxa"/>
            <w:vAlign w:val="center"/>
          </w:tcPr>
          <w:p>
            <w:pPr>
              <w:spacing w:before="40" w:after="40"/>
              <w:jc w:val="center"/>
            </w:pPr>
            <w:r>
              <w:t xml:space="preserve">20,21</w:t>
            </w:r>
          </w:p>
        </w:tc>
        <w:tc>
          <w:tcPr>
            <w:tcW w:w="1295" w:type="dxa"/>
            <w:vAlign w:val="center"/>
          </w:tcPr>
          <w:p>
            <w:pPr>
              <w:spacing w:before="40" w:after="40"/>
              <w:jc w:val="center"/>
            </w:pPr>
            <w:r>
              <w:t xml:space="preserve">0,6520</w:t>
            </w:r>
          </w:p>
        </w:tc>
        <w:tc>
          <w:tcPr>
            <w:tcW w:w="1295" w:type="dxa"/>
            <w:vAlign w:val="center"/>
          </w:tcPr>
          <w:p>
            <w:pPr>
              <w:spacing w:before="40" w:after="40"/>
              <w:jc w:val="center"/>
            </w:pPr>
            <w:r>
              <w:t xml:space="preserve">0,05185</w:t>
            </w:r>
          </w:p>
        </w:tc>
        <w:tc>
          <w:tcPr>
            <w:tcW w:w="1295" w:type="dxa"/>
            <w:vAlign w:val="center"/>
          </w:tcPr>
          <w:p>
            <w:pPr>
              <w:spacing w:before="40" w:after="40"/>
              <w:jc w:val="center"/>
            </w:pPr>
            <w:r>
              <w:t xml:space="preserve">12,57</w:t>
            </w:r>
          </w:p>
        </w:tc>
      </w:tr>
      <w:tr>
        <w:tc>
          <w:tcPr>
            <w:tcW w:w="1295" w:type="dxa"/>
            <w:vAlign w:val="center"/>
          </w:tcPr>
          <w:p>
            <w:pPr>
              <w:spacing w:before="40" w:after="40"/>
              <w:jc w:val="center"/>
            </w:pPr>
            <w:r>
              <w:t xml:space="preserve">8</w:t>
            </w:r>
          </w:p>
        </w:tc>
        <w:tc>
          <w:tcPr>
            <w:tcW w:w="1295" w:type="dxa"/>
            <w:vAlign w:val="center"/>
          </w:tcPr>
          <w:p>
            <w:pPr>
              <w:spacing w:before="40" w:after="40"/>
              <w:jc w:val="center"/>
            </w:pPr>
            <w:r>
              <w:t xml:space="preserve">1,0380</w:t>
            </w:r>
          </w:p>
        </w:tc>
        <w:tc>
          <w:tcPr>
            <w:tcW w:w="1295" w:type="dxa"/>
            <w:vAlign w:val="center"/>
          </w:tcPr>
          <w:p>
            <w:pPr>
              <w:spacing w:before="40" w:after="40"/>
              <w:jc w:val="center"/>
            </w:pPr>
            <w:r>
              <w:t xml:space="preserve">0,06167</w:t>
            </w:r>
          </w:p>
        </w:tc>
        <w:tc>
          <w:tcPr>
            <w:tcW w:w="1295" w:type="dxa"/>
            <w:vAlign w:val="center"/>
          </w:tcPr>
          <w:p>
            <w:pPr>
              <w:spacing w:before="40" w:after="40"/>
              <w:jc w:val="center"/>
            </w:pPr>
            <w:r>
              <w:t xml:space="preserve">16,83</w:t>
            </w:r>
          </w:p>
        </w:tc>
        <w:tc>
          <w:tcPr>
            <w:tcW w:w="1295" w:type="dxa"/>
            <w:vAlign w:val="center"/>
          </w:tcPr>
          <w:p>
            <w:pPr>
              <w:spacing w:before="40" w:after="40"/>
              <w:jc w:val="center"/>
            </w:pPr>
            <w:r>
              <w:t xml:space="preserve">0,6732</w:t>
            </w:r>
          </w:p>
        </w:tc>
        <w:tc>
          <w:tcPr>
            <w:tcW w:w="1295" w:type="dxa"/>
            <w:vAlign w:val="center"/>
          </w:tcPr>
          <w:p>
            <w:pPr>
              <w:spacing w:before="40" w:after="40"/>
              <w:jc w:val="center"/>
            </w:pPr>
            <w:r>
              <w:t xml:space="preserve">0,07984</w:t>
            </w:r>
          </w:p>
        </w:tc>
        <w:tc>
          <w:tcPr>
            <w:tcW w:w="1295" w:type="dxa"/>
            <w:vAlign w:val="center"/>
          </w:tcPr>
          <w:p>
            <w:pPr>
              <w:spacing w:before="40" w:after="40"/>
              <w:jc w:val="center"/>
            </w:pPr>
            <w:r>
              <w:t xml:space="preserve">8,43</w:t>
            </w:r>
          </w:p>
        </w:tc>
      </w:tr>
    </w:tbl>
    <w:p>
      <w:pPr>
        <w:pStyle w:val="Taula"/>
      </w:pPr>
      <w:r>
        <w:t xml:space="preserve">Tabla 4.15</w:t>
      </w:r>
      <w:r>
        <w:t xml:space="preserve">: Polares de los dos perfiles sobre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w:t>
      </w:r>
    </w:p>
    <w:p>
      <w:r>
        <w:t xml:space="preserve">La ventaja del perfil optimizado se mantiene en los nueve ángulos. Supera al NACA 0012 en sustentación en todos ellos y en resistencia en todos salvo los tres primeros, donde su curvatura le impone una penalización que la sustentación compensa con creces.</w:t>
      </w:r>
    </w:p>
    <w:p>
      <w:r>
        <w:t xml:space="preserve">El hecho relevante para la validez del resultado es que esa ventaja se conserva también en las cuatro mallas y en la extrapolación. No depende por tanto ni de la resolución escogida ni del método de extrapolación empleado, que son las dos vías por las que un resultado de este tipo suele resultar frágil.</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4.7: insertar resultados_finales/comparativa/ganador_ag_vs_naca0012_dx0.0020.png]</w:t>
      </w:r>
    </w:p>
    <w:p>
      <w:pPr>
        <w:pStyle w:val="Figura"/>
      </w:pPr>
      <w:r>
        <w:t xml:space="preserve">Figura 4.7</w:t>
      </w:r>
      <w:r>
        <w:t xml:space="preserve">: Polares de sustentación, resistencia y eficiencia de los dos perfiles sobre la malla fina, con barras de intervalo de confianza al 95 %.</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4.8: insertar resultados_finales/comparativa/polar_resistencia.png]</w:t>
      </w:r>
    </w:p>
    <w:p>
      <w:pPr>
        <w:pStyle w:val="Figura"/>
      </w:pPr>
      <w:r>
        <w:t xml:space="preserve">Figura 4.8</w:t>
      </w:r>
      <w:r>
        <w:t xml:space="preserve">: Polar de resistencia, </w:t>
      </w:r>
      <m:oMath>
        <m:sSub>
          <m:e>
            <m:r>
              <w:rPr>
                <w:rFonts w:ascii="Cambria Math" w:hAnsi="Cambria Math"/>
              </w:rPr>
              <m:t xml:space="preserve">C</m:t>
            </m:r>
          </m:e>
          <m:sub>
            <m:r>
              <w:rPr>
                <w:rFonts w:ascii="Cambria Math" w:hAnsi="Cambria Math"/>
              </w:rPr>
              <m:t xml:space="preserve">L</m:t>
            </m:r>
          </m:sub>
        </m:sSub>
      </m:oMath>
      <w:r>
        <w:t xml:space="preserve"> frente a </w:t>
      </w:r>
      <m:oMath>
        <m:sSub>
          <m:e>
            <m:r>
              <w:rPr>
                <w:rFonts w:ascii="Cambria Math" w:hAnsi="Cambria Math"/>
              </w:rPr>
              <m:t xml:space="preserve">C</m:t>
            </m:r>
          </m:e>
          <m:sub>
            <m:r>
              <w:rPr>
                <w:rFonts w:ascii="Cambria Math" w:hAnsi="Cambria Math"/>
              </w:rPr>
              <m:t xml:space="preserve">D</m:t>
            </m:r>
          </m:sub>
        </m:sSub>
      </m:oMath>
      <w:r>
        <w:t xml:space="preserve">, de los dos perfiles con el ángulo de ataque etiquetado sobre cada punto.</w:t>
      </w:r>
    </w:p>
    <w:p>
      <w:pPr>
        <w:pStyle w:val="Ttulo3"/>
        <w:numPr>
          <w:ilvl w:val="0"/>
          <w:numId w:val="0"/>
        </w:numPr>
        <w:ind w:left="431" w:hanging="431"/>
      </w:pPr>
      <w:r>
        <w:t xml:space="preserve">4.3.4 El punto de diseño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w:r>
              <w:rPr>
                <w:b/>
              </w:rPr>
              <w:t xml:space="preserve">Perfil</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extrap.</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fina</w:t>
            </w:r>
          </w:p>
        </w:tc>
        <w:tc>
          <w:tcPr>
            <w:tcW w:w="1295"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extrap.</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fina</w:t>
            </w:r>
          </w:p>
        </w:tc>
        <w:tc>
          <w:tcPr>
            <w:tcW w:w="1295" w:type="dxa"/>
            <w:shd w:val="clear" w:color="auto" w:fill="EDEDED"/>
            <w:vAlign w:val="center"/>
          </w:tcPr>
          <w:p>
            <w:pPr>
              <w:spacing w:before="40" w:after="40"/>
              <w:jc w:val="center"/>
            </w:pPr>
            <m:oMath>
              <m:r>
                <w:rPr>
                  <w:rFonts w:ascii="Cambria Math" w:hAnsi="Cambria Math"/>
                </w:rPr>
                <m:t xml:space="preserve">L</m:t>
              </m:r>
              <m:r>
                <w:rPr>
                  <w:rFonts w:ascii="Cambria Math" w:hAnsi="Cambria Math"/>
                </w:rPr>
                <m:t xml:space="preserve">/</m:t>
              </m:r>
              <m:r>
                <w:rPr>
                  <w:rFonts w:ascii="Cambria Math" w:hAnsi="Cambria Math"/>
                </w:rPr>
                <m:t xml:space="preserve">D</m:t>
              </m:r>
            </m:oMath>
            <w:r>
              <w:rPr>
                <w:b/>
              </w:rPr>
              <w:t xml:space="preserve"> extrap.</w:t>
            </w:r>
          </w:p>
        </w:tc>
      </w:tr>
      <w:tr>
        <w:tc>
          <w:tcPr>
            <w:tcW w:w="1295" w:type="dxa"/>
            <w:vAlign w:val="center"/>
          </w:tcPr>
          <w:p>
            <w:pPr>
              <w:spacing w:before="40" w:after="40"/>
              <w:jc w:val="center"/>
            </w:pPr>
            <w:r>
              <w:t xml:space="preserve">Perfil obtenido</w:t>
            </w:r>
          </w:p>
        </w:tc>
        <w:tc>
          <w:tcPr>
            <w:tcW w:w="1295" w:type="dxa"/>
            <w:vAlign w:val="center"/>
          </w:tcPr>
          <w:p>
            <w:pPr>
              <w:spacing w:before="40" w:after="40"/>
              <w:jc w:val="center"/>
            </w:pPr>
            <w:r>
              <w:t xml:space="preserve">0,6965</w:t>
            </w:r>
          </w:p>
        </w:tc>
        <w:tc>
          <w:tcPr>
            <w:tcW w:w="1295" w:type="dxa"/>
            <w:vAlign w:val="center"/>
          </w:tcPr>
          <w:p>
            <w:pPr>
              <w:spacing w:before="40" w:after="40"/>
              <w:jc w:val="center"/>
            </w:pPr>
            <w:r>
              <w:t xml:space="preserve">0,6999</w:t>
            </w:r>
          </w:p>
        </w:tc>
        <w:tc>
          <w:tcPr>
            <w:tcW w:w="1295" w:type="dxa"/>
            <w:vAlign w:val="center"/>
          </w:tcPr>
          <w:p>
            <w:pPr>
              <w:spacing w:before="40" w:after="40"/>
              <w:jc w:val="center"/>
            </w:pPr>
            <w:r>
              <w:t xml:space="preserve">0,01692</w:t>
            </w:r>
          </w:p>
        </w:tc>
        <w:tc>
          <w:tcPr>
            <w:tcW w:w="1295" w:type="dxa"/>
            <w:vAlign w:val="center"/>
          </w:tcPr>
          <w:p>
            <w:pPr>
              <w:spacing w:before="40" w:after="40"/>
              <w:jc w:val="center"/>
            </w:pPr>
            <w:r>
              <w:t xml:space="preserve">0,01541</w:t>
            </w:r>
          </w:p>
        </w:tc>
        <w:tc>
          <w:tcPr>
            <w:tcW w:w="1295" w:type="dxa"/>
            <w:vAlign w:val="center"/>
          </w:tcPr>
          <w:p>
            <w:pPr>
              <w:spacing w:before="40" w:after="40"/>
              <w:jc w:val="center"/>
            </w:pPr>
            <w:r>
              <w:t xml:space="preserve">41,15</w:t>
            </w:r>
          </w:p>
        </w:tc>
        <w:tc>
          <w:tcPr>
            <w:tcW w:w="1295" w:type="dxa"/>
            <w:vAlign w:val="center"/>
          </w:tcPr>
          <w:p>
            <w:pPr>
              <w:spacing w:before="40" w:after="40"/>
              <w:jc w:val="center"/>
            </w:pPr>
            <w:r>
              <w:t xml:space="preserve">45,42</w:t>
            </w:r>
          </w:p>
        </w:tc>
      </w:tr>
      <w:tr>
        <w:tc>
          <w:tcPr>
            <w:tcW w:w="1295" w:type="dxa"/>
            <w:vAlign w:val="center"/>
          </w:tcPr>
          <w:p>
            <w:pPr>
              <w:spacing w:before="40" w:after="40"/>
              <w:jc w:val="center"/>
            </w:pPr>
            <w:r>
              <w:t xml:space="preserve">NACA 0012</w:t>
            </w:r>
          </w:p>
        </w:tc>
        <w:tc>
          <w:tcPr>
            <w:tcW w:w="1295" w:type="dxa"/>
            <w:vAlign w:val="center"/>
          </w:tcPr>
          <w:p>
            <w:pPr>
              <w:spacing w:before="40" w:after="40"/>
              <w:jc w:val="center"/>
            </w:pPr>
            <w:r>
              <w:t xml:space="preserve">0,4978</w:t>
            </w:r>
          </w:p>
        </w:tc>
        <w:tc>
          <w:tcPr>
            <w:tcW w:w="1295" w:type="dxa"/>
            <w:vAlign w:val="center"/>
          </w:tcPr>
          <w:p>
            <w:pPr>
              <w:spacing w:before="40" w:after="40"/>
              <w:jc w:val="center"/>
            </w:pPr>
            <w:r>
              <w:t xml:space="preserve">0,5103</w:t>
            </w:r>
          </w:p>
        </w:tc>
        <w:tc>
          <w:tcPr>
            <w:tcW w:w="1295" w:type="dxa"/>
            <w:vAlign w:val="center"/>
          </w:tcPr>
          <w:p>
            <w:pPr>
              <w:spacing w:before="40" w:after="40"/>
              <w:jc w:val="center"/>
            </w:pPr>
            <w:r>
              <w:t xml:space="preserve">0,02746</w:t>
            </w:r>
          </w:p>
        </w:tc>
        <w:tc>
          <w:tcPr>
            <w:tcW w:w="1295" w:type="dxa"/>
            <w:vAlign w:val="center"/>
          </w:tcPr>
          <w:p>
            <w:pPr>
              <w:spacing w:before="40" w:after="40"/>
              <w:jc w:val="center"/>
            </w:pPr>
            <w:r>
              <w:t xml:space="preserve">0,02335</w:t>
            </w:r>
          </w:p>
        </w:tc>
        <w:tc>
          <w:tcPr>
            <w:tcW w:w="1295" w:type="dxa"/>
            <w:vAlign w:val="center"/>
          </w:tcPr>
          <w:p>
            <w:pPr>
              <w:spacing w:before="40" w:after="40"/>
              <w:jc w:val="center"/>
            </w:pPr>
            <w:r>
              <w:t xml:space="preserve">18,13</w:t>
            </w:r>
          </w:p>
        </w:tc>
        <w:tc>
          <w:tcPr>
            <w:tcW w:w="1295" w:type="dxa"/>
            <w:vAlign w:val="center"/>
          </w:tcPr>
          <w:p>
            <w:pPr>
              <w:spacing w:before="40" w:after="40"/>
              <w:jc w:val="center"/>
            </w:pPr>
            <w:r>
              <w:t xml:space="preserve">21,86</w:t>
            </w:r>
          </w:p>
        </w:tc>
      </w:tr>
    </w:tbl>
    <w:p>
      <w:pPr>
        <w:pStyle w:val="Taula"/>
      </w:pPr>
      <w:r>
        <w:t xml:space="preserve">Tabla 4.16</w:t>
      </w:r>
      <w:r>
        <w:t xml:space="preserve">: Comparación en el punto de diseño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sobre la malla fina y extrapolada a malla nula.</w:t>
      </w:r>
    </w:p>
    <w:p>
      <w:r>
        <w:t xml:space="preserve">En el punto de diseño el perfil obtenido </w:t>
      </w:r>
      <w:r>
        <w:rPr>
          <w:b/>
        </w:rPr>
        <w:t xml:space="preserve">multiplica por 2,27 la eficiencia de su semilla</w:t>
      </w:r>
      <w:r>
        <w:t xml:space="preserve"> sobre la malla fina, y por 2,08 en la estimación extrapolada. Las dos cifras acotan la ganancia entre un factor dos y un factor dos y cuarto.</w:t>
      </w:r>
    </w:p>
    <w:p>
      <w:r>
        <w:t xml:space="preserve">La coincidencia entre ambas es en sí misma informativa. La extrapolación mueve la eficiencia del perfil obtenido un 10 % y la del NACA 0012 un 21 %, cantidades nada despreciables, pero mueve el cociente entre ambas solo un 8 %, porque los dos perfiles comparten el mismo sesgo de discretización y este se cancela en buena parte al comparar. Es la razón por la que la comparación relativa resulta defendible mientras que los valores absolutos no lo son.</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4.9: insertar resultados_finales/comparativa/comparativa_extrapolada.png]</w:t>
      </w:r>
    </w:p>
    <w:p>
      <w:pPr>
        <w:pStyle w:val="Figura"/>
      </w:pPr>
      <w:r>
        <w:t xml:space="preserve">Figura 4.9</w:t>
      </w:r>
      <w:r>
        <w:t xml:space="preserve">: Los dos perfiles en malla fina frente a su extrapolación de Richardson, en sustentación, resistencia y eficiencia.</w:t>
      </w:r>
    </w:p>
    <w:p>
      <w:pPr>
        <w:pStyle w:val="Ttulo3"/>
        <w:numPr>
          <w:ilvl w:val="0"/>
          <w:numId w:val="0"/>
        </w:numPr>
        <w:ind w:left="431" w:hanging="431"/>
      </w:pPr>
      <w:r>
        <w:t xml:space="preserve">4.3.5 El origen físico de la ventaja</w:t>
      </w:r>
    </w:p>
    <w:p>
      <w:r>
        <w:t xml:space="preserve">La distribución de presión en el punto de diseño explica de dónde procede la diferencia.</w:t>
      </w:r>
    </w:p>
    <w:p>
      <w:r>
        <w:t xml:space="preserve">El NACA 0012 presenta un pico de succión intenso en el primer cuarto de la cuerda, con </w:t>
      </w:r>
      <m:oMath>
        <m:sSub>
          <m:e>
            <m:r>
              <w:rPr>
                <w:rFonts w:ascii="Cambria Math" w:hAnsi="Cambria Math"/>
              </w:rPr>
              <m:t xml:space="preserve">C</m:t>
            </m:r>
          </m:e>
          <m:sub>
            <m:r>
              <w:rPr>
                <w:rFonts w:ascii="Cambria Math" w:hAnsi="Cambria Math"/>
              </w:rPr>
              <m:t xml:space="preserve">p</m:t>
            </m:r>
          </m:sub>
        </m:sSub>
      </m:oMath>
      <w:r>
        <w:t xml:space="preserve"> mínimo próximo a </w:t>
      </w:r>
      <m:oMath>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25</m:t>
        </m:r>
      </m:oMath>
      <w:r>
        <w:t xml:space="preserve">, seguido de una zona de oscilaciones entre </w:t>
      </w:r>
      <m:oMath>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3</m:t>
        </m:r>
      </m:oMath>
      <w:r>
        <w:t xml:space="preserve"> y </w:t>
      </w:r>
      <m:oMath>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7</m:t>
        </m:r>
      </m:oMath>
      <w:r>
        <w:t xml:space="preserve">. Ese pico impone tras de sí un gradiente adverso severo, y las oscilaciones son la firma de una burbuja de separación laminar que no llega a reatacar de forma estable.</w:t>
      </w:r>
    </w:p>
    <w:p>
      <w:r>
        <w:t xml:space="preserve">El perfil optimizado presenta en cambio una meseta de succión lisa y extendida, con recuperación de presión suave hasta el borde de salida. Distribuye la carga a lo largo de una porción mucho mayor de la cuerda en lugar de concentrarla cerca del borde de ataque, y con ello evita el gradiente adverso que dispara la separación.</w:t>
      </w:r>
    </w:p>
    <w:p>
      <w:r>
        <w:t xml:space="preserve">Esa es la lectura física del resultado: la optimización ha encontrado, sin que se le indicara, la estrategia de diseño que la aerodinámica de bajo número de Reynolds prescribe para este régimen. El algoritmo no dispone de ningún conocimiento aerodinámico previo, solo de la eficiencia devuelta por el solver, y aun así converge hacia una geometría de carga repartida.</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[Figura 4.10: insertar resultados_finales/comparativa/cp_superficie_a04.0.png]</w:t>
      </w:r>
    </w:p>
    <w:p>
      <w:pPr>
        <w:pStyle w:val="Figura"/>
      </w:pPr>
      <w:r>
        <w:t xml:space="preserve">Figura 4.10</w:t>
      </w:r>
      <w:r>
        <w:t xml:space="preserve">: Coeficiente de presión sobre extradós e intradós de los dos perfiles en el punto de diseño: meseta de succión lisa frente a pico intenso con oscilaciones.</w:t>
      </w:r>
    </w:p>
    <w:p>
      <w:pPr>
        <w:pStyle w:val="Ttulo3"/>
        <w:numPr>
          <w:ilvl w:val="0"/>
          <w:numId w:val="0"/>
        </w:numPr>
        <w:ind w:left="431" w:hanging="431"/>
      </w:pPr>
      <w:r>
        <w:t xml:space="preserve">4.3.6 Sobre la posición del máximo de eficiencia</w:t>
      </w:r>
    </w:p>
    <w:p>
      <w:r>
        <w:t xml:space="preserve">El barrido de grado en grado permite una observación que un barrido de dos en dos habría ocultado. El máximo de eficiencia del perfil optimizado no es un pico nítido sino una meseta entre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3</m:t>
        </m:r>
      </m:oMath>
      <w:r>
        <w:t xml:space="preserve"> y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40,44 frente a 41,15, un 1,7 % de diferencia, con los intervalos de confianza solapados.</w:t>
      </w:r>
    </w:p>
    <w:p>
      <w:r>
        <w:t xml:space="preserve">Más significativo es el salto entre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2</m:t>
        </m:r>
      </m:oMath>
      <w:r>
        <w:t xml:space="preserve"> y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3</m:t>
        </m:r>
      </m:oMath>
      <w:r>
        <w:t xml:space="preserve">, donde la eficiencia pasa de 21,60 a 40,44, prácticamente el doble, con la resistencia cayendo de 0,0212 a 0,0152 mientras la sustentación crece con normalidad. Un cambio de esa magnitud en un grado de incidencia no es un efecto de resolución sino una transición del régimen del flujo, con toda probabilidad el reataque de la burbuja de separación laminar. Un barrido de dos en dos grados se lo habría saltado por completo y habría descrito una curva suave donde hay una discontinuidad de comportamiento.</w:t>
      </w:r>
    </w:p>
    <w:p>
      <w:pPr>
        <w:pStyle w:val="Ttulo2"/>
        <w:numPr>
          <w:ilvl w:val="0"/>
          <w:numId w:val="0"/>
        </w:numPr>
        <w:ind w:left="431" w:hanging="431"/>
      </w:pPr>
      <w:r>
        <w:t xml:space="preserve">4.4 Rendimiento computacional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Fase</w:t>
            </w:r>
          </w:p>
        </w:tc>
        <w:tc>
          <w:tcPr>
            <w:tcW w:w="4535" w:type="dxa"/>
            <w:shd w:val="clear" w:color="auto" w:fill="EDEDED"/>
            <w:vAlign w:val="center"/>
          </w:tcPr>
          <w:p>
            <w:pPr>
              <w:spacing w:before="40" w:after="40"/>
              <w:jc w:val="center"/>
            </w:pPr>
            <w:r>
              <w:rPr>
                <w:b/>
              </w:rPr>
              <w:t xml:space="preserve">Horas de GPU</w:t>
            </w:r>
          </w:p>
        </w:tc>
      </w:tr>
      <w:tr>
        <w:tc>
          <w:tcPr>
            <w:tcW w:w="4535" w:type="dxa"/>
            <w:vAlign w:val="center"/>
          </w:tcPr>
          <w:p>
            <w:pPr>
              <w:spacing w:before="40" w:after="40"/>
              <w:jc w:val="center"/>
            </w:pPr>
            <w:r>
              <w:t xml:space="preserve">Campaña de optimización, 1 332 evaluaciones</w:t>
            </w:r>
          </w:p>
        </w:tc>
        <w:tc>
          <w:tcPr>
            <w:tcW w:w="4535" w:type="dxa"/>
            <w:vAlign w:val="center"/>
          </w:tcPr>
          <w:p>
            <w:pPr>
              <w:spacing w:before="40" w:after="40"/>
              <w:jc w:val="center"/>
            </w:pPr>
            <w:r>
              <w:t xml:space="preserve">169,0</w:t>
            </w:r>
          </w:p>
        </w:tc>
      </w:tr>
      <w:tr>
        <w:tc>
          <w:tcPr>
            <w:tcW w:w="4535" w:type="dxa"/>
            <w:vAlign w:val="center"/>
          </w:tcPr>
          <w:p>
            <w:pPr>
              <w:spacing w:before="40" w:after="40"/>
              <w:jc w:val="center"/>
            </w:pPr>
            <w:r>
              <w:t xml:space="preserve">Estudio de verificación de malla, 72 puntos</w:t>
            </w:r>
          </w:p>
        </w:tc>
        <w:tc>
          <w:tcPr>
            <w:tcW w:w="4535" w:type="dxa"/>
            <w:vAlign w:val="center"/>
          </w:tcPr>
          <w:p>
            <w:pPr>
              <w:spacing w:before="40" w:after="40"/>
              <w:jc w:val="center"/>
            </w:pPr>
            <w:r>
              <w:t xml:space="preserve">9,2</w:t>
            </w:r>
          </w:p>
        </w:tc>
      </w:tr>
      <w:tr>
        <w:tc>
          <w:tcPr>
            <w:tcW w:w="4535" w:type="dxa"/>
            <w:vAlign w:val="center"/>
          </w:tcPr>
          <w:p>
            <w:pPr>
              <w:spacing w:before="40" w:after="40"/>
              <w:jc w:val="center"/>
            </w:pPr>
            <w:r>
              <w:t xml:space="preserve">Total</w:t>
            </w:r>
          </w:p>
        </w:tc>
        <w:tc>
          <w:tcPr>
            <w:tcW w:w="4535" w:type="dxa"/>
            <w:vAlign w:val="center"/>
          </w:tcPr>
          <w:p>
            <w:pPr>
              <w:spacing w:before="40" w:after="40"/>
              <w:jc w:val="center"/>
            </w:pPr>
            <w:r>
              <w:t xml:space="preserve">178,2</w:t>
            </w:r>
          </w:p>
        </w:tc>
      </w:tr>
    </w:tbl>
    <w:p>
      <w:pPr>
        <w:pStyle w:val="Taula"/>
      </w:pPr>
      <w:r>
        <w:t xml:space="preserve">Tabla 4.17</w:t>
      </w:r>
      <w:r>
        <w:t xml:space="preserve">: Reparto del coste computacional del trabajo sobre una GPU NVIDIA RTX 3070 Ti.</w:t>
      </w:r>
    </w:p>
    <w:p>
      <w:r>
        <w:t xml:space="preserve">El coste medio por evaluación durante la campaña fue de 457 segundos sobre la malla de exploración. En el estudio de verificación, ejecutado sin parada anticipada y hasta </w:t>
      </w:r>
      <m:oMath>
        <m:sSup>
          <m:e>
            <m:r>
              <w:rPr>
                <w:rFonts w:ascii="Cambria Math" w:hAnsi="Cambria Math"/>
              </w:rPr>
              <m:t xml:space="preserve">t</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20</m:t>
        </m:r>
      </m:oMath>
      <w:r>
        <w:t xml:space="preserve">, el coste medio por punto fue de 190 segundos en la malla de 0,008, 253 en la de 0,006, 374 en la de 0,004 y 1 028 en la de 0,002, para un total medido de 33 218 segundos.</w:t>
      </w:r>
    </w:p>
    <w:p>
      <w:r>
        <w:t xml:space="preserve">El escalado entre las dos mallas más finas merece comentario. Al reducir el tamaño de celda a la mitad, el número de celdas se cuadruplica y el paso temporal se reduce aproximadamente a la mitad, lo que predice un factor ocho. El factor medido es 2,8, muy por debajo. La razón es que la malla es estirada y solo la zona fina se refina, de modo que el número de celdas crece bastante menos que el cuadrado del refinamiento nominal.</w:t>
      </w:r>
    </w:p>
    <w:p>
      <w:r>
        <w:t xml:space="preserve">La verificación consumió el 5,2 % del coste total del trabajo. Es una fracción pequeña frente a lo que aporta: sin ella no habría forma de distinguir qué parte de la ventaja medida es física y cuál es artefacto de discretización.</w:t>
      </w:r>
    </w:p>
    <w:sectPr>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2433C" w14:textId="77777777" w:rsidR="00D772F8" w:rsidRDefault="00D772F8" w:rsidP="00827C35">
      <w:r>
        <w:separator/>
      </w:r>
    </w:p>
  </w:endnote>
  <w:endnote w:type="continuationSeparator" w:id="0">
    <w:p w14:paraId="1AD1AE7B" w14:textId="77777777" w:rsidR="00D772F8" w:rsidRDefault="00D772F8" w:rsidP="0082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4830C" w14:textId="77777777" w:rsidR="00D772F8" w:rsidRDefault="00D772F8" w:rsidP="00827C35">
      <w:r>
        <w:separator/>
      </w:r>
    </w:p>
  </w:footnote>
  <w:footnote w:type="continuationSeparator" w:id="0">
    <w:p w14:paraId="3CC6A98C" w14:textId="77777777" w:rsidR="00D772F8" w:rsidRDefault="00D772F8" w:rsidP="0082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BBDD6" w14:textId="77777777" w:rsidR="00232FC4" w:rsidRPr="00F03AF2" w:rsidRDefault="00232FC4" w:rsidP="00232FC4">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Pr>
        <w:rStyle w:val="Nmerodepgina"/>
        <w:rFonts w:cs="Arial"/>
        <w:sz w:val="18"/>
        <w:szCs w:val="18"/>
        <w:u w:val="single"/>
      </w:rPr>
      <w:t>4</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Simulador CFD 2D acelerado por GPU y optimización genética de perfiles aerodinámicos</w:t>
    </w:r>
  </w:p>
  <w:p w14:paraId="6A781201" w14:textId="77777777" w:rsidR="00232FC4" w:rsidRDefault="00232F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172A" w14:textId="742960F0" w:rsidR="00897E47" w:rsidRPr="00F03AF2" w:rsidRDefault="000F67E4" w:rsidP="00F03AF2">
    <w:pPr>
      <w:pStyle w:val="Independent"/>
      <w:tabs>
        <w:tab w:val="right" w:pos="8504"/>
      </w:tabs>
      <w:rPr>
        <w:sz w:val="18"/>
        <w:szCs w:val="18"/>
        <w:u w:val="single"/>
        <w:lang w:val="es-ES"/>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Introducció</w:t>
    </w:r>
    <w:r>
      <w:rPr>
        <w:sz w:val="18"/>
        <w:szCs w:val="18"/>
        <w:u w:val="single"/>
      </w:rPr>
      <w:fldChar w:fldCharType="end"/>
    </w:r>
    <w:r w:rsidR="00897E47" w:rsidRPr="00F03AF2">
      <w:rPr>
        <w:sz w:val="18"/>
        <w:szCs w:val="18"/>
        <w:u w:val="single"/>
        <w:lang w:val="es-ES"/>
      </w:rPr>
      <w:tab/>
    </w:r>
    <w:r w:rsidR="001234F3" w:rsidRPr="00F03AF2">
      <w:rPr>
        <w:rStyle w:val="Nmerodepgina"/>
        <w:rFonts w:cs="Arial"/>
        <w:sz w:val="18"/>
        <w:szCs w:val="18"/>
        <w:u w:val="single"/>
      </w:rPr>
      <w:fldChar w:fldCharType="begin"/>
    </w:r>
    <w:r w:rsidR="001234F3" w:rsidRPr="00F03AF2">
      <w:rPr>
        <w:rStyle w:val="Nmerodepgina"/>
        <w:rFonts w:cs="Arial"/>
        <w:sz w:val="18"/>
        <w:szCs w:val="18"/>
        <w:u w:val="single"/>
      </w:rPr>
      <w:instrText xml:space="preserve"> PAGE </w:instrText>
    </w:r>
    <w:r w:rsidR="001234F3" w:rsidRPr="00F03AF2">
      <w:rPr>
        <w:rStyle w:val="Nmerodepgina"/>
        <w:rFonts w:cs="Arial"/>
        <w:sz w:val="18"/>
        <w:szCs w:val="18"/>
        <w:u w:val="single"/>
      </w:rPr>
      <w:fldChar w:fldCharType="separate"/>
    </w:r>
    <w:r w:rsidR="001234F3" w:rsidRPr="00F03AF2">
      <w:rPr>
        <w:rStyle w:val="Nmerodepgina"/>
        <w:rFonts w:cs="Arial"/>
        <w:sz w:val="18"/>
        <w:szCs w:val="18"/>
        <w:u w:val="single"/>
      </w:rPr>
      <w:t>4</w:t>
    </w:r>
    <w:r w:rsidR="001234F3" w:rsidRPr="00F03AF2">
      <w:rPr>
        <w:rStyle w:val="Nmerodepgina"/>
        <w:rFonts w:cs="Arial"/>
        <w:sz w:val="18"/>
        <w:szCs w:val="18"/>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1D9B" w14:textId="77777777" w:rsidR="000F7901" w:rsidRDefault="00236E5B" w:rsidP="00827C35">
    <w:pPr>
      <w:pStyle w:val="Encabezado"/>
      <w:rPr>
        <w:lang w:val="es-ES"/>
      </w:rPr>
    </w:pPr>
    <w:proofErr w:type="spellStart"/>
    <w:r>
      <w:rPr>
        <w:lang w:val="es-ES"/>
      </w:rPr>
      <w:t>Introducció</w:t>
    </w:r>
    <w:proofErr w:type="spellEnd"/>
    <w:r>
      <w:rPr>
        <w:lang w:val="es-ES"/>
      </w:rPr>
      <w:tab/>
    </w:r>
    <w:r>
      <w:rPr>
        <w:lang w:val="es-ES"/>
      </w:rPr>
      <w:tab/>
    </w:r>
    <w:r>
      <w:rPr>
        <w:rStyle w:val="Nmerodepgina"/>
        <w:rFonts w:cs="Arial"/>
        <w:sz w:val="16"/>
        <w:szCs w:val="16"/>
        <w:u w:val="single"/>
      </w:rPr>
      <w:fldChar w:fldCharType="begin"/>
    </w:r>
    <w:r>
      <w:rPr>
        <w:rStyle w:val="Nmerodepgina"/>
        <w:rFonts w:cs="Arial"/>
        <w:sz w:val="16"/>
        <w:szCs w:val="16"/>
        <w:u w:val="single"/>
      </w:rPr>
      <w:instrText xml:space="preserve"> PAGE </w:instrText>
    </w:r>
    <w:r>
      <w:rPr>
        <w:rStyle w:val="Nmerodepgina"/>
        <w:rFonts w:cs="Arial"/>
        <w:sz w:val="16"/>
        <w:szCs w:val="16"/>
        <w:u w:val="single"/>
      </w:rPr>
      <w:fldChar w:fldCharType="separate"/>
    </w:r>
    <w:r>
      <w:rPr>
        <w:rStyle w:val="Nmerodepgina"/>
        <w:rFonts w:cs="Arial"/>
        <w:noProof/>
        <w:sz w:val="16"/>
        <w:szCs w:val="16"/>
        <w:u w:val="single"/>
      </w:rPr>
      <w:t>1</w:t>
    </w:r>
    <w:r>
      <w:rPr>
        <w:rStyle w:val="Nmerodepgina"/>
        <w:rFonts w:cs="Arial"/>
        <w:sz w:val="16"/>
        <w:szCs w:val="16"/>
        <w:u w:val="singl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EEF95" w14:textId="3B1DABD2" w:rsidR="001234F3" w:rsidRPr="00F03AF2" w:rsidRDefault="001234F3" w:rsidP="00F03AF2">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sidR="00F03AF2">
      <w:rPr>
        <w:sz w:val="18"/>
        <w:szCs w:val="18"/>
        <w:u w:val="single"/>
      </w:rPr>
      <w:t>Títol del TFG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CCC8F" w14:textId="1DC70D4A" w:rsidR="001234F3" w:rsidRPr="00F03AF2" w:rsidRDefault="000F67E4" w:rsidP="00F03AF2">
    <w:pPr>
      <w:pStyle w:val="Independent"/>
      <w:tabs>
        <w:tab w:val="right" w:pos="8498"/>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Compaginació</w:t>
    </w:r>
    <w:r>
      <w:rPr>
        <w:sz w:val="18"/>
        <w:szCs w:val="18"/>
        <w:u w:val="single"/>
      </w:rPr>
      <w:fldChar w:fldCharType="end"/>
    </w:r>
    <w:r w:rsidR="001234F3" w:rsidRPr="00F03AF2">
      <w:rPr>
        <w:sz w:val="18"/>
        <w:szCs w:val="18"/>
        <w:u w:val="single"/>
      </w:rPr>
      <w:tab/>
    </w:r>
    <w:r w:rsidR="001234F3" w:rsidRPr="00F03AF2">
      <w:rPr>
        <w:rStyle w:val="Nmerodepgina"/>
        <w:sz w:val="18"/>
        <w:szCs w:val="18"/>
        <w:u w:val="single"/>
      </w:rPr>
      <w:fldChar w:fldCharType="begin"/>
    </w:r>
    <w:r w:rsidR="001234F3" w:rsidRPr="00F03AF2">
      <w:rPr>
        <w:rStyle w:val="Nmerodepgina"/>
        <w:sz w:val="18"/>
        <w:szCs w:val="18"/>
        <w:u w:val="single"/>
      </w:rPr>
      <w:instrText xml:space="preserve"> PAGE </w:instrText>
    </w:r>
    <w:r w:rsidR="001234F3" w:rsidRPr="00F03AF2">
      <w:rPr>
        <w:rStyle w:val="Nmerodepgina"/>
        <w:sz w:val="18"/>
        <w:szCs w:val="18"/>
        <w:u w:val="single"/>
      </w:rPr>
      <w:fldChar w:fldCharType="separate"/>
    </w:r>
    <w:r w:rsidR="001234F3" w:rsidRPr="00F03AF2">
      <w:rPr>
        <w:rStyle w:val="Nmerodepgina"/>
        <w:sz w:val="18"/>
        <w:szCs w:val="18"/>
        <w:u w:val="single"/>
      </w:rPr>
      <w:t>4</w:t>
    </w:r>
    <w:r w:rsidR="001234F3" w:rsidRPr="00F03AF2">
      <w:rPr>
        <w:rStyle w:val="Nmerodepgina"/>
        <w:sz w:val="18"/>
        <w:szCs w:val="18"/>
        <w:u w:val="singl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CF778" w14:textId="77777777" w:rsidR="00244E10" w:rsidRPr="00F03AF2" w:rsidRDefault="00244E10" w:rsidP="00244E10">
    <w:pPr>
      <w:pStyle w:val="Independent"/>
      <w:tabs>
        <w:tab w:val="right" w:pos="14006"/>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Títol del TFG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0B35" w14:textId="1F79FC94" w:rsidR="00244E10"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Organització del treball</w:t>
    </w:r>
    <w:r>
      <w:rPr>
        <w:sz w:val="18"/>
        <w:szCs w:val="18"/>
        <w:u w:val="single"/>
      </w:rPr>
      <w:fldChar w:fldCharType="end"/>
    </w:r>
    <w:r w:rsidRPr="00F03AF2">
      <w:rPr>
        <w:sz w:val="18"/>
        <w:szCs w:val="18"/>
        <w:u w:val="single"/>
      </w:rPr>
      <w:tab/>
    </w:r>
    <w:r w:rsidR="00244E10">
      <w:rPr>
        <w:sz w:val="18"/>
        <w:szCs w:val="18"/>
        <w:u w:val="single"/>
      </w:rPr>
      <w:tab/>
    </w:r>
    <w:r w:rsidR="00244E10">
      <w:rPr>
        <w:sz w:val="18"/>
        <w:szCs w:val="18"/>
        <w:u w:val="single"/>
      </w:rPr>
      <w:tab/>
    </w:r>
    <w:r w:rsidR="00244E10" w:rsidRPr="00F03AF2">
      <w:rPr>
        <w:rStyle w:val="Nmerodepgina"/>
        <w:sz w:val="18"/>
        <w:szCs w:val="18"/>
        <w:u w:val="single"/>
      </w:rPr>
      <w:fldChar w:fldCharType="begin"/>
    </w:r>
    <w:r w:rsidR="00244E10" w:rsidRPr="00F03AF2">
      <w:rPr>
        <w:rStyle w:val="Nmerodepgina"/>
        <w:sz w:val="18"/>
        <w:szCs w:val="18"/>
        <w:u w:val="single"/>
      </w:rPr>
      <w:instrText xml:space="preserve"> PAGE </w:instrText>
    </w:r>
    <w:r w:rsidR="00244E10" w:rsidRPr="00F03AF2">
      <w:rPr>
        <w:rStyle w:val="Nmerodepgina"/>
        <w:sz w:val="18"/>
        <w:szCs w:val="18"/>
        <w:u w:val="single"/>
      </w:rPr>
      <w:fldChar w:fldCharType="separate"/>
    </w:r>
    <w:r w:rsidR="00244E10" w:rsidRPr="00F03AF2">
      <w:rPr>
        <w:rStyle w:val="Nmerodepgina"/>
        <w:sz w:val="18"/>
        <w:szCs w:val="18"/>
        <w:u w:val="single"/>
      </w:rPr>
      <w:t>4</w:t>
    </w:r>
    <w:r w:rsidR="00244E10" w:rsidRPr="00F03AF2">
      <w:rPr>
        <w:rStyle w:val="Nmerodepgina"/>
        <w:sz w:val="18"/>
        <w:szCs w:val="18"/>
        <w:u w:val="singl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CACB5" w14:textId="7324F9B4" w:rsidR="0013110D"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Bibliografia</w:t>
    </w:r>
    <w:r>
      <w:rPr>
        <w:sz w:val="18"/>
        <w:szCs w:val="18"/>
        <w:u w:val="single"/>
      </w:rPr>
      <w:fldChar w:fldCharType="end"/>
    </w:r>
    <w:r w:rsidR="0013110D" w:rsidRPr="00F03AF2">
      <w:rPr>
        <w:sz w:val="18"/>
        <w:szCs w:val="18"/>
        <w:u w:val="single"/>
      </w:rPr>
      <w:tab/>
    </w:r>
    <w:r w:rsidR="0013110D">
      <w:rPr>
        <w:sz w:val="18"/>
        <w:szCs w:val="18"/>
        <w:u w:val="single"/>
      </w:rPr>
      <w:tab/>
    </w:r>
    <w:r w:rsidR="0013110D">
      <w:rPr>
        <w:sz w:val="18"/>
        <w:szCs w:val="18"/>
        <w:u w:val="single"/>
      </w:rPr>
      <w:tab/>
    </w:r>
    <w:r w:rsidR="0013110D" w:rsidRPr="00F03AF2">
      <w:rPr>
        <w:rStyle w:val="Nmerodepgina"/>
        <w:sz w:val="18"/>
        <w:szCs w:val="18"/>
        <w:u w:val="single"/>
      </w:rPr>
      <w:fldChar w:fldCharType="begin"/>
    </w:r>
    <w:r w:rsidR="0013110D" w:rsidRPr="00F03AF2">
      <w:rPr>
        <w:rStyle w:val="Nmerodepgina"/>
        <w:sz w:val="18"/>
        <w:szCs w:val="18"/>
        <w:u w:val="single"/>
      </w:rPr>
      <w:instrText xml:space="preserve"> PAGE </w:instrText>
    </w:r>
    <w:r w:rsidR="0013110D" w:rsidRPr="00F03AF2">
      <w:rPr>
        <w:rStyle w:val="Nmerodepgina"/>
        <w:sz w:val="18"/>
        <w:szCs w:val="18"/>
        <w:u w:val="single"/>
      </w:rPr>
      <w:fldChar w:fldCharType="separate"/>
    </w:r>
    <w:r w:rsidR="0013110D" w:rsidRPr="00F03AF2">
      <w:rPr>
        <w:rStyle w:val="Nmerodepgina"/>
        <w:sz w:val="18"/>
        <w:szCs w:val="18"/>
        <w:u w:val="single"/>
      </w:rPr>
      <w:t>4</w:t>
    </w:r>
    <w:r w:rsidR="0013110D" w:rsidRPr="00F03AF2">
      <w:rPr>
        <w:rStyle w:val="Nmerodepgina"/>
        <w:sz w:val="18"/>
        <w:szCs w:val="18"/>
        <w:u w:val="singl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2EF32" w14:textId="4E1E1930" w:rsidR="00E02456"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Annex 1. Preguntes per respondre en l'anàlisi de sostenibilitat</w:t>
    </w:r>
    <w:r>
      <w:rPr>
        <w:sz w:val="18"/>
        <w:szCs w:val="18"/>
        <w:u w:val="single"/>
      </w:rPr>
      <w:fldChar w:fldCharType="end"/>
    </w:r>
    <w:r w:rsidR="00E02456" w:rsidRPr="00F03AF2">
      <w:rPr>
        <w:sz w:val="18"/>
        <w:szCs w:val="18"/>
        <w:u w:val="single"/>
      </w:rPr>
      <w:tab/>
    </w:r>
    <w:r w:rsidR="00E02456">
      <w:rPr>
        <w:sz w:val="18"/>
        <w:szCs w:val="18"/>
        <w:u w:val="single"/>
      </w:rPr>
      <w:tab/>
    </w:r>
    <w:r w:rsidR="00E02456">
      <w:rPr>
        <w:sz w:val="18"/>
        <w:szCs w:val="18"/>
        <w:u w:val="single"/>
      </w:rPr>
      <w:tab/>
    </w:r>
    <w:r w:rsidR="00E02456" w:rsidRPr="00F03AF2">
      <w:rPr>
        <w:rStyle w:val="Nmerodepgina"/>
        <w:sz w:val="18"/>
        <w:szCs w:val="18"/>
        <w:u w:val="single"/>
      </w:rPr>
      <w:fldChar w:fldCharType="begin"/>
    </w:r>
    <w:r w:rsidR="00E02456" w:rsidRPr="00F03AF2">
      <w:rPr>
        <w:rStyle w:val="Nmerodepgina"/>
        <w:sz w:val="18"/>
        <w:szCs w:val="18"/>
        <w:u w:val="single"/>
      </w:rPr>
      <w:instrText xml:space="preserve"> PAGE </w:instrText>
    </w:r>
    <w:r w:rsidR="00E02456" w:rsidRPr="00F03AF2">
      <w:rPr>
        <w:rStyle w:val="Nmerodepgina"/>
        <w:sz w:val="18"/>
        <w:szCs w:val="18"/>
        <w:u w:val="single"/>
      </w:rPr>
      <w:fldChar w:fldCharType="separate"/>
    </w:r>
    <w:r w:rsidR="00E02456" w:rsidRPr="00F03AF2">
      <w:rPr>
        <w:rStyle w:val="Nmerodepgina"/>
        <w:sz w:val="18"/>
        <w:szCs w:val="18"/>
        <w:u w:val="single"/>
      </w:rPr>
      <w:t>4</w:t>
    </w:r>
    <w:r w:rsidR="00E02456" w:rsidRPr="00F03AF2">
      <w:rPr>
        <w:rStyle w:val="Nmerodepgina"/>
        <w:sz w:val="18"/>
        <w:szCs w:val="18"/>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2B2F"/>
    <w:multiLevelType w:val="multilevel"/>
    <w:tmpl w:val="33B873A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D016F4"/>
    <w:multiLevelType w:val="hybridMultilevel"/>
    <w:tmpl w:val="6F989F6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A3444"/>
    <w:multiLevelType w:val="hybridMultilevel"/>
    <w:tmpl w:val="9704D8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34B61F3"/>
    <w:multiLevelType w:val="hybridMultilevel"/>
    <w:tmpl w:val="FEE674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84B7A"/>
    <w:multiLevelType w:val="multilevel"/>
    <w:tmpl w:val="7A00B1E8"/>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sz w:val="28"/>
        <w:szCs w:val="26"/>
      </w:rPr>
    </w:lvl>
    <w:lvl w:ilvl="2">
      <w:start w:val="1"/>
      <w:numFmt w:val="decimal"/>
      <w:lvlRestart w:val="0"/>
      <w:lvlText w:val="%1.%2.%3."/>
      <w:lvlJc w:val="left"/>
      <w:pPr>
        <w:tabs>
          <w:tab w:val="num" w:pos="851"/>
        </w:tabs>
        <w:ind w:left="0" w:firstLine="0"/>
      </w:pPr>
      <w:rPr>
        <w:rFonts w:hint="default"/>
        <w:sz w:val="22"/>
        <w:szCs w:val="22"/>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 w15:restartNumberingAfterBreak="0">
    <w:nsid w:val="21393675"/>
    <w:multiLevelType w:val="multilevel"/>
    <w:tmpl w:val="D9D459B2"/>
    <w:lvl w:ilvl="0">
      <w:start w:val="2"/>
      <w:numFmt w:val="decimal"/>
      <w:pStyle w:val="TFCPFC-Ttol2"/>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6" w15:restartNumberingAfterBreak="0">
    <w:nsid w:val="348176D4"/>
    <w:multiLevelType w:val="hybridMultilevel"/>
    <w:tmpl w:val="0150D6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711CBF"/>
    <w:multiLevelType w:val="hybridMultilevel"/>
    <w:tmpl w:val="C250F4D6"/>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5713D8"/>
    <w:multiLevelType w:val="hybridMultilevel"/>
    <w:tmpl w:val="4DAE6B1E"/>
    <w:lvl w:ilvl="0" w:tplc="89DE7D4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58207FE0"/>
    <w:multiLevelType w:val="multilevel"/>
    <w:tmpl w:val="D780E3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F815E9"/>
    <w:multiLevelType w:val="hybridMultilevel"/>
    <w:tmpl w:val="A64EAB0C"/>
    <w:lvl w:ilvl="0" w:tplc="09BA6FE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7EC0519A"/>
    <w:multiLevelType w:val="hybridMultilevel"/>
    <w:tmpl w:val="9948F0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9370F6"/>
    <w:multiLevelType w:val="hybridMultilevel"/>
    <w:tmpl w:val="B9685338"/>
    <w:lvl w:ilvl="0" w:tplc="71CAB94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621063693">
    <w:abstractNumId w:val="6"/>
  </w:num>
  <w:num w:numId="2" w16cid:durableId="1811825176">
    <w:abstractNumId w:val="3"/>
  </w:num>
  <w:num w:numId="3" w16cid:durableId="2083746238">
    <w:abstractNumId w:val="1"/>
  </w:num>
  <w:num w:numId="4" w16cid:durableId="481125053">
    <w:abstractNumId w:val="11"/>
  </w:num>
  <w:num w:numId="5" w16cid:durableId="722682626">
    <w:abstractNumId w:val="7"/>
  </w:num>
  <w:num w:numId="6" w16cid:durableId="1621566768">
    <w:abstractNumId w:val="5"/>
  </w:num>
  <w:num w:numId="7" w16cid:durableId="2003503545">
    <w:abstractNumId w:val="5"/>
  </w:num>
  <w:num w:numId="8" w16cid:durableId="313224328">
    <w:abstractNumId w:val="4"/>
  </w:num>
  <w:num w:numId="9" w16cid:durableId="1415127229">
    <w:abstractNumId w:val="12"/>
  </w:num>
  <w:num w:numId="10" w16cid:durableId="2048484862">
    <w:abstractNumId w:val="0"/>
  </w:num>
  <w:num w:numId="11" w16cid:durableId="819536226">
    <w:abstractNumId w:val="8"/>
  </w:num>
  <w:num w:numId="12" w16cid:durableId="36860430">
    <w:abstractNumId w:val="2"/>
  </w:num>
  <w:num w:numId="13" w16cid:durableId="761030715">
    <w:abstractNumId w:val="9"/>
  </w:num>
  <w:num w:numId="14" w16cid:durableId="1232081496">
    <w:abstractNumId w:val="0"/>
  </w:num>
  <w:num w:numId="15" w16cid:durableId="1247377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FC"/>
    <w:rsid w:val="00023733"/>
    <w:rsid w:val="00023D9E"/>
    <w:rsid w:val="0003073A"/>
    <w:rsid w:val="000B2862"/>
    <w:rsid w:val="000B3238"/>
    <w:rsid w:val="000D6007"/>
    <w:rsid w:val="000F67E4"/>
    <w:rsid w:val="000F7901"/>
    <w:rsid w:val="0011365C"/>
    <w:rsid w:val="001234F3"/>
    <w:rsid w:val="0013110D"/>
    <w:rsid w:val="00137A0A"/>
    <w:rsid w:val="00147400"/>
    <w:rsid w:val="00187FBB"/>
    <w:rsid w:val="001903C4"/>
    <w:rsid w:val="001A78E3"/>
    <w:rsid w:val="001B1DF9"/>
    <w:rsid w:val="001E692C"/>
    <w:rsid w:val="00232FC4"/>
    <w:rsid w:val="00235F45"/>
    <w:rsid w:val="00236E5B"/>
    <w:rsid w:val="00244E10"/>
    <w:rsid w:val="00246B6A"/>
    <w:rsid w:val="00262587"/>
    <w:rsid w:val="00293BEE"/>
    <w:rsid w:val="0030633E"/>
    <w:rsid w:val="003070CC"/>
    <w:rsid w:val="003142CE"/>
    <w:rsid w:val="00322F1A"/>
    <w:rsid w:val="00340A49"/>
    <w:rsid w:val="00364712"/>
    <w:rsid w:val="00386DEC"/>
    <w:rsid w:val="003D4081"/>
    <w:rsid w:val="00404678"/>
    <w:rsid w:val="004132B9"/>
    <w:rsid w:val="004159CC"/>
    <w:rsid w:val="00420B23"/>
    <w:rsid w:val="004F15C7"/>
    <w:rsid w:val="004F5C20"/>
    <w:rsid w:val="005109F1"/>
    <w:rsid w:val="00535015"/>
    <w:rsid w:val="005645A9"/>
    <w:rsid w:val="00564F3A"/>
    <w:rsid w:val="00586E96"/>
    <w:rsid w:val="005B569F"/>
    <w:rsid w:val="005C5286"/>
    <w:rsid w:val="005C67D5"/>
    <w:rsid w:val="005D1A1F"/>
    <w:rsid w:val="005D1DFC"/>
    <w:rsid w:val="005E5ED0"/>
    <w:rsid w:val="00603420"/>
    <w:rsid w:val="0069312F"/>
    <w:rsid w:val="006A68E6"/>
    <w:rsid w:val="006B2D01"/>
    <w:rsid w:val="006B6122"/>
    <w:rsid w:val="006D5781"/>
    <w:rsid w:val="006F22DA"/>
    <w:rsid w:val="00713821"/>
    <w:rsid w:val="00746E0D"/>
    <w:rsid w:val="00785E18"/>
    <w:rsid w:val="007B75EA"/>
    <w:rsid w:val="007C65F0"/>
    <w:rsid w:val="007E15A3"/>
    <w:rsid w:val="007F1E29"/>
    <w:rsid w:val="00813624"/>
    <w:rsid w:val="0082129D"/>
    <w:rsid w:val="00827C35"/>
    <w:rsid w:val="00876BA5"/>
    <w:rsid w:val="00897E47"/>
    <w:rsid w:val="008C0400"/>
    <w:rsid w:val="00925669"/>
    <w:rsid w:val="00995445"/>
    <w:rsid w:val="00996394"/>
    <w:rsid w:val="0099727F"/>
    <w:rsid w:val="009B3FD8"/>
    <w:rsid w:val="009C3CE3"/>
    <w:rsid w:val="009E0F2C"/>
    <w:rsid w:val="00A16CB4"/>
    <w:rsid w:val="00A22121"/>
    <w:rsid w:val="00A339B0"/>
    <w:rsid w:val="00AA1795"/>
    <w:rsid w:val="00AA653C"/>
    <w:rsid w:val="00AC28B5"/>
    <w:rsid w:val="00AE1807"/>
    <w:rsid w:val="00B35B8B"/>
    <w:rsid w:val="00B778BD"/>
    <w:rsid w:val="00B875C0"/>
    <w:rsid w:val="00B95BA8"/>
    <w:rsid w:val="00BD088D"/>
    <w:rsid w:val="00BD0A7E"/>
    <w:rsid w:val="00BE171C"/>
    <w:rsid w:val="00BF6DFC"/>
    <w:rsid w:val="00C0112E"/>
    <w:rsid w:val="00C1522C"/>
    <w:rsid w:val="00C26517"/>
    <w:rsid w:val="00C30C1F"/>
    <w:rsid w:val="00C34613"/>
    <w:rsid w:val="00C45196"/>
    <w:rsid w:val="00C61382"/>
    <w:rsid w:val="00CB56F0"/>
    <w:rsid w:val="00CC1AC1"/>
    <w:rsid w:val="00CF093F"/>
    <w:rsid w:val="00CF70A7"/>
    <w:rsid w:val="00D15CF8"/>
    <w:rsid w:val="00D164B6"/>
    <w:rsid w:val="00D33AA6"/>
    <w:rsid w:val="00D65B5E"/>
    <w:rsid w:val="00D73F8D"/>
    <w:rsid w:val="00D772F8"/>
    <w:rsid w:val="00DE2F4E"/>
    <w:rsid w:val="00DF2A9B"/>
    <w:rsid w:val="00DF5D6E"/>
    <w:rsid w:val="00E02456"/>
    <w:rsid w:val="00E12F8B"/>
    <w:rsid w:val="00E41820"/>
    <w:rsid w:val="00E64A1E"/>
    <w:rsid w:val="00E652BC"/>
    <w:rsid w:val="00E7550C"/>
    <w:rsid w:val="00EA6EC8"/>
    <w:rsid w:val="00EB1395"/>
    <w:rsid w:val="00EC1466"/>
    <w:rsid w:val="00ED3846"/>
    <w:rsid w:val="00ED4A2B"/>
    <w:rsid w:val="00F03AF2"/>
    <w:rsid w:val="00F14405"/>
    <w:rsid w:val="00F357A6"/>
    <w:rsid w:val="00F54B3A"/>
    <w:rsid w:val="00F6625D"/>
    <w:rsid w:val="00F7565B"/>
    <w:rsid w:val="00F76BC8"/>
    <w:rsid w:val="00F800E9"/>
    <w:rsid w:val="00FC79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371F6"/>
  <w15:chartTrackingRefBased/>
  <w15:docId w15:val="{37AACD63-AF53-4A23-82B9-0C91D807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35"/>
    <w:pPr>
      <w:spacing w:before="120" w:after="0" w:line="276" w:lineRule="auto"/>
      <w:jc w:val="both"/>
    </w:pPr>
    <w:rPr>
      <w:rFonts w:ascii="Helvetica" w:eastAsia="Times New Roman" w:hAnsi="Helvetica" w:cs="Helvetica"/>
      <w:sz w:val="20"/>
      <w:szCs w:val="20"/>
      <w:lang w:val="ca-ES" w:eastAsia="es-ES"/>
    </w:rPr>
  </w:style>
  <w:style w:type="paragraph" w:styleId="Ttulo1">
    <w:name w:val="heading 1"/>
    <w:aliases w:val="Títol 1"/>
    <w:basedOn w:val="Normal"/>
    <w:next w:val="Normal"/>
    <w:link w:val="Ttulo1Car"/>
    <w:qFormat/>
    <w:rsid w:val="00F800E9"/>
    <w:pPr>
      <w:keepNext/>
      <w:numPr>
        <w:numId w:val="10"/>
      </w:numPr>
      <w:spacing w:before="240" w:after="480"/>
      <w:ind w:left="431" w:hanging="431"/>
      <w:jc w:val="center"/>
      <w:outlineLvl w:val="0"/>
    </w:pPr>
    <w:rPr>
      <w:b/>
      <w:bCs/>
      <w:kern w:val="32"/>
      <w:sz w:val="28"/>
      <w:szCs w:val="28"/>
    </w:rPr>
  </w:style>
  <w:style w:type="paragraph" w:styleId="Ttulo2">
    <w:name w:val="heading 2"/>
    <w:aliases w:val="Títol 2"/>
    <w:basedOn w:val="Normal"/>
    <w:next w:val="Normal"/>
    <w:link w:val="Ttulo2Car"/>
    <w:qFormat/>
    <w:rsid w:val="007F1E29"/>
    <w:pPr>
      <w:keepNext/>
      <w:numPr>
        <w:ilvl w:val="1"/>
        <w:numId w:val="10"/>
      </w:numPr>
      <w:tabs>
        <w:tab w:val="left" w:pos="851"/>
      </w:tabs>
      <w:spacing w:before="480" w:after="120"/>
      <w:ind w:left="578" w:hanging="578"/>
      <w:outlineLvl w:val="1"/>
    </w:pPr>
    <w:rPr>
      <w:rFonts w:cs="Arial"/>
      <w:b/>
      <w:bCs/>
      <w:sz w:val="24"/>
      <w:szCs w:val="24"/>
    </w:rPr>
  </w:style>
  <w:style w:type="paragraph" w:styleId="Ttulo3">
    <w:name w:val="heading 3"/>
    <w:aliases w:val="Títol 3"/>
    <w:basedOn w:val="Normal"/>
    <w:next w:val="Normal"/>
    <w:link w:val="Ttulo3Car"/>
    <w:qFormat/>
    <w:rsid w:val="006B2D01"/>
    <w:pPr>
      <w:keepNext/>
      <w:numPr>
        <w:ilvl w:val="2"/>
        <w:numId w:val="10"/>
      </w:numPr>
      <w:spacing w:before="360" w:after="120"/>
      <w:outlineLvl w:val="2"/>
    </w:pPr>
    <w:rPr>
      <w:rFonts w:cs="Arial"/>
      <w:b/>
      <w:bCs/>
      <w:sz w:val="22"/>
      <w:szCs w:val="22"/>
    </w:rPr>
  </w:style>
  <w:style w:type="paragraph" w:styleId="Ttulo4">
    <w:name w:val="heading 4"/>
    <w:aliases w:val="Títol 4"/>
    <w:basedOn w:val="Normal"/>
    <w:next w:val="Normal"/>
    <w:link w:val="Ttulo4Car"/>
    <w:qFormat/>
    <w:rsid w:val="00F800E9"/>
    <w:pPr>
      <w:keepNext/>
      <w:numPr>
        <w:ilvl w:val="3"/>
        <w:numId w:val="10"/>
      </w:numPr>
      <w:spacing w:before="240" w:after="120"/>
      <w:outlineLvl w:val="3"/>
    </w:pPr>
    <w:rPr>
      <w:bCs/>
      <w:i/>
      <w:iCs/>
      <w:szCs w:val="28"/>
    </w:rPr>
  </w:style>
  <w:style w:type="paragraph" w:styleId="Ttulo5">
    <w:name w:val="heading 5"/>
    <w:basedOn w:val="Normal"/>
    <w:next w:val="Normal"/>
    <w:link w:val="Ttulo5Car"/>
    <w:uiPriority w:val="9"/>
    <w:semiHidden/>
    <w:unhideWhenUsed/>
    <w:qFormat/>
    <w:rsid w:val="00713821"/>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13821"/>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713821"/>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71382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1382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ol 1 Car"/>
    <w:basedOn w:val="Fuentedeprrafopredeter"/>
    <w:link w:val="Ttulo1"/>
    <w:rsid w:val="00F800E9"/>
    <w:rPr>
      <w:rFonts w:ascii="Helvetica" w:eastAsia="Times New Roman" w:hAnsi="Helvetica" w:cs="Helvetica"/>
      <w:b/>
      <w:bCs/>
      <w:kern w:val="32"/>
      <w:sz w:val="28"/>
      <w:szCs w:val="28"/>
      <w:lang w:val="ca-ES" w:eastAsia="es-ES"/>
    </w:rPr>
  </w:style>
  <w:style w:type="character" w:customStyle="1" w:styleId="Ttulo2Car">
    <w:name w:val="Título 2 Car"/>
    <w:aliases w:val="Títol 2 Car"/>
    <w:basedOn w:val="Fuentedeprrafopredeter"/>
    <w:link w:val="Ttulo2"/>
    <w:rsid w:val="007F1E29"/>
    <w:rPr>
      <w:rFonts w:ascii="Helvetica" w:eastAsia="Times New Roman" w:hAnsi="Helvetica" w:cs="Arial"/>
      <w:b/>
      <w:bCs/>
      <w:sz w:val="24"/>
      <w:szCs w:val="24"/>
      <w:lang w:val="ca-ES" w:eastAsia="es-ES"/>
    </w:rPr>
  </w:style>
  <w:style w:type="character" w:customStyle="1" w:styleId="Ttulo3Car">
    <w:name w:val="Título 3 Car"/>
    <w:aliases w:val="Títol 3 Car"/>
    <w:basedOn w:val="Fuentedeprrafopredeter"/>
    <w:link w:val="Ttulo3"/>
    <w:rsid w:val="006B2D01"/>
    <w:rPr>
      <w:rFonts w:ascii="Helvetica" w:eastAsia="Times New Roman" w:hAnsi="Helvetica" w:cs="Arial"/>
      <w:b/>
      <w:bCs/>
      <w:lang w:val="ca-ES" w:eastAsia="es-ES"/>
    </w:rPr>
  </w:style>
  <w:style w:type="character" w:customStyle="1" w:styleId="Ttulo4Car">
    <w:name w:val="Título 4 Car"/>
    <w:aliases w:val="Títol 4 Car"/>
    <w:basedOn w:val="Fuentedeprrafopredeter"/>
    <w:link w:val="Ttulo4"/>
    <w:rsid w:val="00F800E9"/>
    <w:rPr>
      <w:rFonts w:ascii="Helvetica" w:eastAsia="Times New Roman" w:hAnsi="Helvetica" w:cs="Helvetica"/>
      <w:bCs/>
      <w:i/>
      <w:iCs/>
      <w:sz w:val="20"/>
      <w:szCs w:val="28"/>
      <w:lang w:val="ca-ES" w:eastAsia="es-ES"/>
    </w:rPr>
  </w:style>
  <w:style w:type="character" w:styleId="Hipervnculo">
    <w:name w:val="Hyperlink"/>
    <w:uiPriority w:val="99"/>
    <w:rsid w:val="005D1DFC"/>
    <w:rPr>
      <w:color w:val="0000FF"/>
      <w:u w:val="single"/>
    </w:rPr>
  </w:style>
  <w:style w:type="paragraph" w:styleId="TDC1">
    <w:name w:val="toc 1"/>
    <w:basedOn w:val="Normal"/>
    <w:next w:val="Normal"/>
    <w:autoRedefine/>
    <w:uiPriority w:val="39"/>
    <w:rsid w:val="006B6122"/>
    <w:pPr>
      <w:tabs>
        <w:tab w:val="left" w:pos="284"/>
        <w:tab w:val="right" w:leader="dot" w:pos="8494"/>
      </w:tabs>
      <w:spacing w:before="240"/>
    </w:pPr>
    <w:rPr>
      <w:rFonts w:cs="Arial"/>
      <w:b/>
      <w:bCs/>
      <w:caps/>
    </w:rPr>
  </w:style>
  <w:style w:type="paragraph" w:styleId="TDC2">
    <w:name w:val="toc 2"/>
    <w:basedOn w:val="Normal"/>
    <w:next w:val="Normal"/>
    <w:autoRedefine/>
    <w:uiPriority w:val="39"/>
    <w:rsid w:val="00F03AF2"/>
    <w:pPr>
      <w:tabs>
        <w:tab w:val="left" w:pos="709"/>
        <w:tab w:val="right" w:leader="dot" w:pos="8494"/>
      </w:tabs>
      <w:ind w:left="284"/>
    </w:pPr>
    <w:rPr>
      <w:b/>
      <w:bCs/>
    </w:rPr>
  </w:style>
  <w:style w:type="paragraph" w:styleId="TDC3">
    <w:name w:val="toc 3"/>
    <w:basedOn w:val="Normal"/>
    <w:next w:val="Normal"/>
    <w:autoRedefine/>
    <w:uiPriority w:val="39"/>
    <w:rsid w:val="00813624"/>
    <w:pPr>
      <w:tabs>
        <w:tab w:val="left" w:pos="1134"/>
        <w:tab w:val="right" w:leader="dot" w:pos="8494"/>
      </w:tabs>
      <w:spacing w:before="60"/>
      <w:ind w:left="539"/>
    </w:pPr>
  </w:style>
  <w:style w:type="paragraph" w:styleId="Encabezado">
    <w:name w:val="header"/>
    <w:basedOn w:val="Normal"/>
    <w:link w:val="EncabezadoCar"/>
    <w:uiPriority w:val="99"/>
    <w:rsid w:val="005D1DFC"/>
    <w:pPr>
      <w:tabs>
        <w:tab w:val="center" w:pos="4252"/>
        <w:tab w:val="right" w:pos="8504"/>
      </w:tabs>
    </w:pPr>
  </w:style>
  <w:style w:type="character" w:customStyle="1" w:styleId="EncabezadoCar">
    <w:name w:val="Encabezado Car"/>
    <w:basedOn w:val="Fuentedeprrafopredeter"/>
    <w:link w:val="Encabezado"/>
    <w:uiPriority w:val="99"/>
    <w:rsid w:val="005D1DFC"/>
    <w:rPr>
      <w:rFonts w:ascii="Arial" w:eastAsia="Times New Roman" w:hAnsi="Arial" w:cs="Times New Roman"/>
      <w:sz w:val="24"/>
      <w:szCs w:val="24"/>
      <w:lang w:val="ca-ES" w:eastAsia="es-ES"/>
    </w:rPr>
  </w:style>
  <w:style w:type="character" w:styleId="Nmerodepgina">
    <w:name w:val="page number"/>
    <w:basedOn w:val="Fuentedeprrafopredeter"/>
    <w:rsid w:val="005D1DFC"/>
  </w:style>
  <w:style w:type="paragraph" w:styleId="Descripcin">
    <w:name w:val="caption"/>
    <w:basedOn w:val="Normal"/>
    <w:next w:val="Normal"/>
    <w:link w:val="DescripcinCar"/>
    <w:qFormat/>
    <w:rsid w:val="005D1DFC"/>
    <w:pPr>
      <w:spacing w:after="120"/>
    </w:pPr>
    <w:rPr>
      <w:b/>
      <w:bCs/>
    </w:rPr>
  </w:style>
  <w:style w:type="paragraph" w:customStyle="1" w:styleId="TFCPFC-Ttol2">
    <w:name w:val="TFC/PFC - Títol 2"/>
    <w:basedOn w:val="Normal"/>
    <w:next w:val="Ttulo1"/>
    <w:rsid w:val="005D1DFC"/>
    <w:pPr>
      <w:numPr>
        <w:numId w:val="7"/>
      </w:numPr>
    </w:pPr>
  </w:style>
  <w:style w:type="table" w:styleId="Tablaconcuadrcula">
    <w:name w:val="Table Grid"/>
    <w:basedOn w:val="Tablanormal"/>
    <w:uiPriority w:val="39"/>
    <w:rsid w:val="005D1D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D1DFC"/>
    <w:pPr>
      <w:tabs>
        <w:tab w:val="center" w:pos="4252"/>
        <w:tab w:val="right" w:pos="8504"/>
      </w:tabs>
    </w:pPr>
  </w:style>
  <w:style w:type="character" w:customStyle="1" w:styleId="PiedepginaCar">
    <w:name w:val="Pie de página Car"/>
    <w:basedOn w:val="Fuentedeprrafopredeter"/>
    <w:link w:val="Piedepgina"/>
    <w:uiPriority w:val="99"/>
    <w:rsid w:val="005D1DFC"/>
    <w:rPr>
      <w:rFonts w:ascii="Arial" w:eastAsia="Times New Roman" w:hAnsi="Arial" w:cs="Times New Roman"/>
      <w:sz w:val="24"/>
      <w:szCs w:val="24"/>
      <w:lang w:val="ca-ES" w:eastAsia="es-ES"/>
    </w:rPr>
  </w:style>
  <w:style w:type="character" w:styleId="Textodelmarcadordeposicin">
    <w:name w:val="Placeholder Text"/>
    <w:basedOn w:val="Fuentedeprrafopredeter"/>
    <w:uiPriority w:val="99"/>
    <w:semiHidden/>
    <w:rsid w:val="005D1DFC"/>
    <w:rPr>
      <w:color w:val="808080"/>
    </w:rPr>
  </w:style>
  <w:style w:type="character" w:styleId="Mencinsinresolver">
    <w:name w:val="Unresolved Mention"/>
    <w:basedOn w:val="Fuentedeprrafopredeter"/>
    <w:uiPriority w:val="99"/>
    <w:semiHidden/>
    <w:unhideWhenUsed/>
    <w:rsid w:val="00995445"/>
    <w:rPr>
      <w:color w:val="605E5C"/>
      <w:shd w:val="clear" w:color="auto" w:fill="E1DFDD"/>
    </w:rPr>
  </w:style>
  <w:style w:type="character" w:styleId="Hipervnculovisitado">
    <w:name w:val="FollowedHyperlink"/>
    <w:basedOn w:val="Fuentedeprrafopredeter"/>
    <w:uiPriority w:val="99"/>
    <w:semiHidden/>
    <w:unhideWhenUsed/>
    <w:rsid w:val="00995445"/>
    <w:rPr>
      <w:color w:val="954F72" w:themeColor="followedHyperlink"/>
      <w:u w:val="single"/>
    </w:rPr>
  </w:style>
  <w:style w:type="paragraph" w:styleId="Textodeglobo">
    <w:name w:val="Balloon Text"/>
    <w:basedOn w:val="Normal"/>
    <w:link w:val="TextodegloboCar"/>
    <w:uiPriority w:val="99"/>
    <w:semiHidden/>
    <w:unhideWhenUsed/>
    <w:rsid w:val="00F357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57A6"/>
    <w:rPr>
      <w:rFonts w:ascii="Segoe UI" w:eastAsia="Times New Roman" w:hAnsi="Segoe UI" w:cs="Segoe UI"/>
      <w:sz w:val="18"/>
      <w:szCs w:val="18"/>
      <w:lang w:val="ca-ES" w:eastAsia="es-ES"/>
    </w:rPr>
  </w:style>
  <w:style w:type="paragraph" w:styleId="Prrafodelista">
    <w:name w:val="List Paragraph"/>
    <w:basedOn w:val="Normal"/>
    <w:uiPriority w:val="34"/>
    <w:qFormat/>
    <w:rsid w:val="00897E47"/>
    <w:pPr>
      <w:ind w:left="720"/>
      <w:contextualSpacing/>
    </w:pPr>
  </w:style>
  <w:style w:type="character" w:customStyle="1" w:styleId="Ttulo5Car">
    <w:name w:val="Título 5 Car"/>
    <w:basedOn w:val="Fuentedeprrafopredeter"/>
    <w:link w:val="Ttulo5"/>
    <w:uiPriority w:val="9"/>
    <w:semiHidden/>
    <w:rsid w:val="00713821"/>
    <w:rPr>
      <w:rFonts w:asciiTheme="majorHAnsi" w:eastAsiaTheme="majorEastAsia" w:hAnsiTheme="majorHAnsi" w:cstheme="majorBidi"/>
      <w:color w:val="2E74B5" w:themeColor="accent1" w:themeShade="BF"/>
      <w:sz w:val="20"/>
      <w:szCs w:val="20"/>
      <w:lang w:val="ca-ES" w:eastAsia="es-ES"/>
    </w:rPr>
  </w:style>
  <w:style w:type="character" w:customStyle="1" w:styleId="Ttulo6Car">
    <w:name w:val="Título 6 Car"/>
    <w:basedOn w:val="Fuentedeprrafopredeter"/>
    <w:link w:val="Ttulo6"/>
    <w:uiPriority w:val="9"/>
    <w:semiHidden/>
    <w:rsid w:val="00713821"/>
    <w:rPr>
      <w:rFonts w:asciiTheme="majorHAnsi" w:eastAsiaTheme="majorEastAsia" w:hAnsiTheme="majorHAnsi" w:cstheme="majorBidi"/>
      <w:color w:val="1F4D78" w:themeColor="accent1" w:themeShade="7F"/>
      <w:sz w:val="20"/>
      <w:szCs w:val="20"/>
      <w:lang w:val="ca-ES" w:eastAsia="es-ES"/>
    </w:rPr>
  </w:style>
  <w:style w:type="character" w:customStyle="1" w:styleId="Ttulo7Car">
    <w:name w:val="Título 7 Car"/>
    <w:basedOn w:val="Fuentedeprrafopredeter"/>
    <w:link w:val="Ttulo7"/>
    <w:uiPriority w:val="9"/>
    <w:semiHidden/>
    <w:rsid w:val="00713821"/>
    <w:rPr>
      <w:rFonts w:asciiTheme="majorHAnsi" w:eastAsiaTheme="majorEastAsia" w:hAnsiTheme="majorHAnsi" w:cstheme="majorBidi"/>
      <w:i/>
      <w:iCs/>
      <w:color w:val="1F4D78" w:themeColor="accent1" w:themeShade="7F"/>
      <w:sz w:val="20"/>
      <w:szCs w:val="20"/>
      <w:lang w:val="ca-ES" w:eastAsia="es-ES"/>
    </w:rPr>
  </w:style>
  <w:style w:type="character" w:customStyle="1" w:styleId="Ttulo8Car">
    <w:name w:val="Título 8 Car"/>
    <w:basedOn w:val="Fuentedeprrafopredeter"/>
    <w:link w:val="Ttulo8"/>
    <w:uiPriority w:val="9"/>
    <w:semiHidden/>
    <w:rsid w:val="00713821"/>
    <w:rPr>
      <w:rFonts w:asciiTheme="majorHAnsi" w:eastAsiaTheme="majorEastAsia" w:hAnsiTheme="majorHAnsi" w:cstheme="majorBidi"/>
      <w:color w:val="272727" w:themeColor="text1" w:themeTint="D8"/>
      <w:sz w:val="21"/>
      <w:szCs w:val="21"/>
      <w:lang w:val="ca-ES" w:eastAsia="es-ES"/>
    </w:rPr>
  </w:style>
  <w:style w:type="character" w:customStyle="1" w:styleId="Ttulo9Car">
    <w:name w:val="Título 9 Car"/>
    <w:basedOn w:val="Fuentedeprrafopredeter"/>
    <w:link w:val="Ttulo9"/>
    <w:uiPriority w:val="9"/>
    <w:semiHidden/>
    <w:rsid w:val="00713821"/>
    <w:rPr>
      <w:rFonts w:asciiTheme="majorHAnsi" w:eastAsiaTheme="majorEastAsia" w:hAnsiTheme="majorHAnsi" w:cstheme="majorBidi"/>
      <w:i/>
      <w:iCs/>
      <w:color w:val="272727" w:themeColor="text1" w:themeTint="D8"/>
      <w:sz w:val="21"/>
      <w:szCs w:val="21"/>
      <w:lang w:val="ca-ES" w:eastAsia="es-ES"/>
    </w:rPr>
  </w:style>
  <w:style w:type="character" w:styleId="Refdecomentario">
    <w:name w:val="annotation reference"/>
    <w:basedOn w:val="Fuentedeprrafopredeter"/>
    <w:uiPriority w:val="99"/>
    <w:semiHidden/>
    <w:unhideWhenUsed/>
    <w:qFormat/>
    <w:rsid w:val="003142CE"/>
    <w:rPr>
      <w:sz w:val="16"/>
      <w:szCs w:val="16"/>
    </w:rPr>
  </w:style>
  <w:style w:type="paragraph" w:styleId="Textocomentario">
    <w:name w:val="annotation text"/>
    <w:basedOn w:val="Normal"/>
    <w:link w:val="TextocomentarioCar"/>
    <w:uiPriority w:val="99"/>
    <w:unhideWhenUsed/>
    <w:rsid w:val="003142CE"/>
    <w:pPr>
      <w:spacing w:line="240" w:lineRule="auto"/>
    </w:pPr>
  </w:style>
  <w:style w:type="character" w:customStyle="1" w:styleId="TextocomentarioCar">
    <w:name w:val="Texto comentario Car"/>
    <w:basedOn w:val="Fuentedeprrafopredeter"/>
    <w:link w:val="Textocomentario"/>
    <w:uiPriority w:val="99"/>
    <w:rsid w:val="003142CE"/>
    <w:rPr>
      <w:rFonts w:ascii="Verdana" w:eastAsia="Times New Roman" w:hAnsi="Verdana"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3142CE"/>
    <w:rPr>
      <w:b/>
      <w:bCs/>
    </w:rPr>
  </w:style>
  <w:style w:type="character" w:customStyle="1" w:styleId="AsuntodelcomentarioCar">
    <w:name w:val="Asunto del comentario Car"/>
    <w:basedOn w:val="TextocomentarioCar"/>
    <w:link w:val="Asuntodelcomentario"/>
    <w:uiPriority w:val="99"/>
    <w:semiHidden/>
    <w:rsid w:val="003142CE"/>
    <w:rPr>
      <w:rFonts w:ascii="Verdana" w:eastAsia="Times New Roman" w:hAnsi="Verdana" w:cs="Times New Roman"/>
      <w:b/>
      <w:bCs/>
      <w:sz w:val="20"/>
      <w:szCs w:val="20"/>
      <w:lang w:val="ca-ES" w:eastAsia="es-ES"/>
    </w:rPr>
  </w:style>
  <w:style w:type="paragraph" w:customStyle="1" w:styleId="Independent">
    <w:name w:val="Independent"/>
    <w:link w:val="IndependentCar"/>
    <w:qFormat/>
    <w:rsid w:val="00F03AF2"/>
    <w:rPr>
      <w:rFonts w:ascii="Helvetica" w:eastAsia="Times New Roman" w:hAnsi="Helvetica" w:cs="Helvetica"/>
      <w:sz w:val="20"/>
      <w:szCs w:val="20"/>
      <w:lang w:val="ca-ES" w:eastAsia="es-ES"/>
    </w:rPr>
  </w:style>
  <w:style w:type="character" w:customStyle="1" w:styleId="IndependentCar">
    <w:name w:val="Independent Car"/>
    <w:basedOn w:val="Fuentedeprrafopredeter"/>
    <w:link w:val="Independent"/>
    <w:rsid w:val="00F03AF2"/>
    <w:rPr>
      <w:rFonts w:ascii="Helvetica" w:eastAsia="Times New Roman" w:hAnsi="Helvetica" w:cs="Helvetica"/>
      <w:sz w:val="20"/>
      <w:szCs w:val="20"/>
      <w:lang w:val="ca-ES" w:eastAsia="es-ES"/>
    </w:rPr>
  </w:style>
  <w:style w:type="paragraph" w:customStyle="1" w:styleId="TableParagraph">
    <w:name w:val="Table Paragraph"/>
    <w:basedOn w:val="Normal"/>
    <w:uiPriority w:val="1"/>
    <w:qFormat/>
    <w:rsid w:val="00244E10"/>
    <w:pPr>
      <w:widowControl w:val="0"/>
      <w:autoSpaceDE w:val="0"/>
      <w:autoSpaceDN w:val="0"/>
      <w:spacing w:before="0" w:line="240" w:lineRule="auto"/>
      <w:jc w:val="left"/>
    </w:pPr>
    <w:rPr>
      <w:rFonts w:ascii="Arial" w:eastAsia="Arial" w:hAnsi="Arial" w:cs="Arial"/>
      <w:sz w:val="22"/>
      <w:szCs w:val="22"/>
      <w:lang w:eastAsia="en-US"/>
    </w:rPr>
  </w:style>
  <w:style w:type="paragraph" w:customStyle="1" w:styleId="Default">
    <w:name w:val="Default"/>
    <w:rsid w:val="00D15CF8"/>
    <w:pPr>
      <w:autoSpaceDE w:val="0"/>
      <w:autoSpaceDN w:val="0"/>
      <w:adjustRightInd w:val="0"/>
      <w:spacing w:after="0" w:line="240" w:lineRule="auto"/>
    </w:pPr>
    <w:rPr>
      <w:rFonts w:ascii="Arial" w:hAnsi="Arial" w:cs="Arial"/>
      <w:color w:val="000000"/>
      <w:sz w:val="24"/>
      <w:szCs w:val="24"/>
      <w:lang w:val="ca-ES"/>
    </w:rPr>
  </w:style>
  <w:style w:type="paragraph" w:customStyle="1" w:styleId="Figura">
    <w:name w:val="Figura"/>
    <w:basedOn w:val="Descripcin"/>
    <w:link w:val="FiguraCar"/>
    <w:qFormat/>
    <w:rsid w:val="00F6625D"/>
    <w:pPr>
      <w:jc w:val="center"/>
    </w:pPr>
    <w:rPr>
      <w:b w:val="0"/>
      <w:bCs w:val="0"/>
      <w:sz w:val="18"/>
      <w:szCs w:val="18"/>
    </w:rPr>
  </w:style>
  <w:style w:type="character" w:customStyle="1" w:styleId="DescripcinCar">
    <w:name w:val="Descripción Car"/>
    <w:basedOn w:val="Fuentedeprrafopredeter"/>
    <w:link w:val="Descripcin"/>
    <w:rsid w:val="00F6625D"/>
    <w:rPr>
      <w:rFonts w:ascii="Helvetica" w:eastAsia="Times New Roman" w:hAnsi="Helvetica" w:cs="Helvetica"/>
      <w:b/>
      <w:bCs/>
      <w:sz w:val="20"/>
      <w:szCs w:val="20"/>
      <w:lang w:val="ca-ES" w:eastAsia="es-ES"/>
    </w:rPr>
  </w:style>
  <w:style w:type="character" w:customStyle="1" w:styleId="FiguraCar">
    <w:name w:val="Figura Car"/>
    <w:basedOn w:val="DescripcinCar"/>
    <w:link w:val="Figura"/>
    <w:rsid w:val="00F6625D"/>
    <w:rPr>
      <w:rFonts w:ascii="Helvetica" w:eastAsia="Times New Roman" w:hAnsi="Helvetica" w:cs="Helvetica"/>
      <w:b w:val="0"/>
      <w:bCs w:val="0"/>
      <w:sz w:val="18"/>
      <w:szCs w:val="18"/>
      <w:lang w:val="ca-ES" w:eastAsia="es-ES"/>
    </w:rPr>
  </w:style>
  <w:style w:type="paragraph" w:styleId="Tabladeilustraciones">
    <w:name w:val="table of figures"/>
    <w:basedOn w:val="Normal"/>
    <w:next w:val="Normal"/>
    <w:uiPriority w:val="99"/>
    <w:unhideWhenUsed/>
    <w:rsid w:val="00C61382"/>
  </w:style>
  <w:style w:type="paragraph" w:customStyle="1" w:styleId="Taula">
    <w:name w:val="Taula"/>
    <w:basedOn w:val="Descripcin"/>
    <w:link w:val="TaulaCar"/>
    <w:qFormat/>
    <w:rsid w:val="00EA6EC8"/>
    <w:pPr>
      <w:jc w:val="center"/>
    </w:pPr>
    <w:rPr>
      <w:b w:val="0"/>
      <w:bCs w:val="0"/>
      <w:sz w:val="18"/>
      <w:szCs w:val="18"/>
    </w:rPr>
  </w:style>
  <w:style w:type="character" w:customStyle="1" w:styleId="TaulaCar">
    <w:name w:val="Taula Car"/>
    <w:basedOn w:val="DescripcinCar"/>
    <w:link w:val="Taula"/>
    <w:rsid w:val="00EA6EC8"/>
    <w:rPr>
      <w:rFonts w:ascii="Helvetica" w:eastAsia="Times New Roman" w:hAnsi="Helvetica" w:cs="Helvetica"/>
      <w:b w:val="0"/>
      <w:bCs w:val="0"/>
      <w:sz w:val="18"/>
      <w:szCs w:val="18"/>
      <w:lang w:val="ca-ES" w:eastAsia="es-ES"/>
    </w:rPr>
  </w:style>
  <w:style w:type="character" w:styleId="Textoennegrita">
    <w:name w:val="Strong"/>
    <w:basedOn w:val="Fuentedeprrafopredeter"/>
    <w:uiPriority w:val="22"/>
    <w:qFormat/>
    <w:rsid w:val="006A68E6"/>
    <w:rPr>
      <w:b/>
      <w:bCs/>
    </w:rPr>
  </w:style>
  <w:style w:type="character" w:styleId="nfasis">
    <w:name w:val="Emphasis"/>
    <w:basedOn w:val="Fuentedeprrafopredeter"/>
    <w:uiPriority w:val="20"/>
    <w:qFormat/>
    <w:rsid w:val="006A68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91514">
      <w:bodyDiv w:val="1"/>
      <w:marLeft w:val="0"/>
      <w:marRight w:val="0"/>
      <w:marTop w:val="0"/>
      <w:marBottom w:val="0"/>
      <w:divBdr>
        <w:top w:val="none" w:sz="0" w:space="0" w:color="auto"/>
        <w:left w:val="none" w:sz="0" w:space="0" w:color="auto"/>
        <w:bottom w:val="none" w:sz="0" w:space="0" w:color="auto"/>
        <w:right w:val="none" w:sz="0" w:space="0" w:color="auto"/>
      </w:divBdr>
    </w:div>
    <w:div w:id="215970353">
      <w:bodyDiv w:val="1"/>
      <w:marLeft w:val="0"/>
      <w:marRight w:val="0"/>
      <w:marTop w:val="0"/>
      <w:marBottom w:val="0"/>
      <w:divBdr>
        <w:top w:val="none" w:sz="0" w:space="0" w:color="auto"/>
        <w:left w:val="none" w:sz="0" w:space="0" w:color="auto"/>
        <w:bottom w:val="none" w:sz="0" w:space="0" w:color="auto"/>
        <w:right w:val="none" w:sz="0" w:space="0" w:color="auto"/>
      </w:divBdr>
    </w:div>
    <w:div w:id="241185651">
      <w:bodyDiv w:val="1"/>
      <w:marLeft w:val="0"/>
      <w:marRight w:val="0"/>
      <w:marTop w:val="0"/>
      <w:marBottom w:val="0"/>
      <w:divBdr>
        <w:top w:val="none" w:sz="0" w:space="0" w:color="auto"/>
        <w:left w:val="none" w:sz="0" w:space="0" w:color="auto"/>
        <w:bottom w:val="none" w:sz="0" w:space="0" w:color="auto"/>
        <w:right w:val="none" w:sz="0" w:space="0" w:color="auto"/>
      </w:divBdr>
    </w:div>
    <w:div w:id="251667196">
      <w:bodyDiv w:val="1"/>
      <w:marLeft w:val="0"/>
      <w:marRight w:val="0"/>
      <w:marTop w:val="0"/>
      <w:marBottom w:val="0"/>
      <w:divBdr>
        <w:top w:val="none" w:sz="0" w:space="0" w:color="auto"/>
        <w:left w:val="none" w:sz="0" w:space="0" w:color="auto"/>
        <w:bottom w:val="none" w:sz="0" w:space="0" w:color="auto"/>
        <w:right w:val="none" w:sz="0" w:space="0" w:color="auto"/>
      </w:divBdr>
    </w:div>
    <w:div w:id="351876841">
      <w:bodyDiv w:val="1"/>
      <w:marLeft w:val="0"/>
      <w:marRight w:val="0"/>
      <w:marTop w:val="0"/>
      <w:marBottom w:val="0"/>
      <w:divBdr>
        <w:top w:val="none" w:sz="0" w:space="0" w:color="auto"/>
        <w:left w:val="none" w:sz="0" w:space="0" w:color="auto"/>
        <w:bottom w:val="none" w:sz="0" w:space="0" w:color="auto"/>
        <w:right w:val="none" w:sz="0" w:space="0" w:color="auto"/>
      </w:divBdr>
    </w:div>
    <w:div w:id="430901924">
      <w:bodyDiv w:val="1"/>
      <w:marLeft w:val="0"/>
      <w:marRight w:val="0"/>
      <w:marTop w:val="0"/>
      <w:marBottom w:val="0"/>
      <w:divBdr>
        <w:top w:val="none" w:sz="0" w:space="0" w:color="auto"/>
        <w:left w:val="none" w:sz="0" w:space="0" w:color="auto"/>
        <w:bottom w:val="none" w:sz="0" w:space="0" w:color="auto"/>
        <w:right w:val="none" w:sz="0" w:space="0" w:color="auto"/>
      </w:divBdr>
    </w:div>
    <w:div w:id="535966441">
      <w:bodyDiv w:val="1"/>
      <w:marLeft w:val="0"/>
      <w:marRight w:val="0"/>
      <w:marTop w:val="0"/>
      <w:marBottom w:val="0"/>
      <w:divBdr>
        <w:top w:val="none" w:sz="0" w:space="0" w:color="auto"/>
        <w:left w:val="none" w:sz="0" w:space="0" w:color="auto"/>
        <w:bottom w:val="none" w:sz="0" w:space="0" w:color="auto"/>
        <w:right w:val="none" w:sz="0" w:space="0" w:color="auto"/>
      </w:divBdr>
    </w:div>
    <w:div w:id="627393089">
      <w:bodyDiv w:val="1"/>
      <w:marLeft w:val="0"/>
      <w:marRight w:val="0"/>
      <w:marTop w:val="0"/>
      <w:marBottom w:val="0"/>
      <w:divBdr>
        <w:top w:val="none" w:sz="0" w:space="0" w:color="auto"/>
        <w:left w:val="none" w:sz="0" w:space="0" w:color="auto"/>
        <w:bottom w:val="none" w:sz="0" w:space="0" w:color="auto"/>
        <w:right w:val="none" w:sz="0" w:space="0" w:color="auto"/>
      </w:divBdr>
    </w:div>
    <w:div w:id="664013940">
      <w:bodyDiv w:val="1"/>
      <w:marLeft w:val="0"/>
      <w:marRight w:val="0"/>
      <w:marTop w:val="0"/>
      <w:marBottom w:val="0"/>
      <w:divBdr>
        <w:top w:val="none" w:sz="0" w:space="0" w:color="auto"/>
        <w:left w:val="none" w:sz="0" w:space="0" w:color="auto"/>
        <w:bottom w:val="none" w:sz="0" w:space="0" w:color="auto"/>
        <w:right w:val="none" w:sz="0" w:space="0" w:color="auto"/>
      </w:divBdr>
    </w:div>
    <w:div w:id="979267982">
      <w:bodyDiv w:val="1"/>
      <w:marLeft w:val="0"/>
      <w:marRight w:val="0"/>
      <w:marTop w:val="0"/>
      <w:marBottom w:val="0"/>
      <w:divBdr>
        <w:top w:val="none" w:sz="0" w:space="0" w:color="auto"/>
        <w:left w:val="none" w:sz="0" w:space="0" w:color="auto"/>
        <w:bottom w:val="none" w:sz="0" w:space="0" w:color="auto"/>
        <w:right w:val="none" w:sz="0" w:space="0" w:color="auto"/>
      </w:divBdr>
    </w:div>
    <w:div w:id="1024554350">
      <w:bodyDiv w:val="1"/>
      <w:marLeft w:val="0"/>
      <w:marRight w:val="0"/>
      <w:marTop w:val="0"/>
      <w:marBottom w:val="0"/>
      <w:divBdr>
        <w:top w:val="none" w:sz="0" w:space="0" w:color="auto"/>
        <w:left w:val="none" w:sz="0" w:space="0" w:color="auto"/>
        <w:bottom w:val="none" w:sz="0" w:space="0" w:color="auto"/>
        <w:right w:val="none" w:sz="0" w:space="0" w:color="auto"/>
      </w:divBdr>
    </w:div>
    <w:div w:id="1085345244">
      <w:bodyDiv w:val="1"/>
      <w:marLeft w:val="0"/>
      <w:marRight w:val="0"/>
      <w:marTop w:val="0"/>
      <w:marBottom w:val="0"/>
      <w:divBdr>
        <w:top w:val="none" w:sz="0" w:space="0" w:color="auto"/>
        <w:left w:val="none" w:sz="0" w:space="0" w:color="auto"/>
        <w:bottom w:val="none" w:sz="0" w:space="0" w:color="auto"/>
        <w:right w:val="none" w:sz="0" w:space="0" w:color="auto"/>
      </w:divBdr>
    </w:div>
    <w:div w:id="1604998910">
      <w:bodyDiv w:val="1"/>
      <w:marLeft w:val="0"/>
      <w:marRight w:val="0"/>
      <w:marTop w:val="0"/>
      <w:marBottom w:val="0"/>
      <w:divBdr>
        <w:top w:val="none" w:sz="0" w:space="0" w:color="auto"/>
        <w:left w:val="none" w:sz="0" w:space="0" w:color="auto"/>
        <w:bottom w:val="none" w:sz="0" w:space="0" w:color="auto"/>
        <w:right w:val="none" w:sz="0" w:space="0" w:color="auto"/>
      </w:divBdr>
    </w:div>
    <w:div w:id="2038039673">
      <w:bodyDiv w:val="1"/>
      <w:marLeft w:val="0"/>
      <w:marRight w:val="0"/>
      <w:marTop w:val="0"/>
      <w:marBottom w:val="0"/>
      <w:divBdr>
        <w:top w:val="none" w:sz="0" w:space="0" w:color="auto"/>
        <w:left w:val="none" w:sz="0" w:space="0" w:color="auto"/>
        <w:bottom w:val="none" w:sz="0" w:space="0" w:color="auto"/>
        <w:right w:val="none" w:sz="0" w:space="0" w:color="auto"/>
      </w:divBdr>
    </w:div>
    <w:div w:id="209054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guies.bibliotecnica.upc.edu/com-cit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yperlink" Target="https://www.ieee.org/content/dam/ieee-org/ieee/web/org/conferences/style_references_manual.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nwebv4.upc.edu/recursosdocents/" TargetMode="External"/><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10" Type="http://schemas.openxmlformats.org/officeDocument/2006/relationships/header" Target="header3.xml"/><Relationship Id="rId19" Type="http://schemas.openxmlformats.org/officeDocument/2006/relationships/hyperlink" Target="https://guies.bibliotecnica.upc.edu/Zoter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1CBC6-CE6B-4B90-8E07-93578074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3939</Words>
  <Characters>20838</Characters>
  <Application>Microsoft Office Word</Application>
  <DocSecurity>0</DocSecurity>
  <Lines>595</Lines>
  <Paragraphs>330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Laia Serveto</dc:creator>
  <cp:keywords/>
  <dc:description/>
  <cp:lastModifiedBy>Anna</cp:lastModifiedBy>
  <cp:revision>4</cp:revision>
  <cp:lastPrinted>2023-03-01T09:57:00Z</cp:lastPrinted>
  <dcterms:created xsi:type="dcterms:W3CDTF">2024-07-08T09:17:00Z</dcterms:created>
  <dcterms:modified xsi:type="dcterms:W3CDTF">2024-07-08T09:21:00Z</dcterms:modified>
</cp:coreProperties>
</file>