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480" w:before="240" w:after="120"/>
        <w:rPr>
          <w:rFonts w:ascii="Calibri" w:hAnsi="Calibri"/>
          <w:sz w:val="24"/>
          <w:szCs w:val="24"/>
        </w:rPr>
      </w:pPr>
      <w:r>
        <w:rPr>
          <w:rFonts w:ascii="Calibri" w:hAnsi="Calibri"/>
          <w:sz w:val="24"/>
          <w:szCs w:val="24"/>
        </w:rPr>
      </w:r>
    </w:p>
    <w:p>
      <w:pPr>
        <w:pStyle w:val="Title"/>
        <w:bidi w:val="0"/>
        <w:spacing w:lineRule="auto" w:line="480"/>
        <w:rPr>
          <w:rFonts w:ascii="Calibri" w:hAnsi="Calibri"/>
          <w:sz w:val="24"/>
          <w:szCs w:val="24"/>
        </w:rPr>
      </w:pPr>
      <w:r>
        <w:rPr>
          <w:rFonts w:ascii="Calibri" w:hAnsi="Calibri"/>
          <w:sz w:val="24"/>
          <w:szCs w:val="24"/>
        </w:rPr>
      </w:r>
    </w:p>
    <w:p>
      <w:pPr>
        <w:pStyle w:val="Title"/>
        <w:bidi w:val="0"/>
        <w:spacing w:lineRule="auto" w:line="480"/>
        <w:rPr>
          <w:rFonts w:ascii="Calibri" w:hAnsi="Calibri"/>
          <w:sz w:val="24"/>
          <w:szCs w:val="24"/>
        </w:rPr>
      </w:pPr>
      <w:r>
        <w:rPr>
          <w:rFonts w:ascii="Calibri" w:hAnsi="Calibri"/>
          <w:sz w:val="24"/>
          <w:szCs w:val="24"/>
        </w:rPr>
      </w:r>
    </w:p>
    <w:p>
      <w:pPr>
        <w:pStyle w:val="Title"/>
        <w:bidi w:val="0"/>
        <w:spacing w:lineRule="auto" w:line="480"/>
        <w:rPr>
          <w:rFonts w:ascii="Calibri" w:hAnsi="Calibri"/>
          <w:sz w:val="24"/>
          <w:szCs w:val="24"/>
        </w:rPr>
      </w:pPr>
      <w:r>
        <w:rPr>
          <w:rFonts w:ascii="Calibri" w:hAnsi="Calibri"/>
          <w:sz w:val="24"/>
          <w:szCs w:val="24"/>
        </w:rPr>
      </w:r>
    </w:p>
    <w:p>
      <w:pPr>
        <w:pStyle w:val="Title"/>
        <w:bidi w:val="0"/>
        <w:rPr>
          <w:rFonts w:ascii="Calibri" w:hAnsi="Calibri"/>
        </w:rPr>
      </w:pPr>
      <w:r>
        <w:rPr>
          <w:rFonts w:ascii="Calibri" w:hAnsi="Calibri"/>
        </w:rPr>
        <w:t>Microsoft Azure AI Content Safety</w:t>
      </w:r>
    </w:p>
    <w:p>
      <w:pPr>
        <w:pStyle w:val="Normal"/>
        <w:bidi w:val="0"/>
        <w:spacing w:lineRule="auto" w:line="480" w:before="0" w:after="0"/>
        <w:ind w:hanging="0" w:start="0"/>
        <w:jc w:val="center"/>
        <w:rPr>
          <w:color w:val="000000"/>
        </w:rPr>
      </w:pPr>
      <w:r>
        <mc:AlternateContent>
          <mc:Choice Requires="wps">
            <w:drawing>
              <wp:anchor distT="18415" distB="18415" distL="18415" distR="18415" simplePos="0" relativeHeight="2" behindDoc="0" locked="0" layoutInCell="1" allowOverlap="1">
                <wp:simplePos x="0" y="0"/>
                <wp:positionH relativeFrom="column">
                  <wp:posOffset>-307340</wp:posOffset>
                </wp:positionH>
                <wp:positionV relativeFrom="paragraph">
                  <wp:posOffset>-83820</wp:posOffset>
                </wp:positionV>
                <wp:extent cx="7319010" cy="635"/>
                <wp:effectExtent l="18415" t="18415" r="18415" b="18415"/>
                <wp:wrapNone/>
                <wp:docPr id="1" name="Line 1"/>
                <a:graphic xmlns:a="http://schemas.openxmlformats.org/drawingml/2006/main">
                  <a:graphicData uri="http://schemas.microsoft.com/office/word/2010/wordprocessingShape">
                    <wps:wsp>
                      <wps:cNvSpPr/>
                      <wps:spPr>
                        <a:xfrm>
                          <a:off x="0" y="0"/>
                          <a:ext cx="7319160" cy="720"/>
                        </a:xfrm>
                        <a:prstGeom prst="line">
                          <a:avLst/>
                        </a:prstGeom>
                        <a:ln w="36720">
                          <a:solidFill>
                            <a:srgbClr val="3465A4"/>
                          </a:solidFill>
                          <a:round/>
                        </a:ln>
                      </wps:spPr>
                      <wps:style>
                        <a:lnRef idx="0"/>
                        <a:fillRef idx="0"/>
                        <a:effectRef idx="0"/>
                        <a:fontRef idx="minor"/>
                      </wps:style>
                      <wps:bodyPr/>
                    </wps:wsp>
                  </a:graphicData>
                </a:graphic>
              </wp:anchor>
            </w:drawing>
          </mc:Choice>
          <mc:Fallback>
            <w:pict>
              <v:line id="shape_0" from="-24.2pt,-6.6pt" to="552.05pt,-6.6pt" stroked="t" o:allowincell="f" style="position:absolute">
                <v:stroke color="#3465a4" weight="36720" joinstyle="round" endcap="flat"/>
                <v:fill o:detectmouseclick="t" on="false"/>
                <w10:wrap type="none"/>
              </v:line>
            </w:pict>
          </mc:Fallback>
        </mc:AlternateContent>
      </w:r>
      <w:r>
        <w:rPr>
          <w:rFonts w:eastAsia="Calibri" w:ascii="Calibri" w:hAnsi="Calibri"/>
          <w:b w:val="false"/>
          <w:color w:val="000000"/>
          <w:sz w:val="24"/>
          <w:szCs w:val="24"/>
        </w:rPr>
        <w:t>Author: Tim Hollis</w:t>
      </w:r>
    </w:p>
    <w:p>
      <w:pPr>
        <w:pStyle w:val="Normal"/>
        <w:bidi w:val="0"/>
        <w:spacing w:lineRule="auto" w:line="480" w:before="0" w:after="0"/>
        <w:ind w:hanging="0" w:start="0"/>
        <w:jc w:val="center"/>
        <w:rPr>
          <w:color w:val="000000"/>
        </w:rPr>
      </w:pPr>
      <w:r>
        <w:rPr>
          <w:rFonts w:eastAsia="Calibri" w:ascii="Calibri" w:hAnsi="Calibri"/>
          <w:b w:val="false"/>
          <w:color w:val="000000"/>
          <w:sz w:val="24"/>
          <w:szCs w:val="24"/>
        </w:rPr>
        <w:t>Bellevue University</w:t>
      </w:r>
    </w:p>
    <w:p>
      <w:pPr>
        <w:pStyle w:val="Normal"/>
        <w:bidi w:val="0"/>
        <w:spacing w:lineRule="auto" w:line="480" w:before="0" w:after="0"/>
        <w:ind w:hanging="0" w:start="0"/>
        <w:jc w:val="center"/>
        <w:rPr>
          <w:color w:val="000000"/>
        </w:rPr>
      </w:pPr>
      <w:r>
        <w:rPr>
          <w:rFonts w:eastAsia="Calibri" w:ascii="Calibri" w:hAnsi="Calibri"/>
          <w:b w:val="false"/>
          <w:color w:val="000000"/>
          <w:sz w:val="24"/>
          <w:szCs w:val="24"/>
        </w:rPr>
        <w:t>Course: DSC670 – Advanced Uses of Generative AI</w:t>
      </w:r>
    </w:p>
    <w:p>
      <w:pPr>
        <w:pStyle w:val="Normal"/>
        <w:bidi w:val="0"/>
        <w:spacing w:lineRule="auto" w:line="480" w:before="0" w:after="0"/>
        <w:ind w:hanging="0" w:start="0"/>
        <w:jc w:val="center"/>
        <w:rPr>
          <w:color w:val="000000"/>
        </w:rPr>
      </w:pPr>
      <w:r>
        <w:rPr>
          <w:rFonts w:eastAsia="Calibri" w:ascii="Calibri" w:hAnsi="Calibri"/>
          <w:b w:val="false"/>
          <w:color w:val="000000"/>
          <w:sz w:val="24"/>
          <w:szCs w:val="24"/>
        </w:rPr>
        <w:t>Professor Neugebauer</w:t>
      </w:r>
    </w:p>
    <w:p>
      <w:pPr>
        <w:pStyle w:val="Normal"/>
        <w:bidi w:val="0"/>
        <w:spacing w:lineRule="auto" w:line="480" w:before="0" w:after="0"/>
        <w:ind w:hanging="0" w:start="0"/>
        <w:jc w:val="center"/>
        <w:rPr>
          <w:color w:val="000000"/>
        </w:rPr>
      </w:pPr>
      <w:r>
        <w:rPr>
          <w:rFonts w:eastAsia="Calibri" w:ascii="Calibri" w:hAnsi="Calibri"/>
          <w:b w:val="false"/>
          <w:color w:val="000000"/>
          <w:sz w:val="24"/>
          <w:szCs w:val="24"/>
        </w:rPr>
        <w:t>August 13, 2026</w:t>
      </w:r>
    </w:p>
    <w:p>
      <w:pPr>
        <w:pStyle w:val="Normal"/>
        <w:bidi w:val="0"/>
        <w:spacing w:lineRule="auto" w:line="480"/>
        <w:jc w:val="start"/>
        <w:rPr>
          <w:color w:val="000000"/>
        </w:rPr>
      </w:pPr>
      <w:r>
        <w:rPr>
          <w:rFonts w:ascii="Calibri" w:hAnsi="Calibri"/>
          <w:color w:val="000000"/>
          <w:sz w:val="24"/>
          <w:szCs w:val="24"/>
        </w:rPr>
      </w:r>
      <w:r>
        <w:br w:type="page"/>
      </w:r>
    </w:p>
    <w:p>
      <w:pPr>
        <w:pStyle w:val="BodyText"/>
        <w:bidi w:val="0"/>
        <w:spacing w:lineRule="auto" w:line="480"/>
        <w:ind w:hanging="0" w:start="0" w:end="0"/>
        <w:jc w:val="center"/>
        <w:rPr>
          <w:rFonts w:ascii="Calibri" w:hAnsi="Calibri"/>
          <w:b/>
          <w:bCs/>
          <w:sz w:val="32"/>
          <w:szCs w:val="32"/>
        </w:rPr>
      </w:pPr>
      <w:r>
        <w:rPr>
          <w:rFonts w:ascii="Calibri" w:hAnsi="Calibri"/>
          <w:b/>
          <w:bCs/>
          <w:sz w:val="32"/>
          <w:szCs w:val="32"/>
        </w:rPr>
        <w:t>Microsoft Azure AI Content Safety</w:t>
      </w:r>
    </w:p>
    <w:p>
      <w:pPr>
        <w:pStyle w:val="BodyText"/>
        <w:bidi w:val="0"/>
        <w:spacing w:lineRule="auto" w:line="480"/>
        <w:ind w:hanging="0" w:start="0" w:end="0"/>
        <w:rPr>
          <w:rFonts w:ascii="Calibri" w:hAnsi="Calibri"/>
          <w:sz w:val="24"/>
        </w:rPr>
      </w:pPr>
      <w:r>
        <w:rPr>
          <w:rFonts w:ascii="Calibri" w:hAnsi="Calibri"/>
          <w:sz w:val="24"/>
          <w:szCs w:val="24"/>
        </w:rPr>
        <w:tab/>
      </w:r>
      <w:r>
        <w:rPr>
          <w:rFonts w:ascii="Calibri" w:hAnsi="Calibri"/>
        </w:rPr>
        <w:t>Azure AI Content Safety is Microsoft's managed moderation service for generative applications. What struck me while researching it is that Microsoft treats safety as a configurable layer wrapped around the model rather than as a property of the model itself, which is a meaningfully different posture than asking a vendor to make its model behave.</w:t>
      </w:r>
    </w:p>
    <w:p>
      <w:pPr>
        <w:pStyle w:val="BodyText"/>
        <w:bidi w:val="0"/>
        <w:spacing w:lineRule="auto" w:line="480"/>
        <w:ind w:hanging="0" w:start="0" w:end="0"/>
        <w:rPr>
          <w:rFonts w:ascii="Calibri" w:hAnsi="Calibri"/>
        </w:rPr>
      </w:pPr>
      <w:r>
        <w:rPr>
          <w:rFonts w:ascii="Calibri" w:hAnsi="Calibri"/>
        </w:rPr>
        <w:tab/>
        <w:t xml:space="preserve">The foundation is classification across four harm categories: violence, hate, sexual, and self-harm </w:t>
      </w:r>
      <w:r>
        <w:rPr>
          <w:rFonts w:ascii="Calibri" w:hAnsi="Calibri"/>
        </w:rPr>
        <w:t>(</w:t>
      </w:r>
      <w:r>
        <w:rPr>
          <w:rFonts w:ascii="Calibri" w:hAnsi="Calibri"/>
          <w:i/>
        </w:rPr>
        <w:t>Content Safety in Foundry Control Plane | Microsoft Azure</w:t>
      </w:r>
      <w:r>
        <w:rPr>
          <w:rFonts w:ascii="Calibri" w:hAnsi="Calibri"/>
        </w:rPr>
        <w:t xml:space="preserve">, n.d.) </w:t>
      </w:r>
      <w:r>
        <w:rPr>
          <w:rFonts w:ascii="Calibri" w:hAnsi="Calibri"/>
        </w:rPr>
        <w:t xml:space="preserve">. Rather than returning a binary verdict, the service categorizes content by severity level, and organizations configure their own thresholds for each category to match their responsible AI policies </w:t>
      </w:r>
      <w:r>
        <w:rPr>
          <w:rFonts w:ascii="Calibri" w:hAnsi="Calibri"/>
        </w:rPr>
        <w:t>(PatrickFarley, n.d.)</w:t>
      </w:r>
      <w:r>
        <w:rPr>
          <w:rFonts w:ascii="Calibri" w:hAnsi="Calibri"/>
        </w:rPr>
        <w:t xml:space="preserve">. Moderation applies to text, images, and multimodal content, and covers both user-supplied input and model-generated output </w:t>
      </w:r>
      <w:r>
        <w:rPr>
          <w:rFonts w:ascii="Calibri" w:hAnsi="Calibri"/>
        </w:rPr>
        <w:t>(</w:t>
      </w:r>
      <w:r>
        <w:rPr>
          <w:rFonts w:ascii="Calibri" w:hAnsi="Calibri"/>
          <w:i/>
        </w:rPr>
        <w:t>Content Safety in Foundry Control Plane | Microsoft Azure</w:t>
      </w:r>
      <w:r>
        <w:rPr>
          <w:rFonts w:ascii="Calibri" w:hAnsi="Calibri"/>
        </w:rPr>
        <w:t xml:space="preserve">, n.d.) </w:t>
      </w:r>
      <w:r>
        <w:rPr>
          <w:rFonts w:ascii="Calibri" w:hAnsi="Calibri"/>
        </w:rPr>
        <w:t>.</w:t>
      </w:r>
    </w:p>
    <w:p>
      <w:pPr>
        <w:pStyle w:val="BodyText"/>
        <w:bidi w:val="0"/>
        <w:spacing w:lineRule="auto" w:line="480"/>
        <w:ind w:hanging="0" w:start="0" w:end="0"/>
        <w:rPr>
          <w:rFonts w:ascii="Calibri" w:hAnsi="Calibri"/>
        </w:rPr>
      </w:pPr>
      <w:r>
        <w:rPr>
          <w:rFonts w:ascii="Calibri" w:hAnsi="Calibri"/>
        </w:rPr>
        <w:tab/>
        <w:t xml:space="preserve">Layered on top are components aimed at failure modes that ordinary moderation misses. Microsoft describes Prompt Shields as a unified interface addressing both jailbreak attempts, in which a user manipulates the model into bypassing its own safety protocols, and indirect attacks embedded in retrieved documents. Groundedness detection determines whether a model's responses are supported by the trusted sources the user supplied, which addresses hallucination in retrieval-based systems, while protected material detection identifies known copyrighted text such as song lyrics or articles and flags generated code matching public repositories </w:t>
      </w:r>
      <w:r>
        <w:rPr>
          <w:rFonts w:ascii="Calibri" w:hAnsi="Calibri"/>
        </w:rPr>
        <w:t>(PatrickFarley, n.d.).</w:t>
      </w:r>
      <w:r>
        <w:rPr>
          <w:rFonts w:ascii="Calibri" w:hAnsi="Calibri"/>
        </w:rPr>
        <w:t xml:space="preserve"> For policies the built-in categories cannot express, custom categories allow an organization to train a filter on its own examples </w:t>
      </w:r>
      <w:r>
        <w:rPr>
          <w:rFonts w:ascii="Calibri" w:hAnsi="Calibri"/>
        </w:rPr>
        <w:t>(</w:t>
      </w:r>
      <w:r>
        <w:rPr>
          <w:rFonts w:ascii="Calibri" w:hAnsi="Calibri"/>
          <w:i/>
        </w:rPr>
        <w:t>Content Safety in Foundry Control Plane | Microsoft Azure</w:t>
      </w:r>
      <w:r>
        <w:rPr>
          <w:rFonts w:ascii="Calibri" w:hAnsi="Calibri"/>
        </w:rPr>
        <w:t xml:space="preserve">, n.d.) </w:t>
      </w:r>
      <w:r>
        <w:rPr>
          <w:rFonts w:ascii="Calibri" w:hAnsi="Calibri"/>
        </w:rPr>
        <w:t>.</w:t>
      </w:r>
    </w:p>
    <w:p>
      <w:pPr>
        <w:pStyle w:val="BodyText"/>
        <w:bidi w:val="0"/>
        <w:spacing w:lineRule="auto" w:line="480"/>
        <w:ind w:hanging="0" w:start="0" w:end="0"/>
        <w:rPr>
          <w:rFonts w:ascii="Calibri" w:hAnsi="Calibri"/>
        </w:rPr>
      </w:pPr>
      <w:r>
        <w:rPr>
          <w:rFonts w:ascii="Calibri" w:hAnsi="Calibri"/>
        </w:rPr>
        <w:tab/>
        <w:t xml:space="preserve">The governance value here may exceed the technical value. Because thresholds are adjustable per category </w:t>
      </w:r>
      <w:r>
        <w:rPr>
          <w:rFonts w:ascii="Calibri" w:hAnsi="Calibri"/>
        </w:rPr>
        <w:t>(</w:t>
      </w:r>
      <w:r>
        <w:rPr>
          <w:rFonts w:ascii="Calibri" w:hAnsi="Calibri"/>
          <w:i/>
        </w:rPr>
        <w:t>Content Safety in Foundry Control Plane | Microsoft Azure</w:t>
      </w:r>
      <w:r>
        <w:rPr>
          <w:rFonts w:ascii="Calibri" w:hAnsi="Calibri"/>
        </w:rPr>
        <w:t xml:space="preserve">, n.d.) </w:t>
      </w:r>
      <w:r>
        <w:rPr>
          <w:rFonts w:ascii="Calibri" w:hAnsi="Calibri"/>
        </w:rPr>
        <w:t>, an institution produces a documented, defensible record of where it set its risk tolerance and why. Coming from banking, where examiners care as much about demonstrable control design as about outcomes, that auditability strikes me as the more durable contribution.</w:t>
      </w:r>
    </w:p>
    <w:p>
      <w:pPr>
        <w:pStyle w:val="BodyText"/>
        <w:bidi w:val="0"/>
        <w:spacing w:lineRule="auto" w:line="480"/>
        <w:ind w:hanging="0" w:start="0" w:end="0"/>
        <w:rPr>
          <w:rFonts w:ascii="Calibri" w:hAnsi="Calibri"/>
          <w:sz w:val="24"/>
        </w:rPr>
      </w:pPr>
      <w:r>
        <w:rPr>
          <w:rFonts w:ascii="Calibri" w:hAnsi="Calibri"/>
        </w:rPr>
        <w:tab/>
        <w:t>Microsoft positions these features as layers rather than guarantees, and the record supports that caution. Reddy and Gujral (2025) document that the EchoLeak exploit evaded Microsoft's own cross prompt injection classifier before the underlying flaw was remediated, which illustrates that detection reduces the probability of harmful output without eliminating it. Content Safety is best understood as one control within a defense-in-depth design rather than a solution that permits an organization to stop thinking about the problem.</w:t>
      </w:r>
    </w:p>
    <w:p>
      <w:pPr>
        <w:pStyle w:val="BodyText"/>
        <w:bidi w:val="0"/>
        <w:spacing w:lineRule="auto" w:line="480"/>
        <w:ind w:hanging="0" w:start="0" w:end="0"/>
        <w:rPr>
          <w:rFonts w:ascii="Calibri" w:hAnsi="Calibri"/>
          <w:sz w:val="24"/>
          <w:szCs w:val="24"/>
        </w:rPr>
      </w:pPr>
      <w:r>
        <w:rPr>
          <w:rFonts w:ascii="Calibri" w:hAnsi="Calibri"/>
          <w:sz w:val="24"/>
          <w:szCs w:val="24"/>
        </w:rPr>
      </w:r>
      <w:r>
        <w:br w:type="page"/>
      </w:r>
    </w:p>
    <w:p>
      <w:pPr>
        <w:pStyle w:val="BodyText"/>
        <w:bidi w:val="0"/>
        <w:spacing w:lineRule="auto" w:line="480"/>
        <w:ind w:hanging="0" w:start="0" w:end="0"/>
        <w:rPr>
          <w:rFonts w:ascii="Calibri" w:hAnsi="Calibri"/>
          <w:b/>
          <w:bCs/>
          <w:sz w:val="24"/>
          <w:szCs w:val="24"/>
        </w:rPr>
      </w:pPr>
      <w:r>
        <w:rPr>
          <w:rFonts w:ascii="Calibri" w:hAnsi="Calibri"/>
          <w:b/>
          <w:bCs/>
          <w:sz w:val="24"/>
          <w:szCs w:val="24"/>
        </w:rPr>
        <w:t>References:</w:t>
      </w:r>
    </w:p>
    <w:p>
      <w:pPr>
        <w:pStyle w:val="BodyText"/>
        <w:bidi w:val="0"/>
        <w:spacing w:lineRule="auto" w:line="480"/>
        <w:ind w:hanging="0" w:start="0" w:end="0"/>
        <w:rPr/>
      </w:pPr>
      <w:hyperlink r:id="rId2">
        <w:r>
          <w:rPr>
            <w:rFonts w:ascii="Times New Roman" w:hAnsi="Times New Roman"/>
            <w:sz w:val="24"/>
          </w:rPr>
          <w:t xml:space="preserve">PatrickFarley. (n.d.). </w:t>
        </w:r>
      </w:hyperlink>
      <w:r>
        <w:rPr>
          <w:rFonts w:ascii="Times New Roman" w:hAnsi="Times New Roman"/>
          <w:i/>
          <w:sz w:val="24"/>
        </w:rPr>
        <w:t xml:space="preserve">Azure AI Content Safety documentation - Quickstarts, Tutorials, API Reference - </w:t>
        <w:tab/>
        <w:t>Foundry Tools</w:t>
      </w:r>
      <w:r>
        <w:rPr>
          <w:rFonts w:ascii="Times New Roman" w:hAnsi="Times New Roman"/>
          <w:sz w:val="24"/>
        </w:rPr>
        <w:t xml:space="preserve">. Microsoft Learn. </w:t>
      </w:r>
      <w:hyperlink r:id="rId3">
        <w:r>
          <w:rPr>
            <w:rStyle w:val="Hyperlink"/>
            <w:rFonts w:ascii="Times New Roman" w:hAnsi="Times New Roman"/>
            <w:sz w:val="24"/>
          </w:rPr>
          <w:t>https://learn.microsoft.com/en-us/azure/ai-services/content-</w:t>
        </w:r>
      </w:hyperlink>
      <w:r>
        <w:rPr>
          <w:rFonts w:ascii="Times New Roman" w:hAnsi="Times New Roman"/>
          <w:sz w:val="24"/>
        </w:rPr>
        <w:tab/>
        <w:t>safety/</w:t>
      </w:r>
    </w:p>
    <w:p>
      <w:pPr>
        <w:pStyle w:val="BodyText"/>
        <w:bidi w:val="0"/>
        <w:spacing w:lineRule="auto" w:line="480"/>
        <w:ind w:hanging="0" w:start="0" w:end="0"/>
        <w:rPr/>
      </w:pPr>
      <w:hyperlink r:id="rId4">
        <w:r>
          <w:rPr>
            <w:rFonts w:ascii="Times New Roman" w:hAnsi="Times New Roman"/>
            <w:i/>
            <w:sz w:val="24"/>
          </w:rPr>
          <w:t>Content safety in Foundry Control Plane | Microsoft Azure</w:t>
        </w:r>
      </w:hyperlink>
      <w:r>
        <w:rPr>
          <w:rFonts w:ascii="Times New Roman" w:hAnsi="Times New Roman"/>
          <w:sz w:val="24"/>
        </w:rPr>
        <w:t xml:space="preserve">. (n.d.). </w:t>
        <w:tab/>
      </w:r>
      <w:hyperlink r:id="rId5">
        <w:r>
          <w:rPr>
            <w:rStyle w:val="Hyperlink"/>
            <w:rFonts w:ascii="Times New Roman" w:hAnsi="Times New Roman"/>
            <w:sz w:val="24"/>
          </w:rPr>
          <w:t>https://azure.microsoft.com/en-us/products/ai-services/ai-content-safety</w:t>
        </w:r>
      </w:hyperlink>
    </w:p>
    <w:p>
      <w:pPr>
        <w:pStyle w:val="BodyText"/>
        <w:bidi w:val="0"/>
        <w:spacing w:lineRule="auto" w:line="480"/>
        <w:ind w:hanging="0" w:start="0" w:end="0"/>
        <w:rPr>
          <w:rFonts w:ascii="Times New Roman" w:hAnsi="Times New Roman"/>
          <w:sz w:val="24"/>
        </w:rPr>
      </w:pPr>
      <w:r>
        <w:rPr>
          <w:rFonts w:ascii="Times New Roman" w:hAnsi="Times New Roman"/>
          <w:sz w:val="24"/>
        </w:rPr>
        <w:t xml:space="preserve">Reddy, P., &amp; Gujral, A. S. (2025). EchoLeak: the first Real-World Zero-Click prompt InjectionExploit </w:t>
        <w:tab/>
        <w:t xml:space="preserve">in a production LLM system. </w:t>
      </w:r>
      <w:r>
        <w:rPr>
          <w:rFonts w:ascii="Times New Roman" w:hAnsi="Times New Roman"/>
          <w:i/>
          <w:sz w:val="24"/>
        </w:rPr>
        <w:t>Proceedings of the AAAI Symposium Series</w:t>
      </w:r>
      <w:r>
        <w:rPr>
          <w:rFonts w:ascii="Times New Roman" w:hAnsi="Times New Roman"/>
          <w:sz w:val="24"/>
        </w:rPr>
        <w:t xml:space="preserve">, </w:t>
      </w:r>
      <w:r>
        <w:rPr>
          <w:rFonts w:ascii="Times New Roman" w:hAnsi="Times New Roman"/>
          <w:i/>
          <w:sz w:val="24"/>
        </w:rPr>
        <w:t>7</w:t>
      </w:r>
      <w:r>
        <w:rPr>
          <w:rFonts w:ascii="Times New Roman" w:hAnsi="Times New Roman"/>
          <w:sz w:val="24"/>
        </w:rPr>
        <w:t xml:space="preserve">(1), 303–311. </w:t>
        <w:tab/>
      </w:r>
      <w:hyperlink r:id="rId6">
        <w:r>
          <w:rPr>
            <w:rStyle w:val="Hyperlink"/>
            <w:rFonts w:ascii="Times New Roman" w:hAnsi="Times New Roman"/>
            <w:sz w:val="24"/>
          </w:rPr>
          <w:t>https://doi.org/10.1609/aaaiss.v7i1.36899</w:t>
        </w:r>
      </w:hyperlink>
    </w:p>
    <w:p>
      <w:pPr>
        <w:pStyle w:val="BodyText"/>
        <w:bidi w:val="0"/>
        <w:spacing w:lineRule="auto" w:line="480"/>
        <w:ind w:hanging="0" w:start="0" w:end="0"/>
        <w:rPr>
          <w:rFonts w:ascii="Times New Roman" w:hAnsi="Times New Roman"/>
          <w:sz w:val="24"/>
        </w:rPr>
      </w:pPr>
      <w:r>
        <w:rPr>
          <w:rFonts w:ascii="Times New Roman" w:hAnsi="Times New Roman"/>
          <w:sz w:val="24"/>
        </w:rPr>
      </w:r>
    </w:p>
    <w:p>
      <w:pPr>
        <w:pStyle w:val="BodyText"/>
        <w:bidi w:val="0"/>
        <w:spacing w:lineRule="auto" w:line="480"/>
        <w:ind w:hanging="0" w:start="0" w:end="0"/>
        <w:rPr>
          <w:rFonts w:ascii="Times New Roman" w:hAnsi="Times New Roman"/>
          <w:sz w:val="24"/>
        </w:rPr>
      </w:pPr>
      <w:r>
        <w:rPr>
          <w:rFonts w:ascii="Times New Roman" w:hAnsi="Times New Roman"/>
          <w:sz w:val="24"/>
        </w:rPr>
      </w:r>
    </w:p>
    <w:p>
      <w:pPr>
        <w:pStyle w:val="BodyText"/>
        <w:bidi w:val="0"/>
        <w:spacing w:lineRule="auto" w:line="480"/>
        <w:ind w:hanging="0" w:start="0" w:end="0"/>
        <w:rPr>
          <w:rFonts w:ascii="Calibri" w:hAnsi="Calibri"/>
          <w:sz w:val="24"/>
          <w:szCs w:val="24"/>
        </w:rPr>
      </w:pPr>
      <w:r>
        <w:rPr>
          <w:rFonts w:ascii="Calibri" w:hAnsi="Calibri"/>
          <w:sz w:val="24"/>
          <w:szCs w:val="24"/>
        </w:rPr>
      </w:r>
    </w:p>
    <w:p>
      <w:pPr>
        <w:pStyle w:val="Normal"/>
        <w:bidi w:val="0"/>
        <w:spacing w:lineRule="auto" w:line="480"/>
        <w:jc w:val="start"/>
        <w:rPr>
          <w:rFonts w:ascii="Calibri" w:hAnsi="Calibri"/>
          <w:sz w:val="24"/>
          <w:szCs w:val="24"/>
        </w:rPr>
      </w:pPr>
      <w:r>
        <w:rPr>
          <w:rFonts w:ascii="Calibri" w:hAnsi="Calibri"/>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Times New Roman">
    <w:charset w:val="00" w:characterSet="windows-1252"/>
    <w:family w:val="auto"/>
    <w:pitch w:val="default"/>
  </w:font>
</w:fonts>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microsoft.com/en-us/azure/ai-services/content-safety/" TargetMode="External"/><Relationship Id="rId3" Type="http://schemas.openxmlformats.org/officeDocument/2006/relationships/hyperlink" Target="https://learn.microsoft.com/en-us/azure/ai-services/content-" TargetMode="External"/><Relationship Id="rId4" Type="http://schemas.openxmlformats.org/officeDocument/2006/relationships/hyperlink" Target="https://azure.microsoft.com/en-us/products/ai-services/ai-content-safety" TargetMode="External"/><Relationship Id="rId5" Type="http://schemas.openxmlformats.org/officeDocument/2006/relationships/hyperlink" Target="https://azure.microsoft.com/en-us/products/ai-services/ai-content-safety" TargetMode="External"/><Relationship Id="rId6" Type="http://schemas.openxmlformats.org/officeDocument/2006/relationships/hyperlink" Target="https://doi.org/10.1609/aaaiss.v7i1.36899"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LibreOffice/26.2.1.2$Windows_X86_64 LibreOffice_project/620$Build-2</Application>
  <AppVersion>15.0000</AppVersion>
  <Pages>4</Pages>
  <Words>486</Words>
  <Characters>3057</Characters>
  <CharactersWithSpaces>3536</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2026-08-13T19:50:20Z</dcterms:created>
  <dc:creator/>
  <dc:description/>
  <dc:language>en-US</dc:language>
  <cp:lastModifiedBy/>
  <dcterms:modified xsi:type="dcterms:W3CDTF">2026-08-13T20:24:12Z</dcterms:modified>
  <cp:revision>2</cp:revision>
  <dc:subject/>
  <dc:title/>
</cp:coreProperties>
</file>