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Title"/>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Title"/>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Title"/>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BodyText"/>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BodyText"/>
        <w:bidi w:val="0"/>
        <w:spacing w:lineRule="auto" w:line="480" w:before="0" w:after="0"/>
        <w:ind w:hanging="0" w:start="0"/>
        <w:contextualSpacing/>
        <w:jc w:val="center"/>
        <w:rPr>
          <w:rFonts w:ascii="Calibri" w:hAnsi="Calibri" w:eastAsia="Calibri"/>
          <w:b/>
          <w:color w:val="000000"/>
          <w:sz w:val="32"/>
        </w:rPr>
      </w:pPr>
      <w:r>
        <w:rPr>
          <w:rFonts w:eastAsia="Calibri" w:ascii="Calibri" w:hAnsi="Calibri"/>
          <w:b/>
          <w:color w:val="000000"/>
          <w:sz w:val="32"/>
        </w:rPr>
      </w:r>
    </w:p>
    <w:p>
      <w:pPr>
        <w:pStyle w:val="Title"/>
        <w:bidi w:val="0"/>
        <w:rPr/>
      </w:pPr>
      <w:r>
        <w:rPr/>
        <w:t xml:space="preserve">Prompt Injection as a Structural Vulnerability </w:t>
      </w:r>
    </w:p>
    <w:p>
      <w:pPr>
        <w:pStyle w:val="Normal"/>
        <w:bidi w:val="0"/>
        <w:spacing w:lineRule="auto" w:line="480" w:before="0" w:after="0"/>
        <w:ind w:hanging="0" w:start="0"/>
        <w:jc w:val="center"/>
        <w:rPr>
          <w:color w:val="000000"/>
        </w:rPr>
      </w:pPr>
      <w:r>
        <mc:AlternateContent>
          <mc:Choice Requires="wps">
            <w:drawing>
              <wp:anchor distT="18415" distB="18415" distL="18415" distR="18415" simplePos="0" relativeHeight="2" behindDoc="0" locked="0" layoutInCell="1" allowOverlap="1">
                <wp:simplePos x="0" y="0"/>
                <wp:positionH relativeFrom="column">
                  <wp:posOffset>-307340</wp:posOffset>
                </wp:positionH>
                <wp:positionV relativeFrom="paragraph">
                  <wp:posOffset>-83820</wp:posOffset>
                </wp:positionV>
                <wp:extent cx="7319010" cy="635"/>
                <wp:effectExtent l="18415" t="18415" r="18415" b="18415"/>
                <wp:wrapNone/>
                <wp:docPr id="1" name="Line 1"/>
                <a:graphic xmlns:a="http://schemas.openxmlformats.org/drawingml/2006/main">
                  <a:graphicData uri="http://schemas.microsoft.com/office/word/2010/wordprocessingShape">
                    <wps:wsp>
                      <wps:cNvSpPr/>
                      <wps:spPr>
                        <a:xfrm>
                          <a:off x="0" y="0"/>
                          <a:ext cx="7319160" cy="720"/>
                        </a:xfrm>
                        <a:prstGeom prst="line">
                          <a:avLst/>
                        </a:prstGeom>
                        <a:ln w="36720">
                          <a:solidFill>
                            <a:srgbClr val="3465A4"/>
                          </a:solidFill>
                          <a:round/>
                        </a:ln>
                      </wps:spPr>
                      <wps:style>
                        <a:lnRef idx="0"/>
                        <a:fillRef idx="0"/>
                        <a:effectRef idx="0"/>
                        <a:fontRef idx="minor"/>
                      </wps:style>
                      <wps:bodyPr/>
                    </wps:wsp>
                  </a:graphicData>
                </a:graphic>
              </wp:anchor>
            </w:drawing>
          </mc:Choice>
          <mc:Fallback>
            <w:pict>
              <v:line id="shape_0" from="-24.2pt,-6.6pt" to="552.05pt,-6.6pt" stroked="t" o:allowincell="f" style="position:absolute">
                <v:stroke color="#3465a4" weight="36720" joinstyle="round" endcap="flat"/>
                <v:fill o:detectmouseclick="t" on="false"/>
                <w10:wrap type="none"/>
              </v:line>
            </w:pict>
          </mc:Fallback>
        </mc:AlternateContent>
      </w:r>
      <w:r>
        <w:rPr>
          <w:rFonts w:eastAsia="Calibri" w:ascii="Calibri" w:hAnsi="Calibri"/>
          <w:b w:val="false"/>
          <w:color w:val="000000"/>
          <w:sz w:val="24"/>
        </w:rPr>
        <w:t>Author: Tim Hollis</w:t>
      </w:r>
    </w:p>
    <w:p>
      <w:pPr>
        <w:pStyle w:val="Normal"/>
        <w:bidi w:val="0"/>
        <w:spacing w:lineRule="auto" w:line="480" w:before="0" w:after="0"/>
        <w:ind w:hanging="0" w:start="0"/>
        <w:jc w:val="center"/>
        <w:rPr>
          <w:color w:val="000000"/>
        </w:rPr>
      </w:pPr>
      <w:r>
        <w:rPr>
          <w:rFonts w:eastAsia="Calibri" w:ascii="Calibri" w:hAnsi="Calibri"/>
          <w:b w:val="false"/>
          <w:color w:val="000000"/>
          <w:sz w:val="24"/>
        </w:rPr>
        <w:t>Bellevue University</w:t>
      </w:r>
    </w:p>
    <w:p>
      <w:pPr>
        <w:pStyle w:val="Normal"/>
        <w:bidi w:val="0"/>
        <w:spacing w:lineRule="auto" w:line="480" w:before="0" w:after="0"/>
        <w:ind w:hanging="0" w:start="0"/>
        <w:jc w:val="center"/>
        <w:rPr>
          <w:color w:val="000000"/>
        </w:rPr>
      </w:pPr>
      <w:r>
        <w:rPr>
          <w:rFonts w:eastAsia="Calibri" w:ascii="Calibri" w:hAnsi="Calibri"/>
          <w:b w:val="false"/>
          <w:color w:val="000000"/>
          <w:sz w:val="24"/>
        </w:rPr>
        <w:t>Course: DSC670 – Advanced Uses of Generative AI</w:t>
      </w:r>
    </w:p>
    <w:p>
      <w:pPr>
        <w:pStyle w:val="Normal"/>
        <w:bidi w:val="0"/>
        <w:spacing w:lineRule="auto" w:line="480" w:before="0" w:after="0"/>
        <w:ind w:hanging="0" w:start="0"/>
        <w:jc w:val="center"/>
        <w:rPr>
          <w:color w:val="000000"/>
        </w:rPr>
      </w:pPr>
      <w:r>
        <w:rPr>
          <w:rFonts w:eastAsia="Calibri" w:ascii="Calibri" w:hAnsi="Calibri"/>
          <w:b w:val="false"/>
          <w:color w:val="000000"/>
          <w:sz w:val="24"/>
        </w:rPr>
        <w:t>Professor Neugebauer</w:t>
      </w:r>
    </w:p>
    <w:p>
      <w:pPr>
        <w:pStyle w:val="Normal"/>
        <w:bidi w:val="0"/>
        <w:spacing w:lineRule="auto" w:line="480" w:before="0" w:after="0"/>
        <w:ind w:hanging="0" w:start="0"/>
        <w:jc w:val="center"/>
        <w:rPr>
          <w:color w:val="000000"/>
        </w:rPr>
      </w:pPr>
      <w:r>
        <w:rPr>
          <w:rFonts w:eastAsia="Calibri" w:ascii="Calibri" w:hAnsi="Calibri"/>
          <w:b w:val="false"/>
          <w:color w:val="000000"/>
          <w:sz w:val="24"/>
        </w:rPr>
        <w:t>August 13, 2026</w:t>
      </w:r>
    </w:p>
    <w:p>
      <w:pPr>
        <w:pStyle w:val="Normal"/>
        <w:bidi w:val="0"/>
        <w:jc w:val="start"/>
        <w:rPr>
          <w:color w:val="000000"/>
        </w:rPr>
      </w:pPr>
      <w:r>
        <w:rPr>
          <w:color w:val="000000"/>
        </w:rPr>
      </w:r>
      <w:r>
        <w:br w:type="page"/>
      </w:r>
    </w:p>
    <w:p>
      <w:pPr>
        <w:pStyle w:val="Title"/>
        <w:bidi w:val="0"/>
        <w:spacing w:before="0" w:after="120"/>
        <w:rPr>
          <w:rFonts w:ascii="Calibri" w:hAnsi="Calibri"/>
          <w:sz w:val="36"/>
          <w:szCs w:val="36"/>
        </w:rPr>
      </w:pPr>
      <w:r>
        <w:rPr>
          <w:rFonts w:ascii="Calibri" w:hAnsi="Calibri"/>
          <w:sz w:val="36"/>
          <w:szCs w:val="36"/>
        </w:rPr>
        <w:t>The Challenge of Prompt Injection</w:t>
      </w:r>
    </w:p>
    <w:p>
      <w:pPr>
        <w:pStyle w:val="BodyText"/>
        <w:bidi w:val="0"/>
        <w:spacing w:lineRule="auto" w:line="480"/>
        <w:ind w:hanging="0" w:start="0" w:end="0"/>
        <w:rPr>
          <w:rFonts w:ascii="Calibri" w:hAnsi="Calibri"/>
        </w:rPr>
      </w:pPr>
      <w:r>
        <w:rPr>
          <w:rFonts w:ascii="Calibri" w:hAnsi="Calibri"/>
        </w:rPr>
        <w:tab/>
      </w:r>
    </w:p>
    <w:p>
      <w:pPr>
        <w:pStyle w:val="BodyText"/>
        <w:bidi w:val="0"/>
        <w:spacing w:lineRule="auto" w:line="480"/>
        <w:ind w:hanging="0" w:start="0" w:end="0"/>
        <w:rPr>
          <w:rFonts w:ascii="Calibri" w:hAnsi="Calibri"/>
        </w:rPr>
      </w:pPr>
      <w:r>
        <w:rPr>
          <w:rFonts w:ascii="Calibri" w:hAnsi="Calibri"/>
        </w:rPr>
        <w:tab/>
        <w:t>Prompt injection is often introduced as a cousin of SQL injection, but the comparison breaks down in a way I did not appreciate until I researched it. SQL injection has a fix. Parameterized queries separate code from data at the interface, and the vulnerability closes. Prompt injection has no equivalent, because the model receives instructions and data as one undifferentiated stream of tokens. Greshake et al. (2023) argue that applications integrating large language models blur the line between data and instructions, and that this blurring is the vulnerability itself rather than an implementation defect.</w:t>
      </w:r>
    </w:p>
    <w:p>
      <w:pPr>
        <w:pStyle w:val="BodyText"/>
        <w:bidi w:val="0"/>
        <w:spacing w:lineRule="auto" w:line="480"/>
        <w:ind w:hanging="0" w:start="0" w:end="0"/>
        <w:rPr>
          <w:rFonts w:ascii="Calibri" w:hAnsi="Calibri"/>
        </w:rPr>
      </w:pPr>
      <w:r>
        <w:rPr>
          <w:rFonts w:ascii="Calibri" w:hAnsi="Calibri"/>
        </w:rPr>
        <w:tab/>
        <w:t>The clearest illustration I found is EchoLeak, catalogued as CVE-2025-32711. Reddy and Gujral (2025) document a zero-click prompt injection vulnerability in Microsoft 365 Copilot that permitted remote, unauthenticated data exfiltration through a single crafted email, achieving full privilege escalation across the system's trust boundaries without any user interaction.</w:t>
      </w:r>
    </w:p>
    <w:p>
      <w:pPr>
        <w:pStyle w:val="BodyText"/>
        <w:bidi w:val="0"/>
        <w:spacing w:lineRule="auto" w:line="480"/>
        <w:ind w:hanging="0" w:start="0" w:end="0"/>
        <w:rPr>
          <w:rFonts w:ascii="Calibri" w:hAnsi="Calibri"/>
        </w:rPr>
      </w:pPr>
      <w:r>
        <w:rPr>
          <w:rFonts w:ascii="Calibri" w:hAnsi="Calibri"/>
        </w:rPr>
        <w:tab/>
        <w:t>What makes the case instructive is what it defeated. According to Reddy and Gujral (2025), the exploit chained several bypasses together, evading Microsoft's Cross Prompt Injection Attempt classifier, circumventing link redaction through reference-style Markdown, exploiting automatically fetched images, and abusing a Microsoft Teams proxy that the content security policy already permitted. Each of those was a purpose-built control, and the attack went around all of them.</w:t>
      </w:r>
    </w:p>
    <w:p>
      <w:pPr>
        <w:pStyle w:val="BodyText"/>
        <w:bidi w:val="0"/>
        <w:spacing w:lineRule="auto" w:line="480"/>
        <w:ind w:hanging="0" w:start="0" w:end="0"/>
        <w:rPr>
          <w:rFonts w:ascii="Calibri" w:hAnsi="Calibri"/>
        </w:rPr>
      </w:pPr>
      <w:r>
        <w:rPr>
          <w:rFonts w:ascii="Calibri" w:hAnsi="Calibri"/>
        </w:rPr>
        <w:tab/>
        <w:t>That outcome explains why input filtering alone is insufficient. An injected instruction carries no reliable signature. It can be encoded, translated, fragmented, or phrased courteously, leaving detection a probabilistic exercise. Willison (2025) notes that guardrail products advertising capture rates near 95 percent are quoting a figure that would be treated as failing elsewhere in application security.</w:t>
      </w:r>
    </w:p>
    <w:p>
      <w:pPr>
        <w:pStyle w:val="BodyText"/>
        <w:bidi w:val="0"/>
        <w:spacing w:lineRule="auto" w:line="480"/>
        <w:ind w:hanging="0" w:start="0" w:end="0"/>
        <w:rPr>
          <w:rFonts w:ascii="Calibri" w:hAnsi="Calibri"/>
        </w:rPr>
      </w:pPr>
      <w:r>
        <w:rPr>
          <w:rFonts w:ascii="Calibri" w:hAnsi="Calibri"/>
        </w:rPr>
        <w:tab/>
        <w:t>The more useful framing I encountered is Willison's (2025) lethal trifecta. Serious exposure arises when three capabilities coexist in one system: access to private data, exposure to untrusted content, and the ability to communicate externally. Each is defensible in isolation. Together they form a complete path from attacker to data and back out, and Willison (2025) argues the remedy is to guarantee that at least one of the three is absent from any given execution path rather than to sanitize the input.</w:t>
      </w:r>
    </w:p>
    <w:p>
      <w:pPr>
        <w:pStyle w:val="BodyText"/>
        <w:bidi w:val="0"/>
        <w:spacing w:lineRule="auto" w:line="480"/>
        <w:ind w:hanging="0" w:start="0" w:end="0"/>
        <w:rPr>
          <w:rFonts w:ascii="Calibri" w:hAnsi="Calibri"/>
        </w:rPr>
      </w:pPr>
      <w:r>
        <w:rPr>
          <w:rFonts w:ascii="Calibri" w:hAnsi="Calibri"/>
        </w:rPr>
        <w:tab/>
        <w:t>This reframed the problem for me. The objective is not to make the model resistant to deception, because it will be deceived. The objective is to constrain what a deceived model is permitted to accomplish.</w:t>
      </w:r>
    </w:p>
    <w:p>
      <w:pPr>
        <w:pStyle w:val="BodyText"/>
        <w:bidi w:val="0"/>
        <w:spacing w:lineRule="auto" w:line="480"/>
        <w:ind w:hanging="0" w:start="0" w:end="0"/>
        <w:rPr>
          <w:rFonts w:ascii="Calibri" w:hAnsi="Calibri"/>
        </w:rPr>
      </w:pPr>
      <w:r>
        <w:rPr>
          <w:rFonts w:ascii="Calibri" w:hAnsi="Calibri"/>
        </w:rPr>
      </w:r>
      <w:r>
        <w:br w:type="page"/>
      </w:r>
    </w:p>
    <w:p>
      <w:pPr>
        <w:pStyle w:val="BodyText"/>
        <w:bidi w:val="0"/>
        <w:spacing w:lineRule="auto" w:line="480" w:before="0" w:after="140"/>
        <w:ind w:hanging="0" w:start="0" w:end="0"/>
        <w:rPr>
          <w:rFonts w:ascii="Calibri" w:hAnsi="Calibri"/>
          <w:b/>
          <w:bCs/>
        </w:rPr>
      </w:pPr>
      <w:r>
        <w:rPr>
          <w:rFonts w:ascii="Calibri" w:hAnsi="Calibri"/>
          <w:b/>
          <w:bCs/>
        </w:rPr>
        <w:t>References:</w:t>
      </w:r>
    </w:p>
    <w:p>
      <w:pPr>
        <w:pStyle w:val="BodyText"/>
        <w:bidi w:val="0"/>
        <w:spacing w:lineRule="auto" w:line="480"/>
        <w:ind w:hanging="0" w:start="0" w:end="0"/>
        <w:rPr/>
      </w:pPr>
      <w:hyperlink r:id="rId2">
        <w:r>
          <w:rPr>
            <w:rStyle w:val="Hyperlink"/>
            <w:rFonts w:ascii="Times New Roman" w:hAnsi="Times New Roman"/>
            <w:color w:val="000000"/>
            <w:sz w:val="24"/>
            <w:u w:val="none"/>
          </w:rPr>
          <w:t xml:space="preserve">Greshake, K., Abdelnabi, S., Mishra, S., Endres, C., Holz, T., &amp; Fritz, M. (2023, February 23). </w:t>
        </w:r>
      </w:hyperlink>
      <w:r>
        <w:rPr>
          <w:rStyle w:val="Hyperlink"/>
          <w:rFonts w:ascii="Times New Roman" w:hAnsi="Times New Roman"/>
          <w:i/>
          <w:color w:val="000000"/>
          <w:sz w:val="24"/>
          <w:u w:val="none"/>
        </w:rPr>
        <w:t xml:space="preserve">Not </w:t>
        <w:tab/>
        <w:t xml:space="preserve">what you’ve signed up for: Compromising Real-World LLM-Integrated Applications with </w:t>
        <w:tab/>
        <w:t>Indirect Prompt Injection</w:t>
      </w:r>
      <w:r>
        <w:rPr>
          <w:rStyle w:val="Hyperlink"/>
          <w:rFonts w:ascii="Times New Roman" w:hAnsi="Times New Roman"/>
          <w:color w:val="000000"/>
          <w:sz w:val="24"/>
          <w:u w:val="none"/>
        </w:rPr>
        <w:t xml:space="preserve">. arXiv.org. </w:t>
      </w:r>
      <w:hyperlink r:id="rId3">
        <w:r>
          <w:rPr>
            <w:rStyle w:val="Hyperlink"/>
            <w:rFonts w:ascii="Times New Roman" w:hAnsi="Times New Roman"/>
            <w:color w:val="000000"/>
            <w:sz w:val="24"/>
            <w:u w:val="none"/>
          </w:rPr>
          <w:t>https://arxiv.org/abs/2302.12173</w:t>
        </w:r>
      </w:hyperlink>
    </w:p>
    <w:p>
      <w:pPr>
        <w:pStyle w:val="BodyText"/>
        <w:bidi w:val="0"/>
        <w:spacing w:lineRule="auto" w:line="480"/>
        <w:ind w:hanging="0" w:start="0" w:end="0"/>
        <w:rPr/>
      </w:pPr>
      <w:r>
        <w:rPr>
          <w:rStyle w:val="Hyperlink"/>
          <w:rFonts w:ascii="Times New Roman" w:hAnsi="Times New Roman"/>
          <w:color w:val="000000"/>
          <w:sz w:val="24"/>
          <w:u w:val="none"/>
        </w:rPr>
        <w:t xml:space="preserve">Reddy, P., &amp; Gujral, A. S. (2025). EchoLeak: the first Real-World Zero-Click prompt Injection Exploit </w:t>
        <w:tab/>
        <w:t xml:space="preserve">in a production LLM system. </w:t>
      </w:r>
      <w:r>
        <w:rPr>
          <w:rStyle w:val="Hyperlink"/>
          <w:rFonts w:ascii="Times New Roman" w:hAnsi="Times New Roman"/>
          <w:i/>
          <w:color w:val="000000"/>
          <w:sz w:val="24"/>
          <w:u w:val="none"/>
        </w:rPr>
        <w:t>Proceedings of the AAAI Symposium Series</w:t>
      </w:r>
      <w:r>
        <w:rPr>
          <w:rStyle w:val="Hyperlink"/>
          <w:rFonts w:ascii="Times New Roman" w:hAnsi="Times New Roman"/>
          <w:color w:val="000000"/>
          <w:sz w:val="24"/>
          <w:u w:val="none"/>
        </w:rPr>
        <w:t xml:space="preserve">, </w:t>
      </w:r>
      <w:r>
        <w:rPr>
          <w:rStyle w:val="Hyperlink"/>
          <w:rFonts w:ascii="Times New Roman" w:hAnsi="Times New Roman"/>
          <w:i/>
          <w:color w:val="000000"/>
          <w:sz w:val="24"/>
          <w:u w:val="none"/>
        </w:rPr>
        <w:t>7</w:t>
      </w:r>
      <w:r>
        <w:rPr>
          <w:rStyle w:val="Hyperlink"/>
          <w:rFonts w:ascii="Times New Roman" w:hAnsi="Times New Roman"/>
          <w:color w:val="000000"/>
          <w:sz w:val="24"/>
          <w:u w:val="none"/>
        </w:rPr>
        <w:t xml:space="preserve">(1), 303–311. </w:t>
        <w:tab/>
        <w:tab/>
      </w:r>
      <w:hyperlink r:id="rId4">
        <w:r>
          <w:rPr>
            <w:rStyle w:val="Hyperlink"/>
            <w:rFonts w:ascii="Times New Roman" w:hAnsi="Times New Roman"/>
            <w:color w:val="000000"/>
            <w:sz w:val="24"/>
            <w:u w:val="none"/>
          </w:rPr>
          <w:t>https://doi.org/10.1609/aaaiss.v7i1.36899</w:t>
        </w:r>
      </w:hyperlink>
    </w:p>
    <w:p>
      <w:pPr>
        <w:pStyle w:val="BodyText"/>
        <w:bidi w:val="0"/>
        <w:spacing w:lineRule="auto" w:line="480"/>
        <w:ind w:hanging="0" w:start="0" w:end="0"/>
        <w:rPr>
          <w:rFonts w:ascii="Calibri" w:hAnsi="Calibri"/>
        </w:rPr>
      </w:pPr>
      <w:r>
        <w:rPr>
          <w:rStyle w:val="Hyperlink"/>
          <w:rFonts w:ascii="Times New Roman" w:hAnsi="Times New Roman"/>
          <w:color w:val="000000"/>
          <w:sz w:val="24"/>
          <w:u w:val="none"/>
        </w:rPr>
        <w:t>Willison, S. (</w:t>
      </w:r>
      <w:r>
        <w:rPr>
          <w:rStyle w:val="Hyperlink"/>
          <w:rFonts w:ascii="Times New Roman" w:hAnsi="Times New Roman"/>
          <w:color w:val="000000"/>
          <w:sz w:val="24"/>
          <w:u w:val="none"/>
        </w:rPr>
        <w:t>2025, June 16</w:t>
      </w:r>
      <w:r>
        <w:rPr>
          <w:rStyle w:val="Hyperlink"/>
          <w:rFonts w:ascii="Times New Roman" w:hAnsi="Times New Roman"/>
          <w:color w:val="000000"/>
          <w:sz w:val="24"/>
          <w:u w:val="none"/>
        </w:rPr>
        <w:t xml:space="preserve">). </w:t>
      </w:r>
      <w:r>
        <w:rPr>
          <w:rStyle w:val="Hyperlink"/>
          <w:rFonts w:ascii="Times New Roman" w:hAnsi="Times New Roman"/>
          <w:i/>
          <w:color w:val="000000"/>
          <w:sz w:val="24"/>
          <w:u w:val="none"/>
        </w:rPr>
        <w:t xml:space="preserve">The lethal trifecta for AI agents: private data, untrusted content, and </w:t>
        <w:tab/>
        <w:t>external communication</w:t>
      </w:r>
      <w:r>
        <w:rPr>
          <w:rStyle w:val="Hyperlink"/>
          <w:rFonts w:ascii="Times New Roman" w:hAnsi="Times New Roman"/>
          <w:color w:val="000000"/>
          <w:sz w:val="24"/>
          <w:u w:val="none"/>
        </w:rPr>
        <w:t xml:space="preserve">. Simon Willison’s Weblog. </w:t>
      </w:r>
      <w:hyperlink r:id="rId5">
        <w:r>
          <w:rPr>
            <w:rStyle w:val="Hyperlink"/>
            <w:rFonts w:ascii="Times New Roman" w:hAnsi="Times New Roman"/>
            <w:color w:val="000000"/>
            <w:sz w:val="24"/>
            <w:u w:val="none"/>
          </w:rPr>
          <w:t>https://simonwillison.net/2025/Jun/16/the-</w:t>
        </w:r>
      </w:hyperlink>
      <w:r>
        <w:rPr>
          <w:rStyle w:val="Hyperlink"/>
          <w:rFonts w:ascii="Times New Roman" w:hAnsi="Times New Roman"/>
          <w:color w:val="000000"/>
          <w:sz w:val="24"/>
          <w:u w:val="none"/>
        </w:rPr>
        <w:tab/>
      </w:r>
      <w:hyperlink r:id="rId6">
        <w:r>
          <w:rPr>
            <w:rStyle w:val="Hyperlink"/>
            <w:rFonts w:ascii="Times New Roman" w:hAnsi="Times New Roman"/>
            <w:color w:val="000000"/>
            <w:sz w:val="24"/>
            <w:u w:val="none"/>
          </w:rPr>
          <w:t>lethal-trifecta/</w:t>
        </w:r>
      </w:hyperlink>
    </w:p>
    <w:p>
      <w:pPr>
        <w:pStyle w:val="BodyText"/>
        <w:bidi w:val="0"/>
        <w:spacing w:lineRule="auto" w:line="480"/>
        <w:ind w:hanging="0" w:start="0" w:end="0"/>
        <w:rPr>
          <w:rStyle w:val="Hyperlink"/>
          <w:rFonts w:ascii="Times New Roman" w:hAnsi="Times New Roman"/>
          <w:color w:val="000000"/>
          <w:sz w:val="24"/>
          <w:u w:val="none"/>
        </w:rPr>
      </w:pPr>
      <w:r>
        <w:rPr>
          <w:rFonts w:ascii="Calibri" w:hAnsi="Calibri"/>
        </w:rPr>
      </w:r>
    </w:p>
    <w:p>
      <w:pPr>
        <w:pStyle w:val="BodyText"/>
        <w:bidi w:val="0"/>
        <w:spacing w:lineRule="auto" w:line="480"/>
        <w:ind w:hanging="0" w:start="0" w:end="0"/>
        <w:rPr>
          <w:rStyle w:val="Hyperlink"/>
          <w:rFonts w:ascii="Times New Roman" w:hAnsi="Times New Roman"/>
          <w:sz w:val="24"/>
          <w:u w:val="none"/>
        </w:rPr>
      </w:pPr>
      <w:r>
        <w:rPr>
          <w:rFonts w:ascii="Calibri" w:hAnsi="Calibri"/>
        </w:rPr>
      </w:r>
    </w:p>
    <w:p>
      <w:pPr>
        <w:pStyle w:val="BodyText"/>
        <w:bidi w:val="0"/>
        <w:spacing w:lineRule="auto" w:line="480" w:before="0" w:after="140"/>
        <w:ind w:hanging="0" w:start="0" w:end="0"/>
        <w:rPr>
          <w:rStyle w:val="Hyperlink"/>
          <w:rFonts w:ascii="Calibri" w:hAnsi="Calibri"/>
        </w:rPr>
      </w:pPr>
      <w:r>
        <w:rPr>
          <w:rFonts w:ascii="Calibri" w:hAnsi="Calibri"/>
        </w:rPr>
      </w:r>
    </w:p>
    <w:sectPr>
      <w:headerReference w:type="even" r:id="rId7"/>
      <w:headerReference w:type="default" r:id="rId8"/>
      <w:headerReference w:type="first" r:id="rId9"/>
      <w:type w:val="nextPage"/>
      <w:pgSz w:w="12240" w:h="15840"/>
      <w:pgMar w:left="1134" w:right="1134" w:gutter="0" w:header="1134" w:top="1693" w:footer="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roman"/>
    <w:pitch w:val="variable"/>
  </w:font>
  <w:font w:name="Times New Roman">
    <w:charset w:val="00" w:characterSet="windows-125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suppressLineNumbers/>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user"/>
      <w:suppressLineNumbers/>
      <w:bidi w:val="0"/>
      <w:jc w:val="start"/>
      <w:rPr/>
    </w:pPr>
    <w:r>
      <w:rPr/>
    </w:r>
  </w:p>
</w:hdr>
</file>

<file path=word/settings.xml><?xml version="1.0" encoding="utf-8"?>
<w:settings xmlns:w="http://schemas.openxmlformats.org/wordprocessingml/2006/main">
  <w:zoom w:percent="95"/>
  <w:defaultTabStop w:val="709"/>
  <w:autoHyphenation w:val="true"/>
  <w:hyphenationZone w:val="0"/>
  <w:evenAndOddHeaders/>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HeaderLeftuser">
    <w:name w:val="Header Left (user)"/>
    <w:basedOn w:val="Header"/>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48550/arXiv.2302.12173" TargetMode="External"/><Relationship Id="rId3" Type="http://schemas.openxmlformats.org/officeDocument/2006/relationships/hyperlink" Target="https://arxiv.org/abs/2302.12173" TargetMode="External"/><Relationship Id="rId4" Type="http://schemas.openxmlformats.org/officeDocument/2006/relationships/hyperlink" Target="https://doi.org/10.1609/aaaiss.v7i1.36899" TargetMode="External"/><Relationship Id="rId5" Type="http://schemas.openxmlformats.org/officeDocument/2006/relationships/hyperlink" Target="https://simonwillison.net/2025/Jun/16/the-" TargetMode="External"/><Relationship Id="rId6" Type="http://schemas.openxmlformats.org/officeDocument/2006/relationships/hyperlink" Target="https://simonwillison.net/2025/Jun/16/the-lethal-trifecta/"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TotalTime>
  <Application>LibreOffice/26.2.1.2$Windows_X86_64 LibreOffice_project/620$Build-2</Application>
  <AppVersion>15.0000</AppVersion>
  <Pages>4</Pages>
  <Words>495</Words>
  <Characters>2999</Characters>
  <CharactersWithSpaces>3491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2026-08-13T19:50:13Z</dcterms:created>
  <dc:creator/>
  <dc:description/>
  <dc:language>en-US</dc:language>
  <cp:lastModifiedBy/>
  <dcterms:modified xsi:type="dcterms:W3CDTF">2026-08-13T20:29:33Z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