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120"/>
        <w:jc w:val="center"/>
        <w:rPr>
          <w:rFonts w:ascii="Calibri" w:hAnsi="Calibri"/>
        </w:rPr>
      </w:pPr>
      <w:r>
        <w:rPr>
          <w:rFonts w:ascii="Calibri" w:hAnsi="Calibri"/>
        </w:rPr>
      </w:r>
    </w:p>
    <w:p>
      <w:pPr>
        <w:pStyle w:val="Title"/>
        <w:jc w:val="center"/>
        <w:rPr>
          <w:rFonts w:ascii="Calibri" w:hAnsi="Calibri"/>
        </w:rPr>
      </w:pPr>
      <w:r>
        <w:rPr>
          <w:rFonts w:ascii="Calibri" w:hAnsi="Calibri"/>
        </w:rPr>
      </w:r>
    </w:p>
    <w:p>
      <w:pPr>
        <w:pStyle w:val="Title"/>
        <w:jc w:val="center"/>
        <w:rPr>
          <w:rFonts w:ascii="Calibri" w:hAnsi="Calibri"/>
        </w:rPr>
      </w:pPr>
      <w:r>
        <w:rPr>
          <w:rFonts w:ascii="Calibri" w:hAnsi="Calibri"/>
        </w:rPr>
      </w:r>
    </w:p>
    <w:p>
      <w:pPr>
        <w:pStyle w:val="Title"/>
        <w:jc w:val="center"/>
        <w:rPr>
          <w:rFonts w:ascii="Calibri" w:hAnsi="Calibri"/>
        </w:rPr>
      </w:pPr>
      <w:r>
        <w:rPr>
          <w:rFonts w:ascii="Calibri" w:hAnsi="Calibri"/>
        </w:rPr>
      </w:r>
    </w:p>
    <w:p>
      <w:pPr>
        <w:pStyle w:val="Title"/>
        <w:jc w:val="center"/>
        <w:rPr>
          <w:rFonts w:ascii="Calibri" w:hAnsi="Calibri"/>
        </w:rPr>
      </w:pPr>
      <w:r>
        <w:rPr>
          <w:rFonts w:ascii="Calibri" w:hAnsi="Calibri"/>
        </w:rPr>
        <w:t>Predictive Analytics in Healthcare: A Case Study of Corewell Health</w:t>
      </w:r>
    </w:p>
    <w:p>
      <w:pPr>
        <w:pStyle w:val="Normal"/>
        <w:spacing w:lineRule="auto" w:line="480"/>
        <w:rPr>
          <w:rFonts w:ascii="Calibri" w:hAnsi="Calibri"/>
          <w:sz w:val="24"/>
          <w:szCs w:val="24"/>
        </w:rPr>
      </w:pPr>
      <w:r>
        <w:rPr>
          <w:rFonts w:ascii="Calibri" w:hAnsi="Calibri"/>
          <w:sz w:val="24"/>
          <w:szCs w:val="24"/>
        </w:rPr>
      </w:r>
    </w:p>
    <w:p>
      <w:pPr>
        <w:pStyle w:val="Subtitle"/>
        <w:rPr>
          <w:rFonts w:ascii="Calibri" w:hAnsi="Calibri"/>
        </w:rPr>
      </w:pPr>
      <w:r>
        <w:rPr>
          <w:rFonts w:ascii="Calibri" w:hAnsi="Calibri"/>
        </w:rPr>
        <w:t>Tim Hollis</w:t>
      </w:r>
    </w:p>
    <w:p>
      <w:pPr>
        <w:pStyle w:val="Subtitle"/>
        <w:rPr>
          <w:rFonts w:ascii="Calibri" w:hAnsi="Calibri"/>
        </w:rPr>
      </w:pPr>
      <w:r>
        <w:rPr>
          <w:rFonts w:ascii="Calibri" w:hAnsi="Calibri"/>
        </w:rPr>
        <w:t>Bellevue University</w:t>
      </w:r>
    </w:p>
    <w:p>
      <w:pPr>
        <w:pStyle w:val="Subtitle"/>
        <w:rPr>
          <w:rFonts w:ascii="Calibri" w:hAnsi="Calibri"/>
        </w:rPr>
      </w:pPr>
      <w:r>
        <w:rPr>
          <w:rFonts w:ascii="Calibri" w:hAnsi="Calibri"/>
        </w:rPr>
        <w:t>DSC630: Predictive Analytics</w:t>
      </w:r>
    </w:p>
    <w:p>
      <w:pPr>
        <w:pStyle w:val="Subtitle"/>
        <w:rPr>
          <w:rFonts w:ascii="Calibri" w:hAnsi="Calibri"/>
        </w:rPr>
      </w:pPr>
      <w:r>
        <w:rPr>
          <w:rFonts w:ascii="Calibri" w:hAnsi="Calibri"/>
        </w:rPr>
        <w:t>April 14, 2026</w:t>
      </w:r>
    </w:p>
    <w:p>
      <w:pPr>
        <w:pStyle w:val="Normal"/>
        <w:spacing w:lineRule="auto" w:line="480"/>
        <w:rPr>
          <w:rFonts w:ascii="Calibri" w:hAnsi="Calibri"/>
          <w:sz w:val="24"/>
          <w:szCs w:val="24"/>
        </w:rPr>
      </w:pPr>
      <w:r>
        <w:rPr>
          <w:rFonts w:ascii="Calibri" w:hAnsi="Calibri"/>
          <w:sz w:val="24"/>
          <w:szCs w:val="24"/>
        </w:rPr>
      </w:r>
    </w:p>
    <w:p>
      <w:pPr>
        <w:pStyle w:val="Heading1"/>
        <w:spacing w:lineRule="auto" w:line="480" w:before="0" w:after="0"/>
        <w:jc w:val="center"/>
        <w:rPr>
          <w:rFonts w:ascii="Calibri" w:hAnsi="Calibri" w:eastAsia="Arial" w:cs="Arial"/>
          <w:b/>
          <w:bCs/>
          <w:sz w:val="24"/>
          <w:szCs w:val="24"/>
        </w:rPr>
      </w:pPr>
      <w:r>
        <w:rPr>
          <w:rFonts w:eastAsia="Arial" w:cs="Arial" w:ascii="Calibri" w:hAnsi="Calibri"/>
          <w:b/>
          <w:bCs/>
          <w:sz w:val="24"/>
          <w:szCs w:val="24"/>
        </w:rPr>
      </w:r>
      <w:r>
        <w:br w:type="page"/>
      </w:r>
    </w:p>
    <w:p>
      <w:pPr>
        <w:pStyle w:val="Heading1"/>
        <w:spacing w:lineRule="auto" w:line="480" w:before="0" w:after="0"/>
        <w:jc w:val="center"/>
        <w:rPr>
          <w:rFonts w:ascii="Calibri" w:hAnsi="Calibri" w:eastAsia="Arial" w:cs="Arial"/>
          <w:b/>
          <w:bCs/>
          <w:sz w:val="24"/>
          <w:szCs w:val="24"/>
        </w:rPr>
      </w:pPr>
      <w:r>
        <w:rPr>
          <w:rFonts w:eastAsia="Arial" w:cs="Arial" w:ascii="Calibri" w:hAnsi="Calibri"/>
          <w:b/>
          <w:bCs/>
          <w:sz w:val="24"/>
          <w:szCs w:val="24"/>
        </w:rPr>
        <w:t>Introduction</w:t>
      </w:r>
    </w:p>
    <w:p>
      <w:pPr>
        <w:pStyle w:val="Normal"/>
        <w:spacing w:lineRule="auto" w:line="480"/>
        <w:rPr>
          <w:rFonts w:ascii="Calibri" w:hAnsi="Calibri"/>
          <w:sz w:val="24"/>
          <w:szCs w:val="24"/>
        </w:rPr>
      </w:pPr>
      <w:r>
        <w:rPr>
          <w:rFonts w:ascii="Calibri" w:hAnsi="Calibri"/>
          <w:sz w:val="24"/>
          <w:szCs w:val="24"/>
        </w:rPr>
      </w:r>
    </w:p>
    <w:p>
      <w:pPr>
        <w:pStyle w:val="Heading2"/>
        <w:spacing w:lineRule="auto" w:line="480" w:before="0" w:after="0"/>
        <w:jc w:val="start"/>
        <w:rPr>
          <w:rFonts w:ascii="Calibri" w:hAnsi="Calibri"/>
          <w:sz w:val="24"/>
          <w:szCs w:val="24"/>
        </w:rPr>
      </w:pPr>
      <w:r>
        <w:rPr>
          <w:rFonts w:eastAsia="Arial" w:cs="Arial" w:ascii="Calibri" w:hAnsi="Calibri"/>
          <w:b/>
          <w:bCs/>
          <w:sz w:val="24"/>
          <w:szCs w:val="24"/>
        </w:rPr>
        <w:t>What Was the Problem Being Solved?</w:t>
      </w:r>
    </w:p>
    <w:p>
      <w:pPr>
        <w:pStyle w:val="Normal"/>
        <w:spacing w:lineRule="auto" w:line="480" w:before="0" w:after="0"/>
        <w:jc w:val="both"/>
        <w:rPr>
          <w:rFonts w:ascii="Calibri" w:hAnsi="Calibri"/>
          <w:sz w:val="24"/>
          <w:szCs w:val="24"/>
        </w:rPr>
      </w:pPr>
      <w:r>
        <w:rPr>
          <w:rFonts w:eastAsia="Arial" w:cs="Arial" w:ascii="Calibri" w:hAnsi="Calibri"/>
          <w:sz w:val="24"/>
          <w:szCs w:val="24"/>
        </w:rPr>
        <w:tab/>
        <w:t>Hospital readmissions represent one of the most persistent and costly challenges in the American healthcare system. A readmission occurs when a patient who has been discharged from a hospital returns for inpatient care within a defined window, typically 30 days. For hospitals, readmissions are a critical performance indicator because they often signal gaps in discharge planning, care coordination, or patient follow-through on post-hospitalization instructions. The financial consequences are substantial: readmissions can effectively double the cost of a single episode of care (Baird et al., 2022). At the same time, the Centers for Medicare and Medicaid Services (CMS) actively penalizes hospitals for excess readmissions under the Hospital Readmissions Reduction Program, creating both clinical and financial pressure to address the problem.</w:t>
      </w:r>
    </w:p>
    <w:p>
      <w:pPr>
        <w:pStyle w:val="Normal"/>
        <w:spacing w:lineRule="auto" w:line="480" w:before="0" w:after="0"/>
        <w:jc w:val="both"/>
        <w:rPr>
          <w:rFonts w:ascii="Calibri" w:hAnsi="Calibri"/>
          <w:sz w:val="24"/>
          <w:szCs w:val="24"/>
        </w:rPr>
      </w:pPr>
      <w:r>
        <w:rPr>
          <w:rFonts w:eastAsia="Arial" w:cs="Arial" w:ascii="Calibri" w:hAnsi="Calibri"/>
          <w:sz w:val="24"/>
          <w:szCs w:val="24"/>
        </w:rPr>
        <w:tab/>
        <w:t>In January 2021, the care coordination team at Spectrum Health, which has since merged with Beaumont Health to become Corewell Health, identified readmission risk as a priority problem for targeted intervention. The challenge was not simply identifying that some patients were at elevated risk but doing so early enough, and precisely enough, to deploy support resources in a meaningful way. The team recognized that many readmissions are preventable if the right patients are identified before discharge and given appropriately personalized transition support (Baird et al., 2022).</w:t>
      </w:r>
    </w:p>
    <w:p>
      <w:pPr>
        <w:pStyle w:val="Normal"/>
        <w:spacing w:lineRule="auto" w:line="480"/>
        <w:rPr>
          <w:rFonts w:ascii="Calibri" w:hAnsi="Calibri"/>
          <w:sz w:val="24"/>
          <w:szCs w:val="24"/>
        </w:rPr>
      </w:pPr>
      <w:r>
        <w:rPr>
          <w:rFonts w:ascii="Calibri" w:hAnsi="Calibri"/>
          <w:sz w:val="24"/>
          <w:szCs w:val="24"/>
        </w:rPr>
      </w:r>
    </w:p>
    <w:p>
      <w:pPr>
        <w:pStyle w:val="Heading2"/>
        <w:spacing w:lineRule="auto" w:line="480" w:before="0" w:after="0"/>
        <w:jc w:val="start"/>
        <w:rPr>
          <w:rFonts w:ascii="Calibri" w:hAnsi="Calibri"/>
          <w:sz w:val="24"/>
          <w:szCs w:val="24"/>
        </w:rPr>
      </w:pPr>
      <w:r>
        <w:rPr>
          <w:rFonts w:eastAsia="Arial" w:cs="Arial" w:ascii="Calibri" w:hAnsi="Calibri"/>
          <w:b/>
          <w:bCs/>
          <w:sz w:val="24"/>
          <w:szCs w:val="24"/>
        </w:rPr>
        <w:t>Why Was This Problem Important to Solve?</w:t>
      </w:r>
    </w:p>
    <w:p>
      <w:pPr>
        <w:pStyle w:val="Normal"/>
        <w:spacing w:lineRule="auto" w:line="480" w:before="0" w:after="0"/>
        <w:jc w:val="both"/>
        <w:rPr>
          <w:rFonts w:ascii="Calibri" w:hAnsi="Calibri"/>
          <w:sz w:val="24"/>
          <w:szCs w:val="24"/>
        </w:rPr>
      </w:pPr>
      <w:r>
        <w:rPr>
          <w:rFonts w:eastAsia="Arial" w:cs="Arial" w:ascii="Calibri" w:hAnsi="Calibri"/>
          <w:sz w:val="24"/>
          <w:szCs w:val="24"/>
        </w:rPr>
        <w:tab/>
        <w:t>The importance of addressing readmissions extends across clinical, financial, and policy dimensions. Clinically, unplanned readmissions often indicate that a patient's recovery is not proceeding as expected, which may reflect unmanaged clinical complications, unaddressed behavioral health needs, or social barriers such as lack of transportation, food insecurity, or inadequate housing. These social determinants of health are increasingly recognized as powerful drivers of health outcomes, and they are frequently invisible to traditional clinical assessment tools (Corewell Health, 2023).</w:t>
      </w:r>
    </w:p>
    <w:p>
      <w:pPr>
        <w:pStyle w:val="Normal"/>
        <w:spacing w:lineRule="auto" w:line="480" w:before="0" w:after="0"/>
        <w:jc w:val="both"/>
        <w:rPr>
          <w:rFonts w:ascii="Calibri" w:hAnsi="Calibri"/>
          <w:sz w:val="24"/>
          <w:szCs w:val="24"/>
        </w:rPr>
      </w:pPr>
      <w:r>
        <w:rPr>
          <w:rFonts w:eastAsia="Arial" w:cs="Arial" w:ascii="Calibri" w:hAnsi="Calibri"/>
          <w:sz w:val="24"/>
          <w:szCs w:val="24"/>
        </w:rPr>
        <w:tab/>
        <w:t>From a financial standpoint, a single readmission can generate costs comparable to or exceeding the original hospitalization. At scale, across thousands of patients per year, even modest reductions in readmission rates translate into millions of dollars in savings. Corewell Health's study ultimately demonstrated that preventing 200 readmissions over a 20-month period yielded approximately five million dollars in cost savings (Baird et al., 2022). Beyond the institutional financial benefit, reducing readmissions also improves patient experience and reduces the burden on caregivers and families who must manage the disruptions that come with unexpected rehospitalization.</w:t>
      </w:r>
    </w:p>
    <w:p>
      <w:pPr>
        <w:pStyle w:val="Normal"/>
        <w:spacing w:lineRule="auto" w:line="480" w:before="0" w:after="0"/>
        <w:jc w:val="both"/>
        <w:rPr>
          <w:rFonts w:ascii="Calibri" w:hAnsi="Calibri"/>
          <w:sz w:val="24"/>
          <w:szCs w:val="24"/>
        </w:rPr>
      </w:pPr>
      <w:r>
        <w:rPr>
          <w:rFonts w:eastAsia="Arial" w:cs="Arial" w:ascii="Calibri" w:hAnsi="Calibri"/>
          <w:sz w:val="24"/>
          <w:szCs w:val="24"/>
        </w:rPr>
        <w:tab/>
        <w:t>From a policy standpoint, the Hospital Readmissions Reduction Program has made readmission performance a public, reportable metric linked directly to Medicare reimbursement rates. Hospitals that fail to meet readmission benchmarks face financial penalties, making this not only a patient-centered goal but an institutional survival concern.</w:t>
      </w:r>
    </w:p>
    <w:p>
      <w:pPr>
        <w:pStyle w:val="Normal"/>
        <w:spacing w:lineRule="auto" w:line="480"/>
        <w:rPr>
          <w:rFonts w:ascii="Calibri" w:hAnsi="Calibri"/>
          <w:sz w:val="24"/>
          <w:szCs w:val="24"/>
        </w:rPr>
      </w:pPr>
      <w:r>
        <w:rPr>
          <w:rFonts w:ascii="Calibri" w:hAnsi="Calibri"/>
          <w:sz w:val="24"/>
          <w:szCs w:val="24"/>
        </w:rPr>
      </w:r>
    </w:p>
    <w:p>
      <w:pPr>
        <w:pStyle w:val="Heading2"/>
        <w:spacing w:lineRule="auto" w:line="480" w:before="0" w:after="0"/>
        <w:jc w:val="start"/>
        <w:rPr>
          <w:rFonts w:ascii="Calibri" w:hAnsi="Calibri"/>
          <w:sz w:val="24"/>
          <w:szCs w:val="24"/>
        </w:rPr>
      </w:pPr>
      <w:r>
        <w:rPr>
          <w:rFonts w:eastAsia="Arial" w:cs="Arial" w:ascii="Calibri" w:hAnsi="Calibri"/>
          <w:b/>
          <w:bCs/>
          <w:sz w:val="24"/>
          <w:szCs w:val="24"/>
        </w:rPr>
        <w:t>How Was the Data Acquired?</w:t>
      </w:r>
    </w:p>
    <w:p>
      <w:pPr>
        <w:pStyle w:val="Normal"/>
        <w:spacing w:lineRule="auto" w:line="480" w:before="0" w:after="0"/>
        <w:jc w:val="both"/>
        <w:rPr>
          <w:rFonts w:ascii="Calibri" w:hAnsi="Calibri"/>
          <w:sz w:val="24"/>
          <w:szCs w:val="24"/>
        </w:rPr>
      </w:pPr>
      <w:r>
        <w:rPr>
          <w:rFonts w:eastAsia="Arial" w:cs="Arial" w:ascii="Calibri" w:hAnsi="Calibri"/>
          <w:sz w:val="24"/>
          <w:szCs w:val="24"/>
        </w:rPr>
        <w:tab/>
        <w:t>The data used in the Corewell Health initiative was drawn primarily from the organization's existing electronic health record (EHR) system. Patient records captured during and after hospitalization served as the foundation for the predictive model. This data included clinical indicators such as diagnoses, procedures, medication regimens, comorbidities, and prior hospitalization history. The team also incorporated information related to behavioral health and social determinants of health, including documented factors such as transportation barriers, dietary needs, social support structures, and housing stability (Baird et al., 2022).</w:t>
      </w:r>
    </w:p>
    <w:p>
      <w:pPr>
        <w:pStyle w:val="Normal"/>
        <w:spacing w:lineRule="auto" w:line="480" w:before="0" w:after="0"/>
        <w:jc w:val="both"/>
        <w:rPr>
          <w:rFonts w:ascii="Calibri" w:hAnsi="Calibri"/>
          <w:sz w:val="24"/>
          <w:szCs w:val="24"/>
        </w:rPr>
      </w:pPr>
      <w:r>
        <w:rPr>
          <w:rFonts w:eastAsia="Arial" w:cs="Arial" w:ascii="Calibri" w:hAnsi="Calibri"/>
          <w:sz w:val="24"/>
          <w:szCs w:val="24"/>
        </w:rPr>
        <w:tab/>
        <w:t>Rather than acquiring data from external sources, the initiative leveraged data that was already being collected as part of standard care delivery. This is a common approach in healthcare predictive analytics because it allows models to be built on information that is consistently captured, relatively structured, and directly tied to patient outcomes. The EHR served as both the data warehouse and the deployment environment, meaning that model outputs could be surfaced directly to care coordinators within the same system they used to manage patient care.</w:t>
      </w:r>
    </w:p>
    <w:p>
      <w:pPr>
        <w:pStyle w:val="Normal"/>
        <w:spacing w:lineRule="auto" w:line="480"/>
        <w:rPr>
          <w:rFonts w:ascii="Calibri" w:hAnsi="Calibri"/>
          <w:sz w:val="24"/>
          <w:szCs w:val="24"/>
        </w:rPr>
      </w:pPr>
      <w:r>
        <w:rPr>
          <w:rFonts w:ascii="Calibri" w:hAnsi="Calibri"/>
          <w:sz w:val="24"/>
          <w:szCs w:val="24"/>
        </w:rPr>
      </w:r>
    </w:p>
    <w:p>
      <w:pPr>
        <w:pStyle w:val="Heading1"/>
        <w:spacing w:lineRule="auto" w:line="480" w:before="0" w:after="0"/>
        <w:jc w:val="start"/>
        <w:rPr>
          <w:rFonts w:ascii="Calibri" w:hAnsi="Calibri"/>
          <w:sz w:val="24"/>
          <w:szCs w:val="24"/>
        </w:rPr>
      </w:pPr>
      <w:r>
        <w:rPr>
          <w:rFonts w:eastAsia="Arial" w:cs="Arial" w:ascii="Calibri" w:hAnsi="Calibri"/>
          <w:b/>
          <w:bCs/>
          <w:sz w:val="24"/>
          <w:szCs w:val="24"/>
        </w:rPr>
        <w:t>Methods and Results</w:t>
      </w:r>
    </w:p>
    <w:p>
      <w:pPr>
        <w:pStyle w:val="Normal"/>
        <w:spacing w:lineRule="auto" w:line="480" w:before="0" w:after="0"/>
        <w:jc w:val="both"/>
        <w:rPr>
          <w:rFonts w:ascii="Calibri" w:hAnsi="Calibri"/>
          <w:sz w:val="24"/>
          <w:szCs w:val="24"/>
        </w:rPr>
      </w:pPr>
      <w:r>
        <w:rPr>
          <w:rFonts w:eastAsia="Arial" w:cs="Arial" w:ascii="Calibri" w:hAnsi="Calibri"/>
          <w:sz w:val="24"/>
          <w:szCs w:val="24"/>
        </w:rPr>
        <w:tab/>
        <w:t>Data preparation in healthcare settings involves several layers of processing before a model can be trained. For the Corewell Health initiative, the care coordination and informatics teams worked to standardize and structure patient records so that they could be fed into a predictive algorithm. This included cleaning and harmonizing clinical variables drawn from the EHR, addressing missing or inconsistent records, and operationalizing social determinants of health factors that are often captured in unstructured clinical notes rather than structured data fields.</w:t>
      </w:r>
    </w:p>
    <w:p>
      <w:pPr>
        <w:pStyle w:val="Normal"/>
        <w:spacing w:lineRule="auto" w:line="480" w:before="0" w:after="0"/>
        <w:jc w:val="both"/>
        <w:rPr>
          <w:rFonts w:ascii="Calibri" w:hAnsi="Calibri"/>
          <w:sz w:val="24"/>
          <w:szCs w:val="24"/>
        </w:rPr>
      </w:pPr>
      <w:r>
        <w:rPr>
          <w:rFonts w:eastAsia="Arial" w:cs="Arial" w:ascii="Calibri" w:hAnsi="Calibri"/>
          <w:sz w:val="24"/>
          <w:szCs w:val="24"/>
        </w:rPr>
        <w:tab/>
        <w:t>Risk stratification also required the team to define the outcome variable clearly. In this case, the target was 30-day readmission, a binary outcome indicating whether or not a patient returned to the hospital within 30 days of discharge. Establishing this clear definition was a necessary precondition to building and validating a supervised predictive model. The team also worked with clinicians to verify that the features selected for the model were clinically meaningful, adding a layer of expert review to the technical modeling process (Baird et al., 2022).</w:t>
      </w:r>
    </w:p>
    <w:p>
      <w:pPr>
        <w:pStyle w:val="Normal"/>
        <w:spacing w:lineRule="auto" w:line="480"/>
        <w:rPr>
          <w:rFonts w:ascii="Calibri" w:hAnsi="Calibri"/>
          <w:sz w:val="24"/>
          <w:szCs w:val="24"/>
        </w:rPr>
      </w:pPr>
      <w:r>
        <w:rPr>
          <w:rFonts w:ascii="Calibri" w:hAnsi="Calibri"/>
          <w:sz w:val="24"/>
          <w:szCs w:val="24"/>
        </w:rPr>
      </w:r>
    </w:p>
    <w:p>
      <w:pPr>
        <w:pStyle w:val="Heading2"/>
        <w:spacing w:lineRule="auto" w:line="480" w:before="0" w:after="0"/>
        <w:jc w:val="start"/>
        <w:rPr>
          <w:rFonts w:ascii="Calibri" w:hAnsi="Calibri"/>
          <w:sz w:val="24"/>
          <w:szCs w:val="24"/>
        </w:rPr>
      </w:pPr>
      <w:r>
        <w:rPr>
          <w:rFonts w:eastAsia="Arial" w:cs="Arial" w:ascii="Calibri" w:hAnsi="Calibri"/>
          <w:b/>
          <w:bCs/>
          <w:sz w:val="24"/>
          <w:szCs w:val="24"/>
        </w:rPr>
        <w:t>How Was This Problem Solved?</w:t>
      </w:r>
    </w:p>
    <w:p>
      <w:pPr>
        <w:pStyle w:val="Normal"/>
        <w:spacing w:lineRule="auto" w:line="480" w:before="0" w:after="0"/>
        <w:jc w:val="both"/>
        <w:rPr>
          <w:rFonts w:ascii="Calibri" w:hAnsi="Calibri"/>
          <w:sz w:val="24"/>
          <w:szCs w:val="24"/>
        </w:rPr>
      </w:pPr>
      <w:r>
        <w:rPr>
          <w:rFonts w:eastAsia="Arial" w:cs="Arial" w:ascii="Calibri" w:hAnsi="Calibri"/>
          <w:sz w:val="24"/>
          <w:szCs w:val="24"/>
        </w:rPr>
        <w:tab/>
        <w:t>The Corewell Health team solved the readmission problem through a two-part strategy that combined predictive modeling with structured clinical intervention. First, an artificial intelligence model was trained on historical patient data to generate a readmission risk score for each patient at or near the time of discharge. Patients were stratified into quintiles based on their predicted risk, and those falling in the top two quintiles, representing the highest-risk segment, were flagged for targeted transition support (Baird et al., 2022).</w:t>
      </w:r>
    </w:p>
    <w:p>
      <w:pPr>
        <w:pStyle w:val="Normal"/>
        <w:spacing w:lineRule="auto" w:line="480" w:before="0" w:after="0"/>
        <w:jc w:val="both"/>
        <w:rPr>
          <w:rFonts w:ascii="Calibri" w:hAnsi="Calibri"/>
          <w:sz w:val="24"/>
          <w:szCs w:val="24"/>
        </w:rPr>
      </w:pPr>
      <w:r>
        <w:rPr>
          <w:rFonts w:eastAsia="Arial" w:cs="Arial" w:ascii="Calibri" w:hAnsi="Calibri"/>
          <w:sz w:val="24"/>
          <w:szCs w:val="24"/>
        </w:rPr>
        <w:tab/>
        <w:t>The second part of the solution was the intervention itself. Rather than relying on passive outreach or generic discharge instructions, the team deployed an interdisciplinary care coordination team to work with high-risk patients throughout the first 30 days after discharge. Interventions were organized around three pillars: clinical challenges, behavioral health needs, and social determinants of health. This whole-person approach acknowledged that readmission risk is rarely attributable to a single clinical factor and that effective prevention requires addressing the full range of barriers to recovery (Corewell Health, 2023).</w:t>
      </w:r>
    </w:p>
    <w:p>
      <w:pPr>
        <w:pStyle w:val="Normal"/>
        <w:spacing w:lineRule="auto" w:line="480"/>
        <w:rPr>
          <w:rFonts w:ascii="Calibri" w:hAnsi="Calibri"/>
          <w:sz w:val="24"/>
          <w:szCs w:val="24"/>
        </w:rPr>
      </w:pPr>
      <w:r>
        <w:rPr>
          <w:rFonts w:ascii="Calibri" w:hAnsi="Calibri"/>
          <w:sz w:val="24"/>
          <w:szCs w:val="24"/>
        </w:rPr>
      </w:r>
    </w:p>
    <w:p>
      <w:pPr>
        <w:pStyle w:val="Heading2"/>
        <w:spacing w:lineRule="auto" w:line="480" w:before="0" w:after="0"/>
        <w:jc w:val="start"/>
        <w:rPr>
          <w:rFonts w:ascii="Calibri" w:hAnsi="Calibri"/>
          <w:sz w:val="24"/>
          <w:szCs w:val="24"/>
        </w:rPr>
      </w:pPr>
      <w:r>
        <w:rPr>
          <w:rFonts w:eastAsia="Arial" w:cs="Arial" w:ascii="Calibri" w:hAnsi="Calibri"/>
          <w:b/>
          <w:bCs/>
          <w:sz w:val="24"/>
          <w:szCs w:val="24"/>
        </w:rPr>
        <w:t>What Modeling Techniques Were Used?</w:t>
      </w:r>
    </w:p>
    <w:p>
      <w:pPr>
        <w:pStyle w:val="Normal"/>
        <w:spacing w:lineRule="auto" w:line="480" w:before="0" w:after="0"/>
        <w:jc w:val="both"/>
        <w:rPr>
          <w:rFonts w:ascii="Calibri" w:hAnsi="Calibri"/>
          <w:sz w:val="24"/>
          <w:szCs w:val="24"/>
        </w:rPr>
      </w:pPr>
      <w:r>
        <w:rPr>
          <w:rFonts w:eastAsia="Arial" w:cs="Arial" w:ascii="Calibri" w:hAnsi="Calibri"/>
          <w:sz w:val="24"/>
          <w:szCs w:val="24"/>
        </w:rPr>
        <w:tab/>
        <w:t>The Corewell Health initiative used an artificial intelligence-driven clinical decision support tool to generate individualized readmission risk scores. While the specific algorithmic architecture was not disclosed in full detail in the published study, the system is consistent with machine learning-based risk prediction models commonly deployed in healthcare, which typically rely on gradient boosting, logistic regression, or ensemble methods trained on structured EHR data (Baird et al., 2022).</w:t>
      </w:r>
    </w:p>
    <w:p>
      <w:pPr>
        <w:pStyle w:val="Normal"/>
        <w:spacing w:lineRule="auto" w:line="480" w:before="0" w:after="0"/>
        <w:jc w:val="both"/>
        <w:rPr>
          <w:rFonts w:ascii="Calibri" w:hAnsi="Calibri"/>
          <w:sz w:val="24"/>
          <w:szCs w:val="24"/>
        </w:rPr>
      </w:pPr>
      <w:r>
        <w:rPr>
          <w:rFonts w:eastAsia="Arial" w:cs="Arial" w:ascii="Calibri" w:hAnsi="Calibri"/>
          <w:sz w:val="24"/>
          <w:szCs w:val="24"/>
        </w:rPr>
        <w:tab/>
        <w:t>What distinguished the Corewell approach was its emphasis on clinician verification as part of the workflow. The model did not operate autonomously; instead, risk scores generated by the algorithm were reviewed and validated by care coordinators who could apply clinical judgment to confirm or override the model's flagging. This human-in-the-loop design is increasingly recommended in healthcare AI applications because it guards against over-reliance on algorithmic outputs, particularly in cases where the model may not have visibility into contextual information that a clinician would recognize (Baird et al., 2022).</w:t>
      </w:r>
    </w:p>
    <w:p>
      <w:pPr>
        <w:pStyle w:val="Normal"/>
        <w:spacing w:lineRule="auto" w:line="480"/>
        <w:rPr>
          <w:rFonts w:ascii="Calibri" w:hAnsi="Calibri"/>
          <w:sz w:val="24"/>
          <w:szCs w:val="24"/>
        </w:rPr>
      </w:pPr>
      <w:r>
        <w:rPr>
          <w:rFonts w:ascii="Calibri" w:hAnsi="Calibri"/>
          <w:sz w:val="24"/>
          <w:szCs w:val="24"/>
        </w:rPr>
      </w:r>
    </w:p>
    <w:p>
      <w:pPr>
        <w:pStyle w:val="Heading2"/>
        <w:spacing w:lineRule="auto" w:line="480" w:before="0" w:after="0"/>
        <w:jc w:val="start"/>
        <w:rPr>
          <w:rFonts w:ascii="Calibri" w:hAnsi="Calibri"/>
          <w:sz w:val="24"/>
          <w:szCs w:val="24"/>
        </w:rPr>
      </w:pPr>
      <w:r>
        <w:rPr>
          <w:rFonts w:eastAsia="Arial" w:cs="Arial" w:ascii="Calibri" w:hAnsi="Calibri"/>
          <w:b/>
          <w:bCs/>
          <w:sz w:val="24"/>
          <w:szCs w:val="24"/>
        </w:rPr>
        <w:t>Why Did the Team Choose the Methods They Did?</w:t>
      </w:r>
    </w:p>
    <w:p>
      <w:pPr>
        <w:pStyle w:val="Normal"/>
        <w:spacing w:lineRule="auto" w:line="480" w:before="0" w:after="0"/>
        <w:jc w:val="both"/>
        <w:rPr>
          <w:rFonts w:ascii="Calibri" w:hAnsi="Calibri"/>
          <w:sz w:val="24"/>
          <w:szCs w:val="24"/>
        </w:rPr>
      </w:pPr>
      <w:r>
        <w:rPr>
          <w:rFonts w:eastAsia="Arial" w:cs="Arial" w:ascii="Calibri" w:hAnsi="Calibri"/>
          <w:sz w:val="24"/>
          <w:szCs w:val="24"/>
        </w:rPr>
        <w:tab/>
        <w:t>The team's methodological choices were driven by several practical considerations. First, the use of EHR-derived data made the model deployable within the existing clinical infrastructure without requiring new data collection pipelines or patient-facing technology. Second, the focus on the top two quintiles of predicted risk allowed the team to concentrate limited care coordination resources on the patients most likely to benefit, rather than applying a blanket intervention to all discharged patients. This targeted approach is consistent with best practices in population health management, which emphasizes efficient allocation of resources based on risk stratification (Baird et al., 2022).</w:t>
      </w:r>
    </w:p>
    <w:p>
      <w:pPr>
        <w:pStyle w:val="Normal"/>
        <w:spacing w:lineRule="auto" w:line="480" w:before="0" w:after="0"/>
        <w:jc w:val="both"/>
        <w:rPr>
          <w:rFonts w:ascii="Calibri" w:hAnsi="Calibri"/>
          <w:sz w:val="24"/>
          <w:szCs w:val="24"/>
        </w:rPr>
      </w:pPr>
      <w:r>
        <w:rPr>
          <w:rFonts w:eastAsia="Arial" w:cs="Arial" w:ascii="Calibri" w:hAnsi="Calibri"/>
          <w:sz w:val="24"/>
          <w:szCs w:val="24"/>
        </w:rPr>
        <w:tab/>
        <w:t>The decision to incorporate social determinants of health as model inputs and intervention targets reflected an evidence-based understanding that clinical variables alone are insufficient predictors of readmission. Factors such as transportation access, food security, and social support have well-documented associations with hospital utilization, and ignoring them would have produced a model with a narrower and less accurate view of risk (Corewell Health, 2023).</w:t>
      </w:r>
    </w:p>
    <w:p>
      <w:pPr>
        <w:pStyle w:val="Normal"/>
        <w:spacing w:lineRule="auto" w:line="480"/>
        <w:rPr>
          <w:rFonts w:ascii="Calibri" w:hAnsi="Calibri"/>
          <w:sz w:val="24"/>
          <w:szCs w:val="24"/>
        </w:rPr>
      </w:pPr>
      <w:r>
        <w:rPr>
          <w:rFonts w:ascii="Calibri" w:hAnsi="Calibri"/>
          <w:sz w:val="24"/>
          <w:szCs w:val="24"/>
        </w:rPr>
      </w:r>
    </w:p>
    <w:p>
      <w:pPr>
        <w:pStyle w:val="Heading2"/>
        <w:spacing w:lineRule="auto" w:line="480" w:before="0" w:after="0"/>
        <w:jc w:val="start"/>
        <w:rPr>
          <w:rFonts w:ascii="Calibri" w:hAnsi="Calibri"/>
          <w:sz w:val="24"/>
          <w:szCs w:val="24"/>
        </w:rPr>
      </w:pPr>
      <w:r>
        <w:rPr>
          <w:rFonts w:eastAsia="Arial" w:cs="Arial" w:ascii="Calibri" w:hAnsi="Calibri"/>
          <w:b/>
          <w:bCs/>
          <w:sz w:val="24"/>
          <w:szCs w:val="24"/>
        </w:rPr>
        <w:t>What Metrics Were Used to Evaluate the Results?</w:t>
      </w:r>
    </w:p>
    <w:p>
      <w:pPr>
        <w:pStyle w:val="Normal"/>
        <w:spacing w:lineRule="auto" w:line="480" w:before="0" w:after="0"/>
        <w:jc w:val="both"/>
        <w:rPr>
          <w:rFonts w:ascii="Calibri" w:hAnsi="Calibri"/>
          <w:sz w:val="24"/>
          <w:szCs w:val="24"/>
        </w:rPr>
      </w:pPr>
      <w:r>
        <w:rPr>
          <w:rFonts w:eastAsia="Arial" w:cs="Arial" w:ascii="Calibri" w:hAnsi="Calibri"/>
          <w:sz w:val="24"/>
          <w:szCs w:val="24"/>
        </w:rPr>
        <w:tab/>
        <w:t xml:space="preserve">The </w:t>
      </w:r>
      <w:r>
        <w:rPr>
          <w:rFonts w:eastAsia="Arial" w:cs="Arial" w:ascii="Calibri" w:hAnsi="Calibri"/>
          <w:sz w:val="24"/>
          <w:szCs w:val="24"/>
        </w:rPr>
        <w:t>p</w:t>
      </w:r>
      <w:r>
        <w:rPr>
          <w:rFonts w:eastAsia="Arial" w:cs="Arial" w:ascii="Calibri" w:hAnsi="Calibri"/>
          <w:sz w:val="24"/>
          <w:szCs w:val="24"/>
        </w:rPr>
        <w:t>rimary outcome metric used to evaluate the initiative was the actual reduction in 30-day readmission rates among the patients enrolled in the transition support program. The team tracked whether patients who were flagged by the model and received intervention were ultimately readmitted within 30 days, comparing observed readmission rates against expected rates for similar risk profiles. The headline result, 200 patients prevented from readmission over 20 months, represents an impact metric that is both clinically meaningful and financially quantifiable (Baird et al., 2022).</w:t>
      </w:r>
    </w:p>
    <w:p>
      <w:pPr>
        <w:pStyle w:val="Normal"/>
        <w:spacing w:lineRule="auto" w:line="480"/>
        <w:rPr>
          <w:rFonts w:ascii="Calibri" w:hAnsi="Calibri"/>
          <w:sz w:val="24"/>
          <w:szCs w:val="24"/>
        </w:rPr>
      </w:pPr>
      <w:r>
        <w:rPr>
          <w:rFonts w:ascii="Calibri" w:hAnsi="Calibri"/>
          <w:sz w:val="24"/>
          <w:szCs w:val="24"/>
        </w:rPr>
      </w:r>
    </w:p>
    <w:p>
      <w:pPr>
        <w:pStyle w:val="Normal"/>
        <w:spacing w:lineRule="auto" w:line="480" w:before="0" w:after="0"/>
        <w:jc w:val="both"/>
        <w:rPr>
          <w:rFonts w:ascii="Calibri" w:hAnsi="Calibri"/>
          <w:sz w:val="24"/>
          <w:szCs w:val="24"/>
        </w:rPr>
      </w:pPr>
      <w:r>
        <w:rPr>
          <w:rFonts w:eastAsia="Arial" w:cs="Arial" w:ascii="Calibri" w:hAnsi="Calibri"/>
          <w:sz w:val="24"/>
          <w:szCs w:val="24"/>
        </w:rPr>
        <w:t>Cost savings served as a secondary metric, with the team reporting approximately five million dollars in avoided costs attributable to the prevented readmissions. This metric was particularly important for demonstrating the return on investment of the care coordination program to hospital leadership and payers. The initiative also tracked performance against CMS readmission benchmarks, which are publicly reported and tied to reimbursement under value-based care arrangements (Baird et al., 2022). These metrics were chosen because they aligned directly with the institutional goals of the program and were grounded in concrete, observable patient outcomes rather than intermediate process measures.</w:t>
      </w:r>
    </w:p>
    <w:p>
      <w:pPr>
        <w:pStyle w:val="Normal"/>
        <w:spacing w:lineRule="auto" w:line="480"/>
        <w:rPr>
          <w:rFonts w:ascii="Calibri" w:hAnsi="Calibri"/>
          <w:sz w:val="24"/>
          <w:szCs w:val="24"/>
        </w:rPr>
      </w:pPr>
      <w:r>
        <w:rPr>
          <w:rFonts w:ascii="Calibri" w:hAnsi="Calibri"/>
          <w:sz w:val="24"/>
          <w:szCs w:val="24"/>
        </w:rPr>
      </w:r>
    </w:p>
    <w:p>
      <w:pPr>
        <w:pStyle w:val="Heading1"/>
        <w:spacing w:lineRule="auto" w:line="480" w:before="0" w:after="0"/>
        <w:jc w:val="start"/>
        <w:rPr>
          <w:rFonts w:ascii="Calibri" w:hAnsi="Calibri"/>
          <w:sz w:val="24"/>
          <w:szCs w:val="24"/>
        </w:rPr>
      </w:pPr>
      <w:r>
        <w:rPr>
          <w:rFonts w:eastAsia="Arial" w:cs="Arial" w:ascii="Calibri" w:hAnsi="Calibri"/>
          <w:b/>
          <w:bCs/>
          <w:sz w:val="24"/>
          <w:szCs w:val="24"/>
        </w:rPr>
        <w:t>Conclusion</w:t>
      </w:r>
    </w:p>
    <w:p>
      <w:pPr>
        <w:pStyle w:val="Normal"/>
        <w:spacing w:lineRule="auto" w:line="480" w:before="0" w:after="0"/>
        <w:jc w:val="both"/>
        <w:rPr>
          <w:rFonts w:ascii="Calibri" w:hAnsi="Calibri"/>
          <w:sz w:val="24"/>
          <w:szCs w:val="24"/>
        </w:rPr>
      </w:pPr>
      <w:r>
        <w:rPr>
          <w:rFonts w:eastAsia="Arial" w:cs="Arial" w:ascii="Calibri" w:hAnsi="Calibri"/>
          <w:sz w:val="24"/>
          <w:szCs w:val="24"/>
        </w:rPr>
        <w:tab/>
        <w:t>The predictive model was implemented directly within the EHR environment used by Spectrum Health, enabling care coordinators to access risk scores as part of their standard daily workflow. Patients identified by the algorithm as high risk were automatically surfaced for review, and the interdisciplinary care team then made contact with those patients beginning on the day of discharge. The implementation was designed to be minimally disruptive to existing workflows, embedding the model's outputs into tools that clinicians were already using rather than requiring adoption of a separate platform or application (Baird et al., 2022).</w:t>
      </w:r>
    </w:p>
    <w:p>
      <w:pPr>
        <w:pStyle w:val="Normal"/>
        <w:spacing w:lineRule="auto" w:line="480" w:before="0" w:after="0"/>
        <w:jc w:val="both"/>
        <w:rPr>
          <w:rFonts w:ascii="Calibri" w:hAnsi="Calibri"/>
          <w:sz w:val="24"/>
          <w:szCs w:val="24"/>
        </w:rPr>
      </w:pPr>
      <w:r>
        <w:rPr>
          <w:rFonts w:eastAsia="Arial" w:cs="Arial" w:ascii="Calibri" w:hAnsi="Calibri"/>
          <w:sz w:val="24"/>
          <w:szCs w:val="24"/>
        </w:rPr>
        <w:tab/>
        <w:t>Interventions during the 30-day transition period were structured but personalized. Care coordinators conducted proactive outreach by phone, assessed patients against the three recovery pillars of clinical challenges, behavioral health, and social determinants of health, and connected patients with appropriate resources such as dietary support, transportation assistance, and mental health services. Task-oriented follow-up ensured that care coordinators maintained consistent contact with enrolled patients throughout the transition window (Corewell Health, 2023).</w:t>
      </w:r>
    </w:p>
    <w:p>
      <w:pPr>
        <w:pStyle w:val="Normal"/>
        <w:spacing w:lineRule="auto" w:line="480"/>
        <w:rPr>
          <w:rFonts w:ascii="Calibri" w:hAnsi="Calibri"/>
          <w:sz w:val="24"/>
          <w:szCs w:val="24"/>
        </w:rPr>
      </w:pPr>
      <w:r>
        <w:rPr>
          <w:rFonts w:ascii="Calibri" w:hAnsi="Calibri"/>
          <w:sz w:val="24"/>
          <w:szCs w:val="24"/>
        </w:rPr>
      </w:r>
    </w:p>
    <w:p>
      <w:pPr>
        <w:pStyle w:val="Heading2"/>
        <w:spacing w:lineRule="auto" w:line="480" w:before="0" w:after="0"/>
        <w:jc w:val="start"/>
        <w:rPr>
          <w:rFonts w:ascii="Calibri" w:hAnsi="Calibri"/>
          <w:sz w:val="24"/>
          <w:szCs w:val="24"/>
        </w:rPr>
      </w:pPr>
      <w:r>
        <w:rPr>
          <w:rFonts w:eastAsia="Arial" w:cs="Arial" w:ascii="Calibri" w:hAnsi="Calibri"/>
          <w:b/>
          <w:bCs/>
          <w:sz w:val="24"/>
          <w:szCs w:val="24"/>
        </w:rPr>
        <w:t>What Were the Actionable Consequences of the Case Study?</w:t>
      </w:r>
    </w:p>
    <w:p>
      <w:pPr>
        <w:pStyle w:val="Normal"/>
        <w:spacing w:lineRule="auto" w:line="480" w:before="0" w:after="0"/>
        <w:jc w:val="both"/>
        <w:rPr>
          <w:rFonts w:ascii="Calibri" w:hAnsi="Calibri"/>
          <w:sz w:val="24"/>
          <w:szCs w:val="24"/>
        </w:rPr>
      </w:pPr>
      <w:r>
        <w:rPr>
          <w:rFonts w:eastAsia="Arial" w:cs="Arial" w:ascii="Calibri" w:hAnsi="Calibri"/>
          <w:sz w:val="24"/>
          <w:szCs w:val="24"/>
        </w:rPr>
        <w:tab/>
        <w:t>The most immediate actionable consequence was the decision by Corewell Health leadership to expand the program significantly. Based on the results of the 20-month pilot, the organization committed to scaling the initiative from 15 primary care offices to 45 sites serving patients enrolled in Priority Health, its provider-sponsored health plan (Baird et al., 2022). This expansion decision was grounded in the demonstrated clinical and financial outcomes of the pilot, providing a model for how evidence-based scaling decisions should be made in healthcare organizations.</w:t>
      </w:r>
    </w:p>
    <w:p>
      <w:pPr>
        <w:pStyle w:val="Normal"/>
        <w:spacing w:lineRule="auto" w:line="480" w:before="0" w:after="0"/>
        <w:jc w:val="both"/>
        <w:rPr>
          <w:rFonts w:ascii="Calibri" w:hAnsi="Calibri"/>
          <w:sz w:val="24"/>
          <w:szCs w:val="24"/>
        </w:rPr>
      </w:pPr>
      <w:r>
        <w:rPr>
          <w:rFonts w:eastAsia="Arial" w:cs="Arial" w:ascii="Calibri" w:hAnsi="Calibri"/>
          <w:sz w:val="24"/>
          <w:szCs w:val="24"/>
        </w:rPr>
        <w:tab/>
        <w:t>The case study also contributed to the broader field of healthcare predictive analytics by demonstrating that a whole-person, socially-informed intervention design produces better outcomes than purely clinical approaches. This has implications for how other health systems design their own readmission reduction programs, encouraging them to incorporate social determinants of health into both their predictive models and their post-discharge support structures. Corewell Health's results were published in NEJM Catalyst, ensuring that the findings would reach a clinical and administrative audience beyond the organization itself (Baird et al., 2022).</w:t>
      </w:r>
    </w:p>
    <w:p>
      <w:pPr>
        <w:pStyle w:val="Normal"/>
        <w:spacing w:lineRule="auto" w:line="480" w:before="0" w:after="0"/>
        <w:jc w:val="both"/>
        <w:rPr>
          <w:rFonts w:ascii="Calibri" w:hAnsi="Calibri"/>
          <w:sz w:val="24"/>
          <w:szCs w:val="24"/>
        </w:rPr>
      </w:pPr>
      <w:r>
        <w:rPr>
          <w:rFonts w:eastAsia="Arial" w:cs="Arial" w:ascii="Calibri" w:hAnsi="Calibri"/>
          <w:sz w:val="24"/>
          <w:szCs w:val="24"/>
        </w:rPr>
        <w:tab/>
        <w:t>In 2024, Corewell Health was recognized with a HIMSS Davies Award of Excellence for its use of clinical informatics to improve patient outcomes, with the readmission reduction initiative cited as a key contributor to that recognition. By the time of the award, the program had achieved a 70 percent reduction in readmissions among identified patients, a substantially higher impact than the pilot results alone (Corewell Health, 2024).</w:t>
      </w:r>
    </w:p>
    <w:p>
      <w:pPr>
        <w:pStyle w:val="Normal"/>
        <w:spacing w:lineRule="auto" w:line="480"/>
        <w:rPr>
          <w:rFonts w:ascii="Calibri" w:hAnsi="Calibri"/>
          <w:sz w:val="24"/>
          <w:szCs w:val="24"/>
        </w:rPr>
      </w:pPr>
      <w:r>
        <w:rPr>
          <w:rFonts w:ascii="Calibri" w:hAnsi="Calibri"/>
          <w:sz w:val="24"/>
          <w:szCs w:val="24"/>
        </w:rPr>
      </w:r>
    </w:p>
    <w:p>
      <w:pPr>
        <w:pStyle w:val="Heading2"/>
        <w:spacing w:lineRule="auto" w:line="480" w:before="0" w:after="0"/>
        <w:jc w:val="start"/>
        <w:rPr>
          <w:rFonts w:ascii="Calibri" w:hAnsi="Calibri"/>
          <w:sz w:val="24"/>
          <w:szCs w:val="24"/>
        </w:rPr>
      </w:pPr>
      <w:r>
        <w:rPr>
          <w:rFonts w:eastAsia="Arial" w:cs="Arial" w:ascii="Calibri" w:hAnsi="Calibri"/>
          <w:b/>
          <w:bCs/>
          <w:sz w:val="24"/>
          <w:szCs w:val="24"/>
        </w:rPr>
        <w:t>What Did the Team Learn From the Case Study?</w:t>
      </w:r>
    </w:p>
    <w:p>
      <w:pPr>
        <w:pStyle w:val="Normal"/>
        <w:spacing w:lineRule="auto" w:line="480" w:before="0" w:after="0"/>
        <w:jc w:val="both"/>
        <w:rPr>
          <w:rFonts w:ascii="Calibri" w:hAnsi="Calibri"/>
          <w:sz w:val="24"/>
          <w:szCs w:val="24"/>
        </w:rPr>
      </w:pPr>
      <w:r>
        <w:rPr>
          <w:rFonts w:eastAsia="Arial" w:cs="Arial" w:ascii="Calibri" w:hAnsi="Calibri"/>
          <w:sz w:val="24"/>
          <w:szCs w:val="24"/>
        </w:rPr>
        <w:tab/>
        <w:t>One of the most significant lessons from the Corewell Health initiative was the value of integrating clinical and social data in predictive models. The team found that patients' recovery trajectories were shaped not only by their medical conditions but by the social and behavioral contexts in which they were recovering. A patient with a clinically straightforward diagnosis but significant social vulnerabilities could carry a higher practical risk of readmission than a patient with more complex medical needs and strong social supports. This insight reinforced the importance of treating the model as a starting point for clinical judgment rather than a definitive risk classifier.</w:t>
      </w:r>
    </w:p>
    <w:p>
      <w:pPr>
        <w:pStyle w:val="Normal"/>
        <w:spacing w:lineRule="auto" w:line="480" w:before="0" w:after="0"/>
        <w:jc w:val="both"/>
        <w:rPr>
          <w:rFonts w:ascii="Calibri" w:hAnsi="Calibri"/>
          <w:sz w:val="24"/>
          <w:szCs w:val="24"/>
        </w:rPr>
      </w:pPr>
      <w:r>
        <w:rPr>
          <w:rFonts w:eastAsia="Arial" w:cs="Arial" w:ascii="Calibri" w:hAnsi="Calibri"/>
          <w:sz w:val="24"/>
          <w:szCs w:val="24"/>
        </w:rPr>
        <w:tab/>
        <w:t>The team also learned that clinician engagement is critical to the success of AI-assisted care interventions. By building a verification step into the workflow, the program ensured that care coordinators felt ownership over the intervention decisions rather than simply executing algorithmic outputs. This human-centered design principle contributed to strong participation rates and helped the program exceed its targeted readmission reduction goals (Baird et al., 2022).</w:t>
      </w:r>
    </w:p>
    <w:p>
      <w:pPr>
        <w:pStyle w:val="Normal"/>
        <w:spacing w:lineRule="auto" w:line="480"/>
        <w:rPr>
          <w:rFonts w:ascii="Calibri" w:hAnsi="Calibri"/>
          <w:sz w:val="24"/>
          <w:szCs w:val="24"/>
        </w:rPr>
      </w:pPr>
      <w:r>
        <w:rPr>
          <w:rFonts w:ascii="Calibri" w:hAnsi="Calibri"/>
          <w:sz w:val="24"/>
          <w:szCs w:val="24"/>
        </w:rPr>
      </w:r>
    </w:p>
    <w:p>
      <w:pPr>
        <w:pStyle w:val="Heading2"/>
        <w:spacing w:lineRule="auto" w:line="480" w:before="0" w:after="0"/>
        <w:jc w:val="start"/>
        <w:rPr>
          <w:rFonts w:ascii="Calibri" w:hAnsi="Calibri"/>
          <w:sz w:val="24"/>
          <w:szCs w:val="24"/>
        </w:rPr>
      </w:pPr>
      <w:r>
        <w:rPr>
          <w:rFonts w:eastAsia="Arial" w:cs="Arial" w:ascii="Calibri" w:hAnsi="Calibri"/>
          <w:b/>
          <w:bCs/>
          <w:sz w:val="24"/>
          <w:szCs w:val="24"/>
        </w:rPr>
        <w:t>How Should or Would the Team Approach the Problem Differently in the Future?</w:t>
      </w:r>
    </w:p>
    <w:p>
      <w:pPr>
        <w:pStyle w:val="Normal"/>
        <w:spacing w:lineRule="auto" w:line="480" w:before="0" w:after="0"/>
        <w:jc w:val="both"/>
        <w:rPr>
          <w:rFonts w:ascii="Calibri" w:hAnsi="Calibri"/>
          <w:sz w:val="24"/>
          <w:szCs w:val="24"/>
        </w:rPr>
      </w:pPr>
      <w:r>
        <w:rPr>
          <w:rFonts w:eastAsia="Arial" w:cs="Arial" w:ascii="Calibri" w:hAnsi="Calibri"/>
          <w:sz w:val="24"/>
          <w:szCs w:val="24"/>
        </w:rPr>
        <w:tab/>
        <w:t>Looking forward, the Corewell Health team identified the scalability and sustainability of the intervention as key areas for continued development. While the 20-month pilot demonstrated strong results within a defined set of primary care sites, expanding to 45 sites introduced new logistical and staffing challenges that required systematic planning. Future iterations of the program would benefit from more automated triage workflows, standardized documentation of intervention touchpoints, and integration with community-based social service providers to extend the reach of social determinants of health support beyond what hospital-based care coordinators can provide directly (Baird et al., 2022).</w:t>
      </w:r>
    </w:p>
    <w:p>
      <w:pPr>
        <w:pStyle w:val="Normal"/>
        <w:spacing w:lineRule="auto" w:line="480" w:before="0" w:after="0"/>
        <w:jc w:val="both"/>
        <w:rPr>
          <w:rFonts w:ascii="Calibri" w:hAnsi="Calibri"/>
          <w:sz w:val="24"/>
          <w:szCs w:val="24"/>
        </w:rPr>
      </w:pPr>
      <w:r>
        <w:rPr>
          <w:rFonts w:eastAsia="Arial" w:cs="Arial" w:ascii="Calibri" w:hAnsi="Calibri"/>
          <w:sz w:val="24"/>
          <w:szCs w:val="24"/>
        </w:rPr>
        <w:tab/>
        <w:t>From a modeling perspective, future work might explore the use of larger and more diverse training datasets to improve the model's performance across patient subgroups. There is also growing interest in using natural language processing to extract social determinants of health information from unstructured clinical notes, which would allow the model to capture a richer picture of patient risk than structured data fields alone can provide. More sophisticated model architectures, including ensemble methods and deep learning approaches trained on longitudinal EHR data, may further improve predictive accuracy and help identify at-risk patients earlier in their hospitalization rather than only at discharge (Baird et al., 2022).</w:t>
      </w:r>
    </w:p>
    <w:p>
      <w:pPr>
        <w:pStyle w:val="Normal"/>
        <w:spacing w:lineRule="auto" w:line="480" w:before="0" w:after="0"/>
        <w:jc w:val="both"/>
        <w:rPr>
          <w:rFonts w:ascii="Calibri" w:hAnsi="Calibri"/>
          <w:sz w:val="24"/>
          <w:szCs w:val="24"/>
        </w:rPr>
      </w:pPr>
      <w:r>
        <w:rPr>
          <w:rFonts w:eastAsia="Arial" w:cs="Arial" w:ascii="Calibri" w:hAnsi="Calibri"/>
          <w:sz w:val="24"/>
          <w:szCs w:val="24"/>
        </w:rPr>
        <w:tab/>
        <w:t>Finally, the team's experience underscores the importance of continuous model monitoring and retraining. Patient populations change over time, clinical practices evolve, and the social determinants affecting health outcomes shift in response to economic and policy conditions. A model that performs well in 2021 may require recalibration by 2025 to maintain its accuracy and clinical utility. Building a culture of ongoing model evaluation into the program's standard operating procedures would be an important enhancement for future iterations.</w:t>
      </w:r>
    </w:p>
    <w:p>
      <w:pPr>
        <w:pStyle w:val="Normal"/>
        <w:spacing w:lineRule="auto" w:line="480"/>
        <w:rPr>
          <w:rFonts w:ascii="Calibri" w:hAnsi="Calibri"/>
          <w:sz w:val="24"/>
          <w:szCs w:val="24"/>
        </w:rPr>
      </w:pPr>
      <w:r>
        <w:rPr>
          <w:rFonts w:ascii="Calibri" w:hAnsi="Calibri"/>
          <w:sz w:val="24"/>
          <w:szCs w:val="24"/>
        </w:rPr>
      </w:r>
    </w:p>
    <w:p>
      <w:pPr>
        <w:pStyle w:val="Heading1"/>
        <w:spacing w:lineRule="auto" w:line="480" w:before="0" w:after="0"/>
        <w:jc w:val="center"/>
        <w:rPr>
          <w:rFonts w:ascii="Calibri" w:hAnsi="Calibri" w:eastAsia="Arial" w:cs="Arial"/>
          <w:b/>
          <w:bCs/>
          <w:sz w:val="24"/>
          <w:szCs w:val="24"/>
        </w:rPr>
      </w:pPr>
      <w:r>
        <w:rPr>
          <w:rFonts w:eastAsia="Arial" w:cs="Arial" w:ascii="Calibri" w:hAnsi="Calibri"/>
          <w:b/>
          <w:bCs/>
          <w:sz w:val="24"/>
          <w:szCs w:val="24"/>
        </w:rPr>
      </w:r>
      <w:r>
        <w:br w:type="page"/>
      </w:r>
    </w:p>
    <w:p>
      <w:pPr>
        <w:pStyle w:val="Title"/>
        <w:jc w:val="center"/>
        <w:rPr>
          <w:rFonts w:ascii="Calibri" w:hAnsi="Calibri"/>
        </w:rPr>
      </w:pPr>
      <w:r>
        <w:rPr>
          <w:rFonts w:ascii="Calibri" w:hAnsi="Calibri"/>
        </w:rPr>
        <w:t>References</w:t>
      </w:r>
    </w:p>
    <w:p>
      <w:pPr>
        <w:pStyle w:val="Normal"/>
        <w:spacing w:lineRule="auto" w:line="480"/>
        <w:rPr>
          <w:rFonts w:ascii="Calibri" w:hAnsi="Calibri"/>
          <w:sz w:val="24"/>
          <w:szCs w:val="24"/>
        </w:rPr>
      </w:pPr>
      <w:r>
        <w:rPr>
          <w:rFonts w:ascii="Calibri" w:hAnsi="Calibri"/>
          <w:sz w:val="24"/>
          <w:szCs w:val="24"/>
        </w:rPr>
      </w:r>
    </w:p>
    <w:p>
      <w:pPr>
        <w:pStyle w:val="Normal"/>
        <w:spacing w:lineRule="auto" w:line="480" w:before="0" w:after="0"/>
        <w:ind w:hanging="720" w:start="720"/>
        <w:jc w:val="both"/>
        <w:rPr>
          <w:rFonts w:ascii="Calibri" w:hAnsi="Calibri"/>
          <w:sz w:val="24"/>
          <w:szCs w:val="24"/>
        </w:rPr>
      </w:pPr>
      <w:r>
        <w:rPr>
          <w:rFonts w:eastAsia="Arial" w:cs="Arial" w:ascii="Calibri" w:hAnsi="Calibri"/>
          <w:sz w:val="24"/>
          <w:szCs w:val="24"/>
        </w:rPr>
        <w:t xml:space="preserve">Baird, T., Eastman, L., Auger, E., Moses, J. M., &amp; Quiroga Chand, A. (2022). Reducing readmission risk through whole-person design. </w:t>
      </w:r>
      <w:r>
        <w:rPr>
          <w:rFonts w:eastAsia="Arial" w:cs="Arial" w:ascii="Calibri" w:hAnsi="Calibri"/>
          <w:i/>
          <w:iCs/>
          <w:sz w:val="24"/>
          <w:szCs w:val="24"/>
        </w:rPr>
        <w:t>NEJM Catalyst Innovations in Care Delivery</w:t>
      </w:r>
      <w:r>
        <w:rPr>
          <w:rFonts w:eastAsia="Arial" w:cs="Arial" w:ascii="Calibri" w:hAnsi="Calibri"/>
          <w:sz w:val="24"/>
          <w:szCs w:val="24"/>
        </w:rPr>
        <w:t xml:space="preserve">, </w:t>
      </w:r>
      <w:r>
        <w:rPr>
          <w:rFonts w:eastAsia="Arial" w:cs="Arial" w:ascii="Calibri" w:hAnsi="Calibri"/>
          <w:i/>
          <w:iCs/>
          <w:sz w:val="24"/>
          <w:szCs w:val="24"/>
        </w:rPr>
        <w:t>4</w:t>
      </w:r>
      <w:r>
        <w:rPr>
          <w:rFonts w:eastAsia="Arial" w:cs="Arial" w:ascii="Calibri" w:hAnsi="Calibri"/>
          <w:sz w:val="24"/>
          <w:szCs w:val="24"/>
        </w:rPr>
        <w:t xml:space="preserve">(1). </w:t>
      </w:r>
      <w:hyperlink r:id="rId2">
        <w:r>
          <w:rPr>
            <w:rStyle w:val="Hyperlink"/>
            <w:rFonts w:eastAsia="Arial" w:cs="Arial" w:ascii="Calibri" w:hAnsi="Calibri"/>
            <w:sz w:val="24"/>
            <w:szCs w:val="24"/>
          </w:rPr>
          <w:t>https://doi.org/10.1056/CAT.22.0237</w:t>
        </w:r>
      </w:hyperlink>
    </w:p>
    <w:p>
      <w:pPr>
        <w:pStyle w:val="Normal"/>
        <w:spacing w:lineRule="auto" w:line="480" w:before="0" w:after="0"/>
        <w:ind w:hanging="720" w:start="720"/>
        <w:jc w:val="both"/>
        <w:rPr>
          <w:rFonts w:ascii="Calibri" w:hAnsi="Calibri"/>
          <w:sz w:val="24"/>
          <w:szCs w:val="24"/>
        </w:rPr>
      </w:pPr>
      <w:r>
        <w:rPr>
          <w:rFonts w:eastAsia="Arial" w:cs="Arial" w:ascii="Calibri" w:hAnsi="Calibri"/>
          <w:sz w:val="24"/>
          <w:szCs w:val="24"/>
        </w:rPr>
        <w:t xml:space="preserve">Corewell Health. (2023, February 2). </w:t>
      </w:r>
      <w:r>
        <w:rPr>
          <w:rFonts w:eastAsia="Arial" w:cs="Arial" w:ascii="Calibri" w:hAnsi="Calibri"/>
          <w:i/>
          <w:iCs/>
          <w:sz w:val="24"/>
          <w:szCs w:val="24"/>
        </w:rPr>
        <w:t>Corewell Health study determines keys to reducing hospital readmissions.</w:t>
      </w:r>
      <w:r>
        <w:rPr>
          <w:rFonts w:eastAsia="Arial" w:cs="Arial" w:ascii="Calibri" w:hAnsi="Calibri"/>
          <w:sz w:val="24"/>
          <w:szCs w:val="24"/>
        </w:rPr>
        <w:t xml:space="preserve"> </w:t>
      </w:r>
      <w:hyperlink r:id="rId3">
        <w:r>
          <w:rPr>
            <w:rStyle w:val="Hyperlink"/>
            <w:rFonts w:eastAsia="Arial" w:cs="Arial" w:ascii="Calibri" w:hAnsi="Calibri"/>
            <w:sz w:val="24"/>
            <w:szCs w:val="24"/>
          </w:rPr>
          <w:t>https://newsroom.corewellhealth.org/2023-02-02-Corewell-Health-Study-Determines-Keys-to-Reducing-Hospital-Readmissions</w:t>
        </w:r>
      </w:hyperlink>
    </w:p>
    <w:p>
      <w:pPr>
        <w:pStyle w:val="Normal"/>
        <w:spacing w:lineRule="auto" w:line="480" w:before="0" w:after="0"/>
        <w:ind w:hanging="720" w:start="720"/>
        <w:jc w:val="both"/>
        <w:rPr>
          <w:rFonts w:ascii="Calibri" w:hAnsi="Calibri"/>
          <w:sz w:val="24"/>
          <w:szCs w:val="24"/>
        </w:rPr>
      </w:pPr>
      <w:r>
        <w:rPr>
          <w:rFonts w:eastAsia="Arial" w:cs="Arial" w:ascii="Calibri" w:hAnsi="Calibri"/>
          <w:sz w:val="24"/>
          <w:szCs w:val="24"/>
        </w:rPr>
        <w:t xml:space="preserve">Corewell Health. (2024, October 31). </w:t>
      </w:r>
      <w:r>
        <w:rPr>
          <w:rFonts w:eastAsia="Arial" w:cs="Arial" w:ascii="Calibri" w:hAnsi="Calibri"/>
          <w:i/>
          <w:iCs/>
          <w:sz w:val="24"/>
          <w:szCs w:val="24"/>
        </w:rPr>
        <w:t xml:space="preserve">Corewell </w:t>
      </w:r>
      <w:r>
        <w:rPr>
          <w:rFonts w:eastAsia="Arial" w:cs="Arial" w:ascii="Calibri" w:hAnsi="Calibri"/>
          <w:i/>
          <w:iCs/>
          <w:sz w:val="24"/>
          <w:szCs w:val="24"/>
        </w:rPr>
        <w:t>Press</w:t>
      </w:r>
      <w:r>
        <w:rPr>
          <w:rFonts w:eastAsia="Arial" w:cs="Arial" w:ascii="Calibri" w:hAnsi="Calibri"/>
          <w:sz w:val="24"/>
          <w:szCs w:val="24"/>
        </w:rPr>
        <w:t xml:space="preserve"> </w:t>
      </w:r>
      <w:hyperlink r:id="rId4">
        <w:r>
          <w:rPr>
            <w:rStyle w:val="Hyperlink"/>
            <w:rFonts w:eastAsia="Arial" w:cs="Arial" w:ascii="Calibri" w:hAnsi="Calibri"/>
            <w:sz w:val="24"/>
            <w:szCs w:val="24"/>
          </w:rPr>
          <w:t>https://newsroom.corewellhealth.org/2024-10-31-Corewell-Health-earns-international-recognition-for-its-use-of-health-information-and-technology-to-improve-patient-outcomes-first-in-Michigan-to-receive-the-honor-since-2018</w:t>
        </w:r>
      </w:hyperlink>
    </w:p>
    <w:p>
      <w:pPr>
        <w:pStyle w:val="Normal"/>
        <w:spacing w:lineRule="auto" w:line="480" w:before="0" w:after="0"/>
        <w:ind w:hanging="0" w:start="0"/>
        <w:jc w:val="both"/>
        <w:rPr>
          <w:rFonts w:ascii="Calibri" w:hAnsi="Calibri" w:eastAsia="Arial" w:cs="Arial"/>
          <w:sz w:val="24"/>
          <w:szCs w:val="24"/>
        </w:rPr>
      </w:pPr>
      <w:r>
        <w:rPr>
          <w:rFonts w:eastAsia="Arial" w:cs="Arial" w:ascii="Calibri" w:hAnsi="Calibri"/>
          <w:sz w:val="24"/>
          <w:szCs w:val="24"/>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 w:name="Calibri">
    <w:charset w:val="01"/>
    <w:family w:val="swiss"/>
    <w:pitch w:val="variable"/>
  </w:font>
</w:fonts>
</file>

<file path=word/settings.xml><?xml version="1.0" encoding="utf-8"?>
<w:settings xmlns:w="http://schemas.openxmlformats.org/wordprocessingml/2006/main">
  <w:zoom w:percent="95"/>
  <w:mirrorMargin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4"/>
      <w:szCs w:val="24"/>
      <w:lang w:val="en-US" w:eastAsia="zh-CN" w:bidi="hi-IN"/>
    </w:rPr>
  </w:style>
  <w:style w:type="paragraph" w:styleId="Heading1">
    <w:name w:val="heading 1"/>
    <w:basedOn w:val="Heading"/>
    <w:qFormat/>
    <w:pPr>
      <w:spacing w:lineRule="auto" w:line="480" w:before="0" w:after="0"/>
      <w:outlineLvl w:val="0"/>
    </w:pPr>
    <w:rPr>
      <w:rFonts w:ascii="Arial" w:hAnsi="Arial" w:eastAsia="Arial" w:cs="Arial"/>
      <w:b/>
      <w:bCs/>
      <w:sz w:val="24"/>
      <w:szCs w:val="24"/>
    </w:rPr>
  </w:style>
  <w:style w:type="paragraph" w:styleId="Heading2">
    <w:name w:val="heading 2"/>
    <w:basedOn w:val="Heading"/>
    <w:qFormat/>
    <w:pPr>
      <w:spacing w:lineRule="auto" w:line="480" w:before="0" w:after="0"/>
      <w:outlineLvl w:val="1"/>
    </w:pPr>
    <w:rPr>
      <w:rFonts w:ascii="Arial" w:hAnsi="Arial" w:eastAsia="Arial" w:cs="Arial"/>
      <w:b/>
      <w:bCs/>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4"/>
      <w:szCs w:val="24"/>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Subtitle">
    <w:name w:val="Subtitle"/>
    <w:basedOn w:val="Heading"/>
    <w:next w:val="BodyText"/>
    <w:qFormat/>
    <w:pPr>
      <w:spacing w:before="60" w:after="120"/>
      <w:jc w:val="center"/>
    </w:pPr>
    <w:rPr>
      <w:sz w:val="36"/>
      <w:szCs w:val="36"/>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Header">
    <w:name w:val="header"/>
    <w:basedOn w:val="HeaderandFooter"/>
    <w:pPr>
      <w:suppressLineNumbers/>
    </w:pPr>
    <w:rPr/>
  </w:style>
  <w:style w:type="paragraph" w:styleId="HeaderLeft">
    <w:name w:val="Header Left"/>
    <w:basedOn w:val="Header"/>
    <w:qFormat/>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i.org/10.1056/CAT.22.0237" TargetMode="External"/><Relationship Id="rId3" Type="http://schemas.openxmlformats.org/officeDocument/2006/relationships/hyperlink" Target="https://newsroom.corewellhealth.org/2023-02-02-Corewell-Health-Study-Determines-Keys-to-Reducing-Hospital-Readmissions" TargetMode="External"/><Relationship Id="rId4" Type="http://schemas.openxmlformats.org/officeDocument/2006/relationships/hyperlink" Target="https://newsroom.corewellhealth.org/2024-10-31-Corewell-Health-earns-international-recognition-for-its-use-of-health-information-and-technology-to-improve-patient-outcomes-first-in-Michigan-to-receive-the-honor-since-2018" TargetMode="Externa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TotalTime>
  <Application>LibreOffice/26.2.1.2$Windows_X86_64 LibreOffice_project/620$Build-2</Application>
  <AppVersion>15.0000</AppVersion>
  <Pages>12</Pages>
  <Words>2413</Words>
  <Characters>15089</Characters>
  <CharactersWithSpaces>17479</CharactersWithSpaces>
  <Paragraphs>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2026-04-14T05:52:57Z</dcterms:created>
  <dc:creator>Un-named</dc:creator>
  <dc:description/>
  <dc:language>en-US</dc:language>
  <cp:lastModifiedBy/>
  <dcterms:modified xsi:type="dcterms:W3CDTF">2026-04-14T01:03:48Z</dcterms:modified>
  <cp:revision>2</cp:revision>
  <dc:subject/>
  <dc:title/>
</cp:coreProperties>
</file>