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CA2A0" w14:textId="77777777" w:rsidR="00C10C13" w:rsidRDefault="00000000">
      <w:pPr>
        <w:tabs>
          <w:tab w:val="left" w:pos="7333"/>
        </w:tabs>
        <w:jc w:val="center"/>
        <w:rPr>
          <w:b/>
          <w:sz w:val="32"/>
        </w:rPr>
      </w:pPr>
      <w:r>
        <w:rPr>
          <w:b/>
          <w:sz w:val="32"/>
        </w:rPr>
        <w:t>Měřící protokol č. {Insert_Value_0}/2022</w:t>
      </w:r>
    </w:p>
    <w:p w14:paraId="0957DB73" w14:textId="77777777" w:rsidR="00C10C13" w:rsidRDefault="00000000">
      <w:pPr>
        <w:jc w:val="center"/>
        <w:rPr>
          <w:b/>
        </w:rPr>
      </w:pPr>
      <w:r>
        <w:rPr>
          <w:b/>
        </w:rPr>
        <w:t>Elektromagnetické pole v mimopracovním prostředí</w:t>
      </w:r>
    </w:p>
    <w:p w14:paraId="0A8A800E" w14:textId="77777777" w:rsidR="00C10C13" w:rsidRDefault="00C10C13">
      <w:pPr>
        <w:jc w:val="center"/>
      </w:pPr>
    </w:p>
    <w:p w14:paraId="7E5F522E" w14:textId="77777777" w:rsidR="00C10C13" w:rsidRDefault="00000000">
      <w:r>
        <w:t>Datum měření:</w:t>
      </w:r>
      <w:r>
        <w:tab/>
      </w:r>
      <w:r>
        <w:tab/>
        <w:t>{Insert_Value_1}</w:t>
      </w:r>
    </w:p>
    <w:p w14:paraId="29E09849" w14:textId="77777777" w:rsidR="00C10C13" w:rsidRDefault="00000000">
      <w:pPr>
        <w:rPr>
          <w:highlight w:val="white"/>
        </w:rPr>
      </w:pPr>
      <w:r>
        <w:t>Čas měření:</w:t>
      </w:r>
      <w:r>
        <w:tab/>
      </w:r>
      <w:r>
        <w:tab/>
        <w:t>{Insert_Value_2}</w:t>
      </w:r>
    </w:p>
    <w:p w14:paraId="283EFFD0" w14:textId="77777777" w:rsidR="00C10C13" w:rsidRDefault="00000000">
      <w:pPr>
        <w:rPr>
          <w:highlight w:val="white"/>
        </w:rPr>
      </w:pPr>
      <w:r>
        <w:t>Místo měření:</w:t>
      </w:r>
      <w:r>
        <w:tab/>
      </w:r>
      <w:r>
        <w:tab/>
        <w:t>základnová stanice společnosti CETIN a.s., identifikační zkratka: {Insert_Value_3}</w:t>
      </w:r>
    </w:p>
    <w:p w14:paraId="13E8997E" w14:textId="77777777" w:rsidR="00C10C13" w:rsidRDefault="00000000">
      <w:r>
        <w:tab/>
      </w:r>
      <w:r>
        <w:tab/>
      </w:r>
      <w:r>
        <w:tab/>
        <w:t>{Insert_Value_4}</w:t>
      </w:r>
    </w:p>
    <w:p w14:paraId="5D5542D3" w14:textId="77777777" w:rsidR="00C10C13" w:rsidRDefault="00000000">
      <w:pPr>
        <w:ind w:left="1416" w:firstLine="708"/>
      </w:pPr>
      <w:r>
        <w:t>{Insert_Value_5}</w:t>
      </w:r>
    </w:p>
    <w:p w14:paraId="2AF18081" w14:textId="77777777" w:rsidR="00C10C13" w:rsidRDefault="00000000">
      <w:r>
        <w:t>Podmínky měření:</w:t>
      </w:r>
      <w:r>
        <w:tab/>
        <w:t>{Insert_Value_6}</w:t>
      </w:r>
    </w:p>
    <w:p w14:paraId="0DDBA544" w14:textId="77777777" w:rsidR="00C10C13" w:rsidRDefault="00000000">
      <w:pPr>
        <w:rPr>
          <w:highlight w:val="white"/>
        </w:rPr>
      </w:pPr>
      <w:r>
        <w:t>Měřil:</w:t>
      </w:r>
      <w:r>
        <w:tab/>
      </w:r>
      <w:r>
        <w:tab/>
      </w:r>
      <w:r>
        <w:tab/>
        <w:t>{Insert_Value_7}</w:t>
      </w:r>
    </w:p>
    <w:p w14:paraId="3E5FD15C" w14:textId="77777777" w:rsidR="00C10C13" w:rsidRDefault="00000000">
      <w:pPr>
        <w:ind w:left="2124" w:hanging="2124"/>
      </w:pPr>
      <w:r>
        <w:t>Důvod měření:</w:t>
      </w:r>
      <w:r>
        <w:tab/>
        <w:t>kontrola hodnot neionizujícího záření podle NV č.291/2015 Sb. po rekonfiguraci základnové stanice</w:t>
      </w:r>
      <w:r>
        <w:tab/>
      </w:r>
      <w:r>
        <w:tab/>
      </w:r>
    </w:p>
    <w:p w14:paraId="7CEF7DFA" w14:textId="77777777" w:rsidR="00C10C13" w:rsidRDefault="00000000">
      <w:pPr>
        <w:rPr>
          <w:highlight w:val="green"/>
        </w:rPr>
      </w:pPr>
      <w:r>
        <w:t>Měřicí přístroj:</w:t>
      </w:r>
      <w:r>
        <w:tab/>
      </w:r>
      <w:r>
        <w:tab/>
        <w:t>Narda SRM-3006;  S/N {Insert_Value_8}</w:t>
      </w:r>
    </w:p>
    <w:p w14:paraId="0AC0CB92" w14:textId="77777777" w:rsidR="00C10C13" w:rsidRDefault="00000000">
      <w:pPr>
        <w:rPr>
          <w:highlight w:val="green"/>
        </w:rPr>
      </w:pPr>
      <w:r>
        <w:t>Anténa:</w:t>
      </w:r>
      <w:r>
        <w:tab/>
      </w:r>
      <w:r>
        <w:tab/>
      </w:r>
      <w:r>
        <w:tab/>
        <w:t>Narda Antenna Three-Axis 420 Mhz – 6 Ghz ; S/N G-{Insert_Value_9}</w:t>
      </w:r>
    </w:p>
    <w:p w14:paraId="214E5B4F" w14:textId="77777777" w:rsidR="00C10C13" w:rsidRDefault="00000000">
      <w:r>
        <w:t>Kalibrace:</w:t>
      </w:r>
      <w:r>
        <w:tab/>
      </w:r>
      <w:r>
        <w:tab/>
        <w:t>{Insert_Value_10}</w:t>
      </w:r>
    </w:p>
    <w:p w14:paraId="5611B32D" w14:textId="77777777" w:rsidR="00C10C13" w:rsidRDefault="00000000" w:rsidP="00A43C35">
      <w:pPr>
        <w:ind w:left="1416" w:hanging="1416"/>
        <w:rPr>
          <w:highlight w:val="white"/>
        </w:rPr>
      </w:pPr>
      <w:r>
        <w:t>Protokol vypracoval:</w:t>
      </w:r>
      <w:r>
        <w:tab/>
        <w:t>{Insert_Value_11}</w:t>
      </w:r>
    </w:p>
    <w:p w14:paraId="00139826" w14:textId="4B6FEDC8" w:rsidR="00C10C13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3C4F07" wp14:editId="41B09749">
                <wp:simplePos x="0" y="0"/>
                <wp:positionH relativeFrom="column">
                  <wp:posOffset>1653540</wp:posOffset>
                </wp:positionH>
                <wp:positionV relativeFrom="paragraph">
                  <wp:posOffset>276860</wp:posOffset>
                </wp:positionV>
                <wp:extent cx="1996440" cy="1029523"/>
                <wp:effectExtent l="0" t="0" r="3810" b="0"/>
                <wp:wrapNone/>
                <wp:docPr id="3" name="Obráze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1996440" cy="1029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0pt;mso-wrap-distance-top:0.0pt;mso-wrap-distance-right:9.0pt;mso-wrap-distance-bottom:0.0pt;z-index:-251658240;o:allowoverlap:true;o:allowincell:true;mso-position-horizontal-relative:text;margin-left:130.2pt;mso-position-horizontal:absolute;mso-position-vertical-relative:text;margin-top:21.8pt;mso-position-vertical:absolute;width:157.2pt;height:81.1pt;" stroked="false">
                <v:path textboxrect="0,0,0,0"/>
                <v:imagedata r:id="rId12" o:title=""/>
              </v:shape>
            </w:pict>
          </mc:Fallback>
        </mc:AlternateContent>
      </w:r>
      <w:r>
        <w:t>Vypracováno dne:</w:t>
      </w:r>
      <w:r>
        <w:tab/>
      </w:r>
      <w:r>
        <w:fldChar w:fldCharType="begin"/>
      </w:r>
      <w:r>
        <w:instrText xml:space="preserve"> TIME \@ "d.M.yyyy" </w:instrText>
      </w:r>
      <w:r>
        <w:fldChar w:fldCharType="separate"/>
      </w:r>
      <w:r w:rsidR="00A608D2">
        <w:rPr>
          <w:noProof/>
        </w:rPr>
        <w:t>20.4.2023</w:t>
      </w:r>
      <w:r>
        <w:fldChar w:fldCharType="end"/>
      </w:r>
    </w:p>
    <w:p w14:paraId="0AC09245" w14:textId="77777777" w:rsidR="00C10C13" w:rsidRDefault="00000000">
      <w:pPr>
        <w:rPr>
          <w:highlight w:val="yellow"/>
        </w:rPr>
      </w:pPr>
      <w:r>
        <w:t>Počet stran:</w:t>
      </w:r>
      <w:r>
        <w:tab/>
      </w:r>
      <w:r>
        <w:tab/>
      </w:r>
      <w:r>
        <w:rPr>
          <w:highlight w:val="yellow"/>
        </w:rPr>
        <w:t>11</w:t>
      </w:r>
    </w:p>
    <w:p w14:paraId="18B817D8" w14:textId="77777777" w:rsidR="00C10C13" w:rsidRDefault="00000000">
      <w:pPr>
        <w:tabs>
          <w:tab w:val="left" w:pos="708"/>
          <w:tab w:val="left" w:pos="1416"/>
          <w:tab w:val="left" w:pos="2124"/>
          <w:tab w:val="center" w:pos="5174"/>
        </w:tabs>
      </w:pPr>
      <w:r>
        <w:t>Podpis zpracovatele:</w:t>
      </w:r>
      <w:r>
        <w:tab/>
      </w:r>
      <w:r>
        <w:tab/>
      </w:r>
    </w:p>
    <w:p w14:paraId="69777222" w14:textId="77777777" w:rsidR="00C10C13" w:rsidRDefault="00000000">
      <w:pPr>
        <w:tabs>
          <w:tab w:val="left" w:pos="4454"/>
        </w:tabs>
      </w:pPr>
      <w:r>
        <w:tab/>
      </w:r>
    </w:p>
    <w:p w14:paraId="266260A2" w14:textId="77777777" w:rsidR="00C10C13" w:rsidRDefault="00C10C13"/>
    <w:p w14:paraId="2721E5CB" w14:textId="77777777" w:rsidR="00C10C13" w:rsidRDefault="00C10C13"/>
    <w:p w14:paraId="5A796666" w14:textId="77777777" w:rsidR="00C10C13" w:rsidRDefault="00C10C13"/>
    <w:p w14:paraId="7E5A4618" w14:textId="77777777" w:rsidR="00C10C13" w:rsidRDefault="00000000">
      <w:pPr>
        <w:rPr>
          <w:b/>
          <w:sz w:val="24"/>
        </w:rPr>
      </w:pPr>
      <w:r>
        <w:rPr>
          <w:b/>
          <w:sz w:val="24"/>
        </w:rPr>
        <w:t>ODBORNÉ STANOVISKO – ZÁVĚR PROTOKOLU</w:t>
      </w:r>
    </w:p>
    <w:p w14:paraId="68400E43" w14:textId="0A3FF0EC" w:rsidR="00C10C13" w:rsidRDefault="00000000">
      <w:r>
        <w:rPr>
          <w:b/>
        </w:rPr>
        <w:t xml:space="preserve">Ve všech měřených místech jsou prokazatelně dodrženy požadavky pro referenční hodnoty (limity) intenzity elektrického pole a hustoty zářivého toku pro fyzické osoby v komunálním prostředí dle Nařízení vlády </w:t>
      </w:r>
      <w:r>
        <w:rPr>
          <w:b/>
        </w:rPr>
        <w:br/>
        <w:t xml:space="preserve">č. 291/2015 Sb. Měření byla provedena </w:t>
      </w:r>
      <w:r w:rsidR="009E2223" w:rsidRPr="009E2223">
        <w:rPr>
          <w:b/>
          <w:highlight w:val="yellow"/>
        </w:rPr>
        <w:t>{Insert_Value_1</w:t>
      </w:r>
      <w:r w:rsidR="009E2223">
        <w:rPr>
          <w:b/>
          <w:highlight w:val="yellow"/>
        </w:rPr>
        <w:t>2</w:t>
      </w:r>
      <w:r w:rsidR="009E2223" w:rsidRPr="009E2223">
        <w:rPr>
          <w:b/>
          <w:highlight w:val="yellow"/>
        </w:rPr>
        <w:t>}</w:t>
      </w:r>
      <w:r w:rsidRPr="009E2223">
        <w:rPr>
          <w:b/>
          <w:highlight w:val="yellow"/>
        </w:rPr>
        <w:t>.</w:t>
      </w:r>
      <w:r>
        <w:rPr>
          <w:b/>
        </w:rPr>
        <w:t xml:space="preserve">  </w:t>
      </w:r>
    </w:p>
    <w:p w14:paraId="7C7010CE" w14:textId="77777777" w:rsidR="00C10C13" w:rsidRDefault="00C10C13">
      <w:pPr>
        <w:rPr>
          <w:b/>
        </w:rPr>
      </w:pPr>
    </w:p>
    <w:p w14:paraId="7241A153" w14:textId="77777777" w:rsidR="00C10C13" w:rsidRDefault="00000000">
      <w:pPr>
        <w:rPr>
          <w:rFonts w:eastAsiaTheme="minorEastAsia"/>
        </w:rPr>
      </w:pPr>
      <w:r>
        <w:rPr>
          <w:rFonts w:eastAsiaTheme="minorEastAsia"/>
        </w:rPr>
        <w:t>Výsledky měření se vztahují pouze k měřeným místům a době měření.</w:t>
      </w:r>
    </w:p>
    <w:p w14:paraId="5AD6DBF8" w14:textId="77777777" w:rsidR="00C10C13" w:rsidRDefault="00000000">
      <w:pPr>
        <w:rPr>
          <w:rFonts w:eastAsiaTheme="minorEastAsia"/>
        </w:rPr>
      </w:pPr>
      <w:r>
        <w:rPr>
          <w:rFonts w:eastAsiaTheme="minorEastAsia"/>
        </w:rPr>
        <w:t>Podrobnosti jsou uvedeny v dalších částech měřícího protokolu.</w:t>
      </w:r>
    </w:p>
    <w:p w14:paraId="7FC1ABCE" w14:textId="77777777" w:rsidR="00C10C13" w:rsidRDefault="00000000">
      <w:pPr>
        <w:rPr>
          <w:rFonts w:eastAsiaTheme="minorEastAsia"/>
        </w:rPr>
      </w:pPr>
      <w:r>
        <w:rPr>
          <w:rFonts w:eastAsiaTheme="minorEastAsia"/>
        </w:rPr>
        <w:br w:type="page" w:clear="all"/>
      </w:r>
    </w:p>
    <w:p w14:paraId="43E9018F" w14:textId="77777777" w:rsidR="00C10C13" w:rsidRDefault="00C10C13">
      <w:pPr>
        <w:rPr>
          <w:rFonts w:eastAsiaTheme="minorEastAsia"/>
        </w:rPr>
      </w:pPr>
    </w:p>
    <w:p w14:paraId="5CEDB160" w14:textId="77777777" w:rsidR="00C10C13" w:rsidRDefault="00000000">
      <w:pPr>
        <w:pStyle w:val="Odstavecseseznamem"/>
        <w:numPr>
          <w:ilvl w:val="0"/>
          <w:numId w:val="2"/>
        </w:numPr>
        <w:rPr>
          <w:rFonts w:eastAsiaTheme="minorEastAsia"/>
          <w:b/>
        </w:rPr>
      </w:pPr>
      <w:r>
        <w:rPr>
          <w:rFonts w:eastAsiaTheme="minorEastAsia"/>
          <w:b/>
        </w:rPr>
        <w:t>POPIS MĚŘENÉHO PROSTORU</w:t>
      </w:r>
    </w:p>
    <w:p w14:paraId="25BA9554" w14:textId="2A6A92D3" w:rsidR="00C10C13" w:rsidRDefault="00000000">
      <w:r>
        <w:rPr>
          <w:rFonts w:eastAsiaTheme="minorEastAsia"/>
        </w:rPr>
        <w:t xml:space="preserve">Měření proběhlo na základnové stanici </w:t>
      </w:r>
      <w:r w:rsidR="00D012E7" w:rsidRPr="00D012E7">
        <w:rPr>
          <w:rFonts w:eastAsiaTheme="minorEastAsia"/>
        </w:rPr>
        <w:t>{Insert_Value_1</w:t>
      </w:r>
      <w:r w:rsidR="00425B93">
        <w:rPr>
          <w:rFonts w:eastAsiaTheme="minorEastAsia"/>
        </w:rPr>
        <w:t>3</w:t>
      </w:r>
      <w:r w:rsidR="00D012E7" w:rsidRPr="00D012E7">
        <w:rPr>
          <w:rFonts w:eastAsiaTheme="minorEastAsia"/>
        </w:rPr>
        <w:t>}</w:t>
      </w:r>
      <w:r>
        <w:rPr>
          <w:rFonts w:eastAsiaTheme="minorEastAsia"/>
        </w:rPr>
        <w:t xml:space="preserve"> veřejné radiotelefonní sítě provozované společnosti CETIN a.s. (dále CETIN</w:t>
      </w:r>
      <w:r w:rsidRPr="009E2223">
        <w:rPr>
          <w:rFonts w:eastAsiaTheme="minorEastAsia"/>
          <w:highlight w:val="yellow"/>
        </w:rPr>
        <w:t xml:space="preserve">) </w:t>
      </w:r>
      <w:r w:rsidR="009E2223" w:rsidRPr="009E2223">
        <w:rPr>
          <w:highlight w:val="yellow"/>
        </w:rPr>
        <w:t>{Insert_Value_1</w:t>
      </w:r>
      <w:r w:rsidR="00A528BE">
        <w:rPr>
          <w:highlight w:val="yellow"/>
        </w:rPr>
        <w:t>4</w:t>
      </w:r>
      <w:r w:rsidR="009E2223" w:rsidRPr="009E2223">
        <w:rPr>
          <w:highlight w:val="yellow"/>
        </w:rPr>
        <w:t>}</w:t>
      </w:r>
      <w:r w:rsidRPr="009E2223">
        <w:rPr>
          <w:rFonts w:eastAsiaTheme="minorEastAsia"/>
          <w:highlight w:val="yellow"/>
        </w:rPr>
        <w:t xml:space="preserve"> </w:t>
      </w:r>
      <w:r>
        <w:rPr>
          <w:rFonts w:eastAsiaTheme="minorEastAsia"/>
          <w:highlight w:val="yellow"/>
        </w:rPr>
        <w:t>bytového domu na ulici</w:t>
      </w:r>
      <w:r w:rsidR="00A528BE">
        <w:rPr>
          <w:rFonts w:eastAsiaTheme="minorEastAsia"/>
        </w:rPr>
        <w:t xml:space="preserve"> </w:t>
      </w:r>
      <w:r w:rsidR="00D012E7" w:rsidRPr="00D012E7">
        <w:rPr>
          <w:rFonts w:eastAsiaTheme="minorEastAsia"/>
        </w:rPr>
        <w:t>{Insert_Value_1</w:t>
      </w:r>
      <w:r w:rsidR="00A528BE">
        <w:rPr>
          <w:rFonts w:eastAsiaTheme="minorEastAsia"/>
        </w:rPr>
        <w:t>5</w:t>
      </w:r>
      <w:r w:rsidR="00D012E7" w:rsidRPr="00D012E7">
        <w:rPr>
          <w:rFonts w:eastAsiaTheme="minorEastAsia"/>
        </w:rPr>
        <w:t>}</w:t>
      </w:r>
      <w:r>
        <w:rPr>
          <w:highlight w:val="yellow"/>
        </w:rPr>
        <w:t>.</w:t>
      </w:r>
    </w:p>
    <w:p w14:paraId="01FF8F1C" w14:textId="77777777" w:rsidR="00C10C13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EA899E5" wp14:editId="1524BFE2">
                <wp:extent cx="5180952" cy="4942857"/>
                <wp:effectExtent l="0" t="0" r="1270" b="0"/>
                <wp:docPr id="4" name="Obrázek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180952" cy="4942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07.9pt;height:389.2pt;" stroked="false">
                <v:path textboxrect="0,0,0,0"/>
                <v:imagedata r:id="rId14" o:title=""/>
              </v:shape>
            </w:pict>
          </mc:Fallback>
        </mc:AlternateContent>
      </w:r>
    </w:p>
    <w:p w14:paraId="4421E59C" w14:textId="77777777" w:rsidR="00C10C13" w:rsidRDefault="00000000">
      <w:pPr>
        <w:jc w:val="center"/>
        <w:rPr>
          <w:i/>
          <w:iCs/>
          <w:color w:val="44546A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Obrázek 1 – celkový pohled</w:t>
      </w:r>
    </w:p>
    <w:p w14:paraId="6372739B" w14:textId="5C64DF7A" w:rsidR="00C10C13" w:rsidRDefault="00000000">
      <w:r>
        <w:t>{</w:t>
      </w:r>
      <w:r>
        <w:rPr>
          <w:highlight w:val="white"/>
        </w:rPr>
        <w:t>Insert_Value_1</w:t>
      </w:r>
      <w:r w:rsidR="00A528BE">
        <w:t>6</w:t>
      </w:r>
      <w:r>
        <w:t>}</w:t>
      </w:r>
    </w:p>
    <w:p w14:paraId="38C9DB4C" w14:textId="77777777" w:rsidR="00C10C13" w:rsidRDefault="00000000">
      <w:pPr>
        <w:rPr>
          <w:rFonts w:eastAsiaTheme="minorEastAsia"/>
        </w:rPr>
      </w:pPr>
      <w:r>
        <w:rPr>
          <w:rFonts w:eastAsiaTheme="minorEastAsia"/>
        </w:rPr>
        <w:t>Frekvenční pásma jsou operátorům přidělena licenčními tituly Českým telekomunikačním úřadem.</w:t>
      </w:r>
    </w:p>
    <w:p w14:paraId="32EED238" w14:textId="77777777" w:rsidR="00C10C13" w:rsidRDefault="00000000">
      <w:pPr>
        <w:rPr>
          <w:rFonts w:eastAsiaTheme="minorEastAsia"/>
        </w:rPr>
      </w:pPr>
      <w:r>
        <w:rPr>
          <w:rFonts w:eastAsiaTheme="minorEastAsia"/>
        </w:rPr>
        <w:br w:type="page" w:clear="all"/>
      </w:r>
    </w:p>
    <w:p w14:paraId="0F037F7F" w14:textId="77777777" w:rsidR="00C10C13" w:rsidRDefault="00C10C13">
      <w:pPr>
        <w:rPr>
          <w:rFonts w:eastAsiaTheme="minorEastAsia"/>
        </w:rPr>
      </w:pPr>
    </w:p>
    <w:p w14:paraId="143ED3C0" w14:textId="77777777" w:rsidR="00C10C13" w:rsidRDefault="00000000">
      <w:pPr>
        <w:pStyle w:val="Odstavecseseznamem"/>
        <w:numPr>
          <w:ilvl w:val="0"/>
          <w:numId w:val="2"/>
        </w:numPr>
        <w:rPr>
          <w:rFonts w:eastAsiaTheme="minorEastAsia"/>
          <w:b/>
        </w:rPr>
      </w:pPr>
      <w:r>
        <w:rPr>
          <w:rFonts w:eastAsiaTheme="minorEastAsia"/>
          <w:b/>
        </w:rPr>
        <w:t>POPIS ZDROJE SIGNÁLU MĚŘENÉHO FAKTORU</w:t>
      </w:r>
    </w:p>
    <w:p w14:paraId="494E3176" w14:textId="5D2DAEEE" w:rsidR="00C10C13" w:rsidRDefault="00000000">
      <w:r>
        <w:rPr>
          <w:rFonts w:eastAsiaTheme="minorEastAsia"/>
        </w:rPr>
        <w:t xml:space="preserve">Anténní systém základnové stanice je konfigurován dle tab. č.1. a obr. 2.  </w:t>
      </w:r>
      <w:r>
        <w:rPr>
          <w:rFonts w:eastAsiaTheme="minorEastAsia"/>
          <w:highlight w:val="yellow"/>
        </w:rPr>
        <w:t>Po dobu měření byl nakonfigurován vysílací výkon systémů provozovaných společností CETIN na 100</w:t>
      </w:r>
      <w:r>
        <w:rPr>
          <w:rFonts w:eastAsiaTheme="minorEastAsia"/>
          <w:highlight w:val="yellow"/>
          <w:lang w:val="en-US"/>
        </w:rPr>
        <w:t>%</w:t>
      </w:r>
      <w:r>
        <w:rPr>
          <w:rFonts w:eastAsiaTheme="minorEastAsia"/>
          <w:highlight w:val="yellow"/>
        </w:rPr>
        <w:t xml:space="preserve"> maximálních hodnot. </w:t>
      </w:r>
    </w:p>
    <w:p w14:paraId="57CC44FF" w14:textId="77777777" w:rsidR="00C10C13" w:rsidRDefault="00000000">
      <w:pPr>
        <w:jc w:val="center"/>
        <w:rPr>
          <w:i/>
          <w:iCs/>
          <w:color w:val="44546A"/>
          <w:sz w:val="18"/>
          <w:szCs w:val="18"/>
        </w:rPr>
      </w:pPr>
      <w:r>
        <w:rPr>
          <w:noProof/>
        </w:rPr>
        <mc:AlternateContent>
          <mc:Choice Requires="wpg">
            <w:drawing>
              <wp:inline distT="0" distB="0" distL="0" distR="0" wp14:anchorId="3DE204D6" wp14:editId="22E06760">
                <wp:extent cx="6029325" cy="3947495"/>
                <wp:effectExtent l="0" t="0" r="0" b="0"/>
                <wp:docPr id="5" name="Obrázek 32" descr="Obsah obrázku stůl&#10;&#10;Popis byl vytvořen automatick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Obrázek 32" descr="Obsah obrázku stůl&#10;&#10;Popis byl vytvořen automaticky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037572" cy="3952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74.8pt;height:310.8pt;" stroked="false">
                <v:path textboxrect="0,0,0,0"/>
                <v:imagedata r:id="rId16" o:title=""/>
              </v:shape>
            </w:pict>
          </mc:Fallback>
        </mc:AlternateContent>
      </w:r>
    </w:p>
    <w:p w14:paraId="527FCF44" w14:textId="77777777" w:rsidR="00C10C13" w:rsidRDefault="00000000">
      <w:pPr>
        <w:jc w:val="center"/>
        <w:rPr>
          <w:i/>
          <w:iCs/>
          <w:color w:val="44546A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Tabulka 1 – konfigurace anténního systému</w:t>
      </w:r>
    </w:p>
    <w:p w14:paraId="0C3F3B5F" w14:textId="77777777" w:rsidR="00C10C13" w:rsidRDefault="00000000">
      <w:pPr>
        <w:rPr>
          <w:highlight w:val="green"/>
        </w:rPr>
      </w:pPr>
      <w:r>
        <w:rPr>
          <w:rFonts w:eastAsiaTheme="minorEastAsia"/>
          <w:highlight w:val="green"/>
        </w:rPr>
        <w:t xml:space="preserve">Tabulku optimálně zkopírovat z projektové dokumentace. Většinou jde o tabulku antén „budoucího stavu“ po rekonfiguraci. Kopíruj pokud možno jen data týkající se antén. Nejsou důležité např. délky kabelových tras, typy kabelů, typy rádií apod. </w:t>
      </w:r>
    </w:p>
    <w:p w14:paraId="70D572EA" w14:textId="77777777" w:rsidR="00C10C13" w:rsidRDefault="00000000">
      <w:pPr>
        <w:rPr>
          <w:i/>
          <w:iCs/>
          <w:color w:val="44546A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 w:clear="all"/>
      </w:r>
    </w:p>
    <w:p w14:paraId="47A67F2E" w14:textId="77777777" w:rsidR="00C10C13" w:rsidRDefault="00C10C13">
      <w:pPr>
        <w:jc w:val="center"/>
        <w:rPr>
          <w:i/>
          <w:iCs/>
          <w:color w:val="44546A"/>
          <w:sz w:val="18"/>
          <w:szCs w:val="18"/>
        </w:rPr>
      </w:pPr>
    </w:p>
    <w:p w14:paraId="5969F16F" w14:textId="77777777" w:rsidR="00C10C13" w:rsidRDefault="00C10C13">
      <w:pPr>
        <w:jc w:val="center"/>
      </w:pPr>
    </w:p>
    <w:p w14:paraId="5060147A" w14:textId="77777777" w:rsidR="00C10C13" w:rsidRDefault="00000000">
      <w:pPr>
        <w:jc w:val="center"/>
        <w:rPr>
          <w:i/>
          <w:iCs/>
          <w:color w:val="44546A"/>
          <w:sz w:val="18"/>
          <w:szCs w:val="18"/>
        </w:rPr>
      </w:pPr>
      <w:r>
        <w:rPr>
          <w:noProof/>
        </w:rPr>
        <mc:AlternateContent>
          <mc:Choice Requires="wpg">
            <w:drawing>
              <wp:inline distT="0" distB="0" distL="0" distR="0" wp14:anchorId="15EA9B5B" wp14:editId="64569E7D">
                <wp:extent cx="6523355" cy="2887345"/>
                <wp:effectExtent l="0" t="0" r="0" b="8255"/>
                <wp:docPr id="6" name="Obrázek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rcRect l="725" t="2257"/>
                        <a:stretch/>
                      </pic:blipFill>
                      <pic:spPr bwMode="auto">
                        <a:xfrm>
                          <a:off x="0" y="0"/>
                          <a:ext cx="6523355" cy="28873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513.6pt;height:227.3pt;" stroked="f">
                <v:path textboxrect="0,0,0,0"/>
                <v:imagedata r:id="rId18" o:title=""/>
              </v:shape>
            </w:pict>
          </mc:Fallback>
        </mc:AlternateContent>
      </w:r>
    </w:p>
    <w:p w14:paraId="10FE6E68" w14:textId="77777777" w:rsidR="00C10C13" w:rsidRDefault="00000000">
      <w:pPr>
        <w:jc w:val="center"/>
        <w:rPr>
          <w:i/>
          <w:iCs/>
          <w:color w:val="44546A"/>
          <w:sz w:val="18"/>
          <w:szCs w:val="18"/>
        </w:rPr>
      </w:pPr>
      <w:r>
        <w:rPr>
          <w:noProof/>
        </w:rPr>
        <mc:AlternateContent>
          <mc:Choice Requires="wpg">
            <w:drawing>
              <wp:inline distT="0" distB="0" distL="0" distR="0" wp14:anchorId="6A0B1699" wp14:editId="466EC8B8">
                <wp:extent cx="6570980" cy="3082290"/>
                <wp:effectExtent l="0" t="0" r="1270" b="3810"/>
                <wp:docPr id="7" name="Obrázek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570980" cy="3082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517.4pt;height:242.7pt;" stroked="false">
                <v:path textboxrect="0,0,0,0"/>
                <v:imagedata r:id="rId20" o:title=""/>
              </v:shape>
            </w:pict>
          </mc:Fallback>
        </mc:AlternateContent>
      </w:r>
    </w:p>
    <w:p w14:paraId="0BDE3658" w14:textId="77777777" w:rsidR="00C10C13" w:rsidRDefault="00C10C13">
      <w:pPr>
        <w:jc w:val="center"/>
        <w:rPr>
          <w:i/>
          <w:iCs/>
          <w:color w:val="44546A"/>
          <w:sz w:val="18"/>
          <w:szCs w:val="18"/>
        </w:rPr>
      </w:pPr>
    </w:p>
    <w:p w14:paraId="66D78809" w14:textId="77777777" w:rsidR="00C10C13" w:rsidRDefault="00000000">
      <w:pPr>
        <w:jc w:val="center"/>
        <w:rPr>
          <w:i/>
          <w:iCs/>
          <w:color w:val="44546A"/>
          <w:sz w:val="18"/>
          <w:szCs w:val="18"/>
        </w:rPr>
      </w:pPr>
      <w:r>
        <w:t xml:space="preserve"> </w:t>
      </w:r>
      <w:bookmarkStart w:id="0" w:name="_Hlk48546788"/>
      <w:r>
        <w:rPr>
          <w:i/>
          <w:iCs/>
          <w:color w:val="44546A" w:themeColor="text2"/>
          <w:sz w:val="18"/>
          <w:szCs w:val="18"/>
        </w:rPr>
        <w:t xml:space="preserve">Obrázek 2 – konfigurace anténního systému </w:t>
      </w:r>
      <w:bookmarkEnd w:id="0"/>
      <w:r>
        <w:rPr>
          <w:i/>
          <w:iCs/>
          <w:color w:val="44546A" w:themeColor="text2"/>
          <w:sz w:val="18"/>
          <w:szCs w:val="18"/>
        </w:rPr>
        <w:t>– výřez projektové dokumentace půdorys + pohled</w:t>
      </w:r>
    </w:p>
    <w:p w14:paraId="758AB8B4" w14:textId="77777777" w:rsidR="00C10C13" w:rsidRDefault="00000000">
      <w:pPr>
        <w:rPr>
          <w:i/>
          <w:iCs/>
          <w:color w:val="44546A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 w:clear="all"/>
      </w:r>
    </w:p>
    <w:p w14:paraId="65DCBFC2" w14:textId="77777777" w:rsidR="00C10C13" w:rsidRDefault="00000000">
      <w:r>
        <w:rPr>
          <w:rFonts w:eastAsiaTheme="minorEastAsia"/>
          <w:highlight w:val="green"/>
        </w:rPr>
        <w:lastRenderedPageBreak/>
        <w:t>Obrázky optimálně zkopírovat z projektové dokumentace. Budoucí stav po rekonfiguraci. Není potřeba kopírovat celé stránky včetně razítka výkresů, protože dokumentace se kompletně posílá na KHS společně s protokolem. Stačí udělat výřez na kterém budou viditelné antény</w:t>
      </w:r>
      <w:r>
        <w:rPr>
          <w:rFonts w:eastAsiaTheme="minorEastAsia"/>
        </w:rPr>
        <w:t xml:space="preserve"> </w:t>
      </w:r>
    </w:p>
    <w:p w14:paraId="60B564BE" w14:textId="77777777" w:rsidR="00C10C13" w:rsidRDefault="00000000">
      <w:pPr>
        <w:pStyle w:val="Odstavecseseznamem"/>
        <w:numPr>
          <w:ilvl w:val="0"/>
          <w:numId w:val="2"/>
        </w:numPr>
        <w:rPr>
          <w:rFonts w:eastAsiaTheme="minorEastAsia"/>
          <w:b/>
        </w:rPr>
      </w:pPr>
      <w:r>
        <w:rPr>
          <w:rFonts w:eastAsiaTheme="minorEastAsia"/>
          <w:b/>
        </w:rPr>
        <w:t>SPECIFIKACE MĚŘÍCÍCH MÍST</w:t>
      </w:r>
    </w:p>
    <w:p w14:paraId="29E6C31D" w14:textId="7A9A782C" w:rsidR="00C10C13" w:rsidRDefault="00000000">
      <w:pPr>
        <w:rPr>
          <w:rFonts w:eastAsiaTheme="minorEastAsia"/>
        </w:rPr>
      </w:pPr>
      <w:r>
        <w:rPr>
          <w:rFonts w:eastAsiaTheme="minorEastAsia"/>
        </w:rPr>
        <w:t xml:space="preserve">Měřící místa byla zvolená </w:t>
      </w:r>
      <w:r w:rsidR="009E2223" w:rsidRPr="009E2223">
        <w:rPr>
          <w:highlight w:val="yellow"/>
        </w:rPr>
        <w:t>{Insert_Value_1</w:t>
      </w:r>
      <w:r w:rsidR="00A528BE">
        <w:rPr>
          <w:highlight w:val="yellow"/>
        </w:rPr>
        <w:t>7</w:t>
      </w:r>
      <w:r w:rsidR="009E2223" w:rsidRPr="009E2223">
        <w:rPr>
          <w:highlight w:val="yellow"/>
        </w:rPr>
        <w:t>}</w:t>
      </w:r>
      <w:r w:rsidR="00425B93">
        <w:rPr>
          <w:highlight w:val="yellow"/>
        </w:rPr>
        <w:t xml:space="preserve"> </w:t>
      </w:r>
      <w:r w:rsidRPr="009E2223">
        <w:rPr>
          <w:rFonts w:eastAsiaTheme="minorEastAsia"/>
          <w:highlight w:val="yellow"/>
        </w:rPr>
        <w:t>budovy.</w:t>
      </w:r>
    </w:p>
    <w:p w14:paraId="14D7ED34" w14:textId="77777777" w:rsidR="00C10C13" w:rsidRDefault="00000000">
      <w:pPr>
        <w:rPr>
          <w:rFonts w:eastAsiaTheme="minorEastAsia"/>
        </w:rPr>
      </w:pPr>
      <w:r>
        <w:rPr>
          <w:rFonts w:eastAsiaTheme="minorEastAsia"/>
        </w:rPr>
        <w:t xml:space="preserve">Měřící místa byla definována na základě projektové dokumentace s ohledem na směrování antén a vytipování možných rizikových míst s teoretickou nejvyšší hodnotou hustoty elektromagnetického pole a tedy zdrojem neionizujícího záření. </w:t>
      </w:r>
    </w:p>
    <w:p w14:paraId="3AB3AA2D" w14:textId="77777777" w:rsidR="00C10C13" w:rsidRDefault="00000000">
      <w:pPr>
        <w:rPr>
          <w:rFonts w:eastAsiaTheme="minorEastAsia"/>
        </w:rPr>
      </w:pPr>
      <w:r>
        <w:rPr>
          <w:rFonts w:eastAsiaTheme="minorEastAsia"/>
        </w:rPr>
        <w:t>Měřící místa jsou zakreslena v</w:t>
      </w:r>
      <w:r>
        <w:rPr>
          <w:rFonts w:eastAsiaTheme="minorEastAsia"/>
          <w:highlight w:val="yellow"/>
        </w:rPr>
        <w:t xml:space="preserve"> obr.3 a popsána v tab.2 </w:t>
      </w:r>
      <w:r>
        <w:rPr>
          <w:rFonts w:eastAsiaTheme="minorEastAsia"/>
        </w:rPr>
        <w:t xml:space="preserve"> </w:t>
      </w:r>
      <w:r>
        <w:rPr>
          <w:rFonts w:eastAsiaTheme="minorEastAsia"/>
          <w:highlight w:val="green"/>
        </w:rPr>
        <w:t>Pozor ať sedí číslování</w:t>
      </w:r>
    </w:p>
    <w:p w14:paraId="1994425D" w14:textId="77777777" w:rsidR="00C10C13" w:rsidRDefault="00C10C13">
      <w:pPr>
        <w:pStyle w:val="Titulek"/>
      </w:pPr>
    </w:p>
    <w:p w14:paraId="67C29E3C" w14:textId="77777777" w:rsidR="00C10C13" w:rsidRDefault="00000000">
      <w:r>
        <w:t>{%image}</w:t>
      </w:r>
    </w:p>
    <w:p w14:paraId="303D4355" w14:textId="77777777" w:rsidR="00C10C13" w:rsidRDefault="00000000">
      <w:pPr>
        <w:pStyle w:val="Titulek"/>
      </w:pPr>
      <w:bookmarkStart w:id="1" w:name="_Hlk24030901"/>
      <w:r>
        <w:t>Obrázek 3 – specifikace měřících míst</w:t>
      </w:r>
      <w:bookmarkEnd w:id="1"/>
    </w:p>
    <w:p w14:paraId="394CDE0F" w14:textId="77777777" w:rsidR="00C10C13" w:rsidRDefault="00C10C13"/>
    <w:p w14:paraId="54EFB88B" w14:textId="77777777" w:rsidR="00C10C13" w:rsidRDefault="00000000">
      <w:r>
        <w:rPr>
          <w:noProof/>
        </w:rPr>
        <mc:AlternateContent>
          <mc:Choice Requires="wpg">
            <w:drawing>
              <wp:inline distT="0" distB="0" distL="0" distR="0" wp14:anchorId="23170C38" wp14:editId="463C7DDC">
                <wp:extent cx="6570980" cy="1178560"/>
                <wp:effectExtent l="0" t="0" r="1270" b="2540"/>
                <wp:docPr id="8" name="Obrázek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570980" cy="117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517.4pt;height:92.8pt;" stroked="f">
                <v:path textboxrect="0,0,0,0"/>
                <v:imagedata r:id="rId22" o:title=""/>
              </v:shape>
            </w:pict>
          </mc:Fallback>
        </mc:AlternateContent>
      </w:r>
    </w:p>
    <w:p w14:paraId="0B879733" w14:textId="77777777" w:rsidR="00C10C13" w:rsidRDefault="00000000">
      <w:pPr>
        <w:pStyle w:val="Titulek"/>
      </w:pPr>
      <w:r>
        <w:t xml:space="preserve">Tabulka 2 – specifikace měřících míst    </w:t>
      </w:r>
    </w:p>
    <w:p w14:paraId="6BC025D0" w14:textId="77777777" w:rsidR="00C10C13" w:rsidRDefault="00000000">
      <w:r>
        <w:rPr>
          <w:rFonts w:eastAsiaTheme="minorEastAsia"/>
          <w:highlight w:val="green"/>
        </w:rPr>
        <w:t>Tabulku vyrobíš v excelu s daty z měření. Podklady dodáme. Doporučuji kopírovat označením buněk CTRL+C a vložit jako obrázek.</w:t>
      </w:r>
    </w:p>
    <w:p w14:paraId="457795CC" w14:textId="77777777" w:rsidR="00C10C13" w:rsidRPr="00A608D2" w:rsidRDefault="00000000">
      <w:r>
        <w:rPr>
          <w:rFonts w:eastAsiaTheme="minorEastAsia"/>
          <w:highlight w:val="green"/>
        </w:rPr>
        <w:t xml:space="preserve">Fotky aktualizovat a správně popsat čísla dle předchozí tabulky. Pokud měřák není na fotce moc viditelný, tak ho </w:t>
      </w:r>
      <w:r w:rsidRPr="00A608D2">
        <w:rPr>
          <w:rFonts w:eastAsiaTheme="minorEastAsia"/>
        </w:rPr>
        <w:t>označit kroužkem.</w:t>
      </w:r>
    </w:p>
    <w:p w14:paraId="17BA890E" w14:textId="2768DAA3" w:rsidR="00C10C13" w:rsidRDefault="00A608D2" w:rsidP="001F34B3">
      <w:pPr>
        <w:pStyle w:val="Titulek"/>
      </w:pPr>
      <w:r w:rsidRPr="00A608D2">
        <w:t>{Insert_Value_1</w:t>
      </w:r>
      <w:r w:rsidRPr="00A608D2">
        <w:t>8}</w:t>
      </w:r>
    </w:p>
    <w:p w14:paraId="517B3BDA" w14:textId="77777777" w:rsidR="00C10C13" w:rsidRDefault="00C10C13" w:rsidP="00A608D2"/>
    <w:p w14:paraId="7FB40138" w14:textId="77777777" w:rsidR="00C10C13" w:rsidRDefault="00C10C13">
      <w:pPr>
        <w:rPr>
          <w:i/>
          <w:iCs/>
          <w:color w:val="44546A"/>
          <w:sz w:val="18"/>
          <w:szCs w:val="18"/>
        </w:rPr>
      </w:pPr>
    </w:p>
    <w:p w14:paraId="379FB82E" w14:textId="77777777" w:rsidR="00C10C13" w:rsidRDefault="00000000">
      <w:pPr>
        <w:pStyle w:val="Odstavecseseznamem"/>
        <w:numPr>
          <w:ilvl w:val="0"/>
          <w:numId w:val="2"/>
        </w:numPr>
        <w:rPr>
          <w:rFonts w:eastAsiaTheme="minorEastAsia"/>
          <w:b/>
        </w:rPr>
      </w:pPr>
      <w:r>
        <w:rPr>
          <w:rFonts w:eastAsiaTheme="minorEastAsia"/>
          <w:b/>
        </w:rPr>
        <w:t>POUŽITÉ JEDNOTKY A VELIČINY</w:t>
      </w:r>
    </w:p>
    <w:p w14:paraId="056999DA" w14:textId="77777777" w:rsidR="00C10C13" w:rsidRDefault="00C10C13">
      <w:pPr>
        <w:pStyle w:val="Odstavecseseznamem"/>
        <w:rPr>
          <w:rFonts w:eastAsiaTheme="minorEastAsia"/>
          <w:b/>
        </w:rPr>
      </w:pPr>
    </w:p>
    <w:p w14:paraId="3F3FEB34" w14:textId="77777777" w:rsidR="00C10C13" w:rsidRDefault="00000000">
      <w:pPr>
        <w:pStyle w:val="Odstavecseseznamem"/>
        <w:rPr>
          <w:rFonts w:eastAsiaTheme="minorEastAsia"/>
          <w:lang w:val="en-US"/>
        </w:rPr>
      </w:pPr>
      <w:r>
        <w:rPr>
          <w:rFonts w:eastAsiaTheme="minorEastAsia"/>
        </w:rPr>
        <w:t>t</w:t>
      </w:r>
      <w:r>
        <w:rPr>
          <w:rFonts w:eastAsiaTheme="minorEastAsia"/>
        </w:rPr>
        <w:tab/>
        <w:t xml:space="preserve">čas </w:t>
      </w:r>
      <w:r>
        <w:rPr>
          <w:rFonts w:eastAsiaTheme="minorEastAsia"/>
          <w:lang w:val="en-US"/>
        </w:rPr>
        <w:t>[min]</w:t>
      </w:r>
    </w:p>
    <w:p w14:paraId="122F0DC6" w14:textId="77777777" w:rsidR="00C10C13" w:rsidRDefault="00000000">
      <w:pPr>
        <w:pStyle w:val="Odstavecseseznamem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</w:t>
      </w:r>
      <w:r>
        <w:rPr>
          <w:rFonts w:eastAsiaTheme="minorEastAsia"/>
          <w:vertAlign w:val="subscript"/>
          <w:lang w:val="en-US"/>
        </w:rPr>
        <w:t>max</w:t>
      </w:r>
      <w:r>
        <w:rPr>
          <w:rFonts w:eastAsiaTheme="minorEastAsia"/>
          <w:lang w:val="en-US"/>
        </w:rPr>
        <w:tab/>
        <w:t>inten</w:t>
      </w:r>
      <w:r>
        <w:rPr>
          <w:rFonts w:eastAsiaTheme="minorEastAsia"/>
        </w:rPr>
        <w:t>z</w:t>
      </w:r>
      <w:r>
        <w:rPr>
          <w:rFonts w:eastAsiaTheme="minorEastAsia"/>
          <w:lang w:val="en-US"/>
        </w:rPr>
        <w:t>ita elektromagnetického pole – maximální hodnota [</w:t>
      </w:r>
      <w:r>
        <w:rPr>
          <w:rFonts w:eastAsiaTheme="minorEastAsia"/>
        </w:rPr>
        <w:t>V/m</w:t>
      </w:r>
      <w:r>
        <w:rPr>
          <w:rFonts w:eastAsiaTheme="minorEastAsia"/>
          <w:lang w:val="en-US"/>
        </w:rPr>
        <w:t>]</w:t>
      </w:r>
    </w:p>
    <w:p w14:paraId="32301D47" w14:textId="77777777" w:rsidR="00C10C13" w:rsidRDefault="00000000">
      <w:pPr>
        <w:pStyle w:val="Odstavecseseznamem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</w:t>
      </w:r>
      <w:r>
        <w:rPr>
          <w:rFonts w:eastAsiaTheme="minorEastAsia"/>
          <w:vertAlign w:val="subscript"/>
          <w:lang w:val="en-US"/>
        </w:rPr>
        <w:t>max</w:t>
      </w:r>
      <w:r>
        <w:rPr>
          <w:rFonts w:eastAsiaTheme="minorEastAsia"/>
          <w:lang w:val="en-US"/>
        </w:rPr>
        <w:tab/>
        <w:t>hustota zářivého toku  - maximální hodnota [W/m</w:t>
      </w:r>
      <w:r>
        <w:rPr>
          <w:rFonts w:eastAsiaTheme="minorEastAsia"/>
          <w:vertAlign w:val="superscript"/>
          <w:lang w:val="en-US"/>
        </w:rPr>
        <w:t>2</w:t>
      </w:r>
      <w:r>
        <w:rPr>
          <w:rFonts w:eastAsiaTheme="minorEastAsia"/>
          <w:lang w:val="en-US"/>
        </w:rPr>
        <w:t>]</w:t>
      </w:r>
    </w:p>
    <w:p w14:paraId="7ADFF70B" w14:textId="77777777" w:rsidR="00C10C13" w:rsidRDefault="00000000">
      <w:pPr>
        <w:pStyle w:val="Odstavecseseznamem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</w:t>
      </w:r>
      <w:r>
        <w:rPr>
          <w:rFonts w:eastAsiaTheme="minorEastAsia"/>
          <w:vertAlign w:val="subscript"/>
          <w:lang w:val="en-US"/>
        </w:rPr>
        <w:t>st</w:t>
      </w:r>
      <w:r>
        <w:rPr>
          <w:rFonts w:eastAsiaTheme="minorEastAsia"/>
          <w:lang w:val="en-US"/>
        </w:rPr>
        <w:tab/>
        <w:t>inten</w:t>
      </w:r>
      <w:r>
        <w:rPr>
          <w:rFonts w:eastAsiaTheme="minorEastAsia"/>
        </w:rPr>
        <w:t>z</w:t>
      </w:r>
      <w:r>
        <w:rPr>
          <w:rFonts w:eastAsiaTheme="minorEastAsia"/>
          <w:lang w:val="en-US"/>
        </w:rPr>
        <w:t>ita elektromagnetického pole – střední hodnota [</w:t>
      </w:r>
      <w:r>
        <w:rPr>
          <w:rFonts w:eastAsiaTheme="minorEastAsia"/>
        </w:rPr>
        <w:t>V/m</w:t>
      </w:r>
      <w:r>
        <w:rPr>
          <w:rFonts w:eastAsiaTheme="minorEastAsia"/>
          <w:lang w:val="en-US"/>
        </w:rPr>
        <w:t>]</w:t>
      </w:r>
    </w:p>
    <w:p w14:paraId="7D15616B" w14:textId="77777777" w:rsidR="00C10C13" w:rsidRDefault="00000000">
      <w:pPr>
        <w:pStyle w:val="Odstavecseseznamem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</w:t>
      </w:r>
      <w:r>
        <w:rPr>
          <w:rFonts w:eastAsiaTheme="minorEastAsia"/>
          <w:vertAlign w:val="subscript"/>
          <w:lang w:val="en-US"/>
        </w:rPr>
        <w:t>st</w:t>
      </w:r>
      <w:r>
        <w:rPr>
          <w:rFonts w:eastAsiaTheme="minorEastAsia"/>
          <w:lang w:val="en-US"/>
        </w:rPr>
        <w:tab/>
        <w:t>hustota zářivého toku  - střední hodnota [W/m</w:t>
      </w:r>
      <w:r>
        <w:rPr>
          <w:rFonts w:eastAsiaTheme="minorEastAsia"/>
          <w:vertAlign w:val="superscript"/>
          <w:lang w:val="en-US"/>
        </w:rPr>
        <w:t>2</w:t>
      </w:r>
      <w:r>
        <w:rPr>
          <w:rFonts w:eastAsiaTheme="minorEastAsia"/>
          <w:lang w:val="en-US"/>
        </w:rPr>
        <w:t>]</w:t>
      </w:r>
    </w:p>
    <w:p w14:paraId="384752F6" w14:textId="77777777" w:rsidR="00C10C13" w:rsidRDefault="00000000">
      <w:pPr>
        <w:pStyle w:val="Odstavecseseznamem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</w:t>
      </w:r>
      <w:r>
        <w:rPr>
          <w:rFonts w:eastAsiaTheme="minorEastAsia"/>
          <w:vertAlign w:val="subscript"/>
          <w:lang w:val="en-US"/>
        </w:rPr>
        <w:t>ref</w:t>
      </w:r>
      <w:r>
        <w:rPr>
          <w:rFonts w:eastAsiaTheme="minorEastAsia"/>
          <w:lang w:val="en-US"/>
        </w:rPr>
        <w:tab/>
        <w:t>inten</w:t>
      </w:r>
      <w:r>
        <w:rPr>
          <w:rFonts w:eastAsiaTheme="minorEastAsia"/>
        </w:rPr>
        <w:t>z</w:t>
      </w:r>
      <w:r>
        <w:rPr>
          <w:rFonts w:eastAsiaTheme="minorEastAsia"/>
          <w:lang w:val="en-US"/>
        </w:rPr>
        <w:t>ita elektromagnetického pole – referenční hodnota [</w:t>
      </w:r>
      <w:r>
        <w:rPr>
          <w:rFonts w:eastAsiaTheme="minorEastAsia"/>
        </w:rPr>
        <w:t>V/m</w:t>
      </w:r>
      <w:r>
        <w:rPr>
          <w:rFonts w:eastAsiaTheme="minorEastAsia"/>
          <w:lang w:val="en-US"/>
        </w:rPr>
        <w:t>]</w:t>
      </w:r>
    </w:p>
    <w:p w14:paraId="23468268" w14:textId="77777777" w:rsidR="00C10C13" w:rsidRDefault="00000000">
      <w:pPr>
        <w:pStyle w:val="Odstavecseseznamem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</w:t>
      </w:r>
      <w:r>
        <w:rPr>
          <w:rFonts w:eastAsiaTheme="minorEastAsia"/>
          <w:vertAlign w:val="subscript"/>
          <w:lang w:val="en-US"/>
        </w:rPr>
        <w:t>ref</w:t>
      </w:r>
      <w:r>
        <w:rPr>
          <w:rFonts w:eastAsiaTheme="minorEastAsia"/>
          <w:lang w:val="en-US"/>
        </w:rPr>
        <w:tab/>
        <w:t>hustota zářivého toku  – referenční hodnota [W/m</w:t>
      </w:r>
      <w:r>
        <w:rPr>
          <w:rFonts w:eastAsiaTheme="minorEastAsia"/>
          <w:vertAlign w:val="superscript"/>
          <w:lang w:val="en-US"/>
        </w:rPr>
        <w:t>2</w:t>
      </w:r>
      <w:r>
        <w:rPr>
          <w:rFonts w:eastAsiaTheme="minorEastAsia"/>
          <w:lang w:val="en-US"/>
        </w:rPr>
        <w:t>]</w:t>
      </w:r>
    </w:p>
    <w:p w14:paraId="63059DDB" w14:textId="77777777" w:rsidR="00C10C13" w:rsidRDefault="00000000">
      <w:pPr>
        <w:pStyle w:val="Odstavecseseznamem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H</w:t>
      </w:r>
      <w:r>
        <w:rPr>
          <w:rFonts w:eastAsiaTheme="minorEastAsia"/>
          <w:vertAlign w:val="subscript"/>
          <w:lang w:val="en-US"/>
        </w:rPr>
        <w:t>lim</w:t>
      </w:r>
      <w:r>
        <w:rPr>
          <w:rFonts w:eastAsiaTheme="minorEastAsia"/>
          <w:lang w:val="en-US"/>
        </w:rPr>
        <w:tab/>
        <w:t>kritérium pro zvýšení teploty tkáně</w:t>
      </w:r>
    </w:p>
    <w:p w14:paraId="6985BEBC" w14:textId="77777777" w:rsidR="00C10C13" w:rsidRDefault="00C10C13">
      <w:pPr>
        <w:pStyle w:val="Odstavecseseznamem"/>
        <w:rPr>
          <w:rFonts w:eastAsiaTheme="minorEastAsia"/>
          <w:lang w:val="en-US"/>
        </w:rPr>
      </w:pPr>
    </w:p>
    <w:p w14:paraId="4AF32CE1" w14:textId="77777777" w:rsidR="00C10C13" w:rsidRDefault="00000000">
      <w:pPr>
        <w:pStyle w:val="Odstavecseseznamem"/>
        <w:rPr>
          <w:rFonts w:eastAsiaTheme="minorEastAsia"/>
        </w:rPr>
      </w:pPr>
      <w:r>
        <w:rPr>
          <w:rFonts w:eastAsiaTheme="minorEastAsia"/>
        </w:rPr>
        <w:tab/>
      </w:r>
    </w:p>
    <w:p w14:paraId="6E0D93DE" w14:textId="77777777" w:rsidR="00C10C13" w:rsidRDefault="00C10C13">
      <w:pPr>
        <w:pStyle w:val="Odstavecseseznamem"/>
        <w:rPr>
          <w:rFonts w:eastAsiaTheme="minorEastAsia"/>
        </w:rPr>
      </w:pPr>
    </w:p>
    <w:p w14:paraId="19EEAD94" w14:textId="77777777" w:rsidR="00C10C13" w:rsidRDefault="00C10C13">
      <w:pPr>
        <w:pStyle w:val="Odstavecseseznamem"/>
        <w:rPr>
          <w:rFonts w:eastAsiaTheme="minorEastAsia"/>
        </w:rPr>
      </w:pPr>
    </w:p>
    <w:p w14:paraId="7485B90A" w14:textId="77777777" w:rsidR="00C10C13" w:rsidRDefault="00C10C13">
      <w:pPr>
        <w:pStyle w:val="Odstavecseseznamem"/>
        <w:rPr>
          <w:rFonts w:eastAsiaTheme="minorEastAsia"/>
        </w:rPr>
      </w:pPr>
    </w:p>
    <w:p w14:paraId="4918B044" w14:textId="77777777" w:rsidR="00C10C13" w:rsidRDefault="00000000">
      <w:pPr>
        <w:pStyle w:val="Odstavecseseznamem"/>
        <w:numPr>
          <w:ilvl w:val="0"/>
          <w:numId w:val="2"/>
        </w:numPr>
        <w:rPr>
          <w:rFonts w:eastAsiaTheme="minorEastAsia"/>
          <w:b/>
        </w:rPr>
      </w:pPr>
      <w:r>
        <w:rPr>
          <w:rFonts w:eastAsiaTheme="minorEastAsia"/>
          <w:b/>
        </w:rPr>
        <w:t>POSTUP MĚŘENÍ A VÝPOČTŮ</w:t>
      </w:r>
    </w:p>
    <w:p w14:paraId="532EEF74" w14:textId="77777777" w:rsidR="00C10C13" w:rsidRDefault="00000000">
      <w:pPr>
        <w:ind w:left="360"/>
        <w:rPr>
          <w:rFonts w:eastAsiaTheme="minorEastAsia"/>
        </w:rPr>
      </w:pPr>
      <w:r>
        <w:rPr>
          <w:rFonts w:eastAsiaTheme="minorEastAsia"/>
        </w:rPr>
        <w:t>Měření bylo provedeno v souladu s legislativními podklady:</w:t>
      </w:r>
    </w:p>
    <w:p w14:paraId="4AA50B4F" w14:textId="77777777" w:rsidR="00C10C13" w:rsidRDefault="00000000">
      <w:pPr>
        <w:spacing w:after="0"/>
        <w:ind w:left="360"/>
        <w:rPr>
          <w:rFonts w:eastAsiaTheme="minorEastAsia"/>
        </w:rPr>
      </w:pPr>
      <w:r>
        <w:rPr>
          <w:rFonts w:eastAsiaTheme="minorEastAsia"/>
        </w:rPr>
        <w:t>- Nařízení vlády č. 291/2015 Sb. o ochraně zdraví před neionizujícím zářením</w:t>
      </w:r>
    </w:p>
    <w:p w14:paraId="38AFAB31" w14:textId="77777777" w:rsidR="00C10C13" w:rsidRDefault="00000000">
      <w:pPr>
        <w:spacing w:after="0"/>
        <w:ind w:left="360"/>
        <w:rPr>
          <w:rFonts w:eastAsiaTheme="minorEastAsia"/>
        </w:rPr>
      </w:pPr>
      <w:r>
        <w:rPr>
          <w:rFonts w:eastAsiaTheme="minorEastAsia"/>
        </w:rPr>
        <w:t>- Metodický návod ke sjednocení postupů orgánů ochrany veřejného zdraví při kontrole dodržování opatření uložených fyzickým a právnickým osobám v ochraně před neionizujícím zářením uveřejněný ve Věstníku MZ ČR č.8/2017 ze dne 28. 7. 2017</w:t>
      </w:r>
    </w:p>
    <w:p w14:paraId="46475A4E" w14:textId="77777777" w:rsidR="00C10C13" w:rsidRDefault="00C10C13">
      <w:pPr>
        <w:spacing w:after="0"/>
        <w:ind w:left="360"/>
        <w:rPr>
          <w:rFonts w:eastAsiaTheme="minorEastAsia"/>
        </w:rPr>
      </w:pPr>
    </w:p>
    <w:p w14:paraId="3A604491" w14:textId="77777777" w:rsidR="00C10C13" w:rsidRDefault="00000000">
      <w:pPr>
        <w:ind w:left="360"/>
        <w:rPr>
          <w:rFonts w:eastAsiaTheme="minorEastAsia"/>
        </w:rPr>
      </w:pPr>
      <w:r>
        <w:rPr>
          <w:rFonts w:eastAsiaTheme="minorEastAsia"/>
        </w:rPr>
        <w:t>Měření probíhalo v souladu s pokyny v příloze č.1 k NV č.291/2015 Sb. zjišťováním střední hodnoty v průměru přes šestiminutový interval. Nejistota způsobená nepřesností použitým měřícím přístrojem je v souladu s NV č.291/2015 Sb. započtena s hodnotou 25</w:t>
      </w:r>
      <w:r>
        <w:rPr>
          <w:rFonts w:eastAsiaTheme="minorEastAsia"/>
          <w:lang w:val="en-US"/>
        </w:rPr>
        <w:t>%</w:t>
      </w:r>
      <w:r>
        <w:rPr>
          <w:rFonts w:eastAsiaTheme="minorEastAsia"/>
        </w:rPr>
        <w:t xml:space="preserve">. </w:t>
      </w:r>
    </w:p>
    <w:p w14:paraId="1A334D8A" w14:textId="77777777" w:rsidR="00C10C13" w:rsidRDefault="00000000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Měřením byly zjišťovány hodnoty intenzity elektrického pole </w:t>
      </w:r>
      <w:r>
        <w:rPr>
          <w:rFonts w:eastAsiaTheme="minorEastAsia"/>
          <w:i/>
          <w:iCs/>
        </w:rPr>
        <w:t>E</w:t>
      </w:r>
      <w:r>
        <w:rPr>
          <w:rFonts w:eastAsiaTheme="minorEastAsia"/>
          <w:i/>
          <w:iCs/>
          <w:vertAlign w:val="subscript"/>
        </w:rPr>
        <w:t>max</w:t>
      </w:r>
      <w:r>
        <w:rPr>
          <w:rFonts w:eastAsiaTheme="minorEastAsia"/>
        </w:rPr>
        <w:t xml:space="preserve">  a </w:t>
      </w:r>
      <w:r>
        <w:rPr>
          <w:rFonts w:eastAsiaTheme="minorEastAsia"/>
          <w:i/>
        </w:rPr>
        <w:t>E</w:t>
      </w:r>
      <w:r>
        <w:rPr>
          <w:rFonts w:eastAsiaTheme="minorEastAsia"/>
          <w:i/>
          <w:vertAlign w:val="subscript"/>
        </w:rPr>
        <w:t>st</w:t>
      </w:r>
      <w:r>
        <w:rPr>
          <w:rFonts w:eastAsiaTheme="minorEastAsia"/>
        </w:rPr>
        <w:t xml:space="preserve"> reprezentující převládající složku elektromagnetického pole pro jednotlivé frekvenční pásma pro mobilní služby a bylo provedeno srovnání naměřených hodnot s referenčními hodnotami dle NV 291/2015 Sb. pro fyzické osoby v komunálním prostředí. Měřeny byly i příspěvky ostatních frekvenčních pásem v rozsahu daném použitou sondou 420MHz – 6GHz souhrnně uvedené v tabulce výsledků jako položka ‚others‘. Pro okamžité posouzení expoziční situace bylo provedeno srovnání maximálních naměřených hodnot jednotlivých frekvenčních pásem s referenčními hodnotami pro fyzické osoby v komunálním prostředí. Jedná se o prostorová maxima efektivní hodnoty pole v objemu vymezené exponovanou osobou, avšak bez její přítomnosti. </w:t>
      </w:r>
    </w:p>
    <w:p w14:paraId="3D3258F6" w14:textId="77777777" w:rsidR="00C10C13" w:rsidRDefault="00000000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Pro určení expozice přes měřený šestiminutový interval byly z naměřených hodnot intenzity elektrického pole za předpokladu rovinné lineárně polarizované elektromagnetické vlny, kdy hustota energie je v každém bodě </w:t>
      </w:r>
      <w:r>
        <w:rPr>
          <w:rFonts w:eastAsiaTheme="minorEastAsia"/>
        </w:rPr>
        <w:br/>
        <w:t xml:space="preserve">a v čase rozdělena rovnoměrně na elektrické a magnetické pole, vypočteny hodnoty hustoty zářivého toku </w:t>
      </w:r>
      <w:r>
        <w:rPr>
          <w:rFonts w:eastAsiaTheme="minorEastAsia"/>
          <w:i/>
          <w:iCs/>
        </w:rPr>
        <w:t>S</w:t>
      </w:r>
      <w:r>
        <w:rPr>
          <w:rFonts w:eastAsiaTheme="minorEastAsia"/>
          <w:i/>
          <w:iCs/>
          <w:vertAlign w:val="subscript"/>
        </w:rPr>
        <w:t>max</w:t>
      </w:r>
      <w:r>
        <w:rPr>
          <w:rFonts w:eastAsiaTheme="minorEastAsia"/>
        </w:rPr>
        <w:t xml:space="preserve"> a </w:t>
      </w:r>
      <w:r>
        <w:rPr>
          <w:rFonts w:eastAsiaTheme="minorEastAsia"/>
          <w:i/>
          <w:iCs/>
        </w:rPr>
        <w:t>S</w:t>
      </w:r>
      <w:r>
        <w:rPr>
          <w:rFonts w:eastAsiaTheme="minorEastAsia"/>
          <w:i/>
          <w:iCs/>
          <w:vertAlign w:val="subscript"/>
        </w:rPr>
        <w:t>st</w:t>
      </w:r>
      <w:r>
        <w:rPr>
          <w:rFonts w:eastAsiaTheme="minorEastAsia"/>
        </w:rPr>
        <w:t xml:space="preserve">. Z vypočtených hodnot </w:t>
      </w:r>
      <w:r>
        <w:rPr>
          <w:rFonts w:eastAsiaTheme="minorEastAsia"/>
          <w:i/>
          <w:iCs/>
        </w:rPr>
        <w:t>S</w:t>
      </w:r>
      <w:r>
        <w:rPr>
          <w:rFonts w:eastAsiaTheme="minorEastAsia"/>
          <w:i/>
          <w:iCs/>
          <w:vertAlign w:val="subscript"/>
        </w:rPr>
        <w:t>st</w:t>
      </w:r>
      <w:r>
        <w:rPr>
          <w:rFonts w:eastAsiaTheme="minorEastAsia"/>
        </w:rPr>
        <w:t xml:space="preserve"> pro jednotlivá frekvenční pásma byla expoziční situace posouzená splněním kritéria pro zvýšení teploty tkáně </w:t>
      </w:r>
      <w:r>
        <w:rPr>
          <w:rFonts w:eastAsiaTheme="minorEastAsia"/>
          <w:i/>
        </w:rPr>
        <w:t>H</w:t>
      </w:r>
      <w:r>
        <w:rPr>
          <w:rFonts w:eastAsiaTheme="minorEastAsia"/>
          <w:vertAlign w:val="subscript"/>
        </w:rPr>
        <w:t xml:space="preserve">lim </w:t>
      </w:r>
      <w:r>
        <w:rPr>
          <w:rFonts w:eastAsiaTheme="minorEastAsia"/>
        </w:rPr>
        <w:t>, které pro fyzické osoby v komunálním prostředí nesmí přesáhnout hodnotu 0,2 podle vztahu:</w:t>
      </w:r>
    </w:p>
    <w:p w14:paraId="4F8BA730" w14:textId="77777777" w:rsidR="00C10C13" w:rsidRDefault="00C10C13">
      <w:pPr>
        <w:ind w:left="360"/>
        <w:rPr>
          <w:rFonts w:eastAsiaTheme="minorEastAsia"/>
        </w:rPr>
      </w:pPr>
    </w:p>
    <w:p w14:paraId="3B99C3C4" w14:textId="77777777" w:rsidR="00C10C13" w:rsidRDefault="00000000">
      <w:pPr>
        <w:ind w:left="360"/>
        <w:jc w:val="center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inline distT="0" distB="0" distL="0" distR="0" wp14:anchorId="439B714A" wp14:editId="3D55FBB3">
                <wp:extent cx="1751162" cy="646981"/>
                <wp:effectExtent l="0" t="0" r="1905" b="1270"/>
                <wp:docPr id="13" name="Obrázek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1833171" cy="67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137.9pt;height:50.9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eastAsiaTheme="minorEastAsia"/>
        </w:rPr>
        <w:br w:type="page" w:clear="all"/>
      </w:r>
    </w:p>
    <w:p w14:paraId="14F7FC30" w14:textId="77777777" w:rsidR="00C10C13" w:rsidRDefault="00000000">
      <w:pPr>
        <w:pStyle w:val="Odstavecseseznamem"/>
        <w:numPr>
          <w:ilvl w:val="0"/>
          <w:numId w:val="2"/>
        </w:num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VÝSLEDKY MĚŘENÍ</w:t>
      </w:r>
    </w:p>
    <w:p w14:paraId="089289F1" w14:textId="585FA448" w:rsidR="00C10C13" w:rsidRDefault="00000000">
      <w:pPr>
        <w:ind w:left="360"/>
      </w:pPr>
      <w:bookmarkStart w:id="2" w:name="_Hlk58507068"/>
      <w:r>
        <w:rPr>
          <w:rFonts w:eastAsiaTheme="minorEastAsia"/>
        </w:rPr>
        <w:t>V tabulce jsou zpracované výsledné hodnoty pro jednotlivá frekvenční pásma</w:t>
      </w:r>
      <w:r>
        <w:rPr>
          <w:rFonts w:eastAsiaTheme="minorEastAsia"/>
          <w:highlight w:val="yellow"/>
        </w:rPr>
        <w:t>, která m</w:t>
      </w:r>
      <w:r w:rsidR="009E2223">
        <w:rPr>
          <w:rFonts w:eastAsiaTheme="minorEastAsia"/>
          <w:highlight w:val="yellow"/>
        </w:rPr>
        <w:t>ají</w:t>
      </w:r>
      <w:r>
        <w:rPr>
          <w:rFonts w:eastAsiaTheme="minorEastAsia"/>
          <w:highlight w:val="yellow"/>
        </w:rPr>
        <w:t xml:space="preserve"> operáto</w:t>
      </w:r>
      <w:r w:rsidR="009E2223">
        <w:rPr>
          <w:rFonts w:eastAsiaTheme="minorEastAsia"/>
          <w:highlight w:val="yellow"/>
        </w:rPr>
        <w:t>ři</w:t>
      </w:r>
      <w:r>
        <w:rPr>
          <w:rFonts w:eastAsiaTheme="minorEastAsia"/>
          <w:highlight w:val="yellow"/>
        </w:rPr>
        <w:t xml:space="preserve"> přidělen</w:t>
      </w:r>
      <w:r w:rsidR="009E2223">
        <w:rPr>
          <w:rFonts w:eastAsiaTheme="minorEastAsia"/>
          <w:highlight w:val="yellow"/>
        </w:rPr>
        <w:t>á</w:t>
      </w:r>
      <w:r>
        <w:rPr>
          <w:rFonts w:eastAsiaTheme="minorEastAsia"/>
          <w:highlight w:val="yellow"/>
        </w:rPr>
        <w:t>.</w:t>
      </w:r>
      <w:r>
        <w:rPr>
          <w:rFonts w:eastAsiaTheme="minorEastAsia"/>
        </w:rPr>
        <w:t xml:space="preserve"> </w:t>
      </w:r>
      <w:r>
        <w:rPr>
          <w:rFonts w:eastAsiaTheme="minorEastAsia"/>
          <w:highlight w:val="green"/>
        </w:rPr>
        <w:t>Někdy budou měření s rozdělením dle operátorů, takže tady bude množné číslo.</w:t>
      </w:r>
      <w:r>
        <w:rPr>
          <w:rFonts w:eastAsiaTheme="minorEastAsia"/>
        </w:rPr>
        <w:t xml:space="preserve"> Tučným písmem jsou vyznačena pásma, která jsou na měřené základnové stanici aktivní.</w:t>
      </w:r>
      <w:bookmarkEnd w:id="2"/>
      <w:r>
        <w:rPr>
          <w:rFonts w:eastAsiaTheme="minorEastAsia"/>
        </w:rPr>
        <w:t xml:space="preserve"> Naměřené hodnoty ostatních pásem reprezentují příspěvky okolních základnových stanic a hodnot přirozeného termického šumu. V řádcích označených „others“ jsou naměřeny hodnoty z jiných zdrojů elektromagnetického záření v celém měřeném spektru, např. WiFi nebo TV pásma a jsou zahrnuty do celkového hodnocení expozice.</w:t>
      </w:r>
    </w:p>
    <w:p w14:paraId="78C2A77B" w14:textId="77777777" w:rsidR="00C10C13" w:rsidRDefault="00000000">
      <w:pPr>
        <w:ind w:left="360"/>
      </w:pPr>
      <w:r>
        <w:rPr>
          <w:rFonts w:eastAsiaTheme="minorEastAsia"/>
          <w:highlight w:val="green"/>
        </w:rPr>
        <w:t>Hlavní tabulka s výsledky. Vytvořeno v excelu. Doporučuji kopírovat CTRL+C a vložit jako obrázek. Pokud nevejde na jednu stránku, tak na další stránku zkopírovat i se záhlavím.</w:t>
      </w:r>
    </w:p>
    <w:p w14:paraId="5EA01E15" w14:textId="77500991" w:rsidR="00C10C13" w:rsidRDefault="00000000">
      <w:pPr>
        <w:ind w:left="360" w:hanging="644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inline distT="0" distB="0" distL="0" distR="0" wp14:anchorId="26A5D75F" wp14:editId="43442D14">
                <wp:extent cx="6570980" cy="4536440"/>
                <wp:effectExtent l="0" t="0" r="1270" b="0"/>
                <wp:docPr id="14" name="Obrázek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570980" cy="4536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517.4pt;height:357.2pt;" stroked="f">
                <v:path textboxrect="0,0,0,0"/>
                <v:imagedata r:id="rId34" o:title=""/>
              </v:shape>
            </w:pict>
          </mc:Fallback>
        </mc:AlternateContent>
      </w:r>
    </w:p>
    <w:p w14:paraId="3FAEE3F8" w14:textId="77777777" w:rsidR="00C10C13" w:rsidRDefault="00C10C13">
      <w:pPr>
        <w:ind w:left="360"/>
        <w:rPr>
          <w:rFonts w:eastAsiaTheme="minorEastAsia"/>
        </w:rPr>
      </w:pPr>
    </w:p>
    <w:p w14:paraId="336C80DA" w14:textId="77777777" w:rsidR="00C10C13" w:rsidRDefault="00C10C13">
      <w:pPr>
        <w:ind w:left="360"/>
        <w:rPr>
          <w:rFonts w:eastAsiaTheme="minorEastAsia"/>
        </w:rPr>
      </w:pPr>
    </w:p>
    <w:p w14:paraId="64980A47" w14:textId="77777777" w:rsidR="00C10C13" w:rsidRDefault="00C10C13">
      <w:pPr>
        <w:ind w:left="360"/>
        <w:rPr>
          <w:rFonts w:eastAsiaTheme="minorEastAsia"/>
        </w:rPr>
      </w:pPr>
    </w:p>
    <w:p w14:paraId="37CF32E4" w14:textId="77777777" w:rsidR="00C10C13" w:rsidRDefault="00000000">
      <w:pPr>
        <w:rPr>
          <w:rFonts w:eastAsiaTheme="minorEastAsia"/>
        </w:rPr>
      </w:pPr>
      <w:r>
        <w:rPr>
          <w:rFonts w:eastAsiaTheme="minorEastAsia"/>
        </w:rPr>
        <w:br w:type="page" w:clear="all"/>
      </w:r>
    </w:p>
    <w:p w14:paraId="0A5D4AF9" w14:textId="00321787" w:rsidR="00C10C13" w:rsidRDefault="00000000" w:rsidP="001F34B3">
      <w:pPr>
        <w:ind w:left="-426"/>
        <w:rPr>
          <w:rFonts w:eastAsiaTheme="minorEastAsia"/>
        </w:rPr>
      </w:pPr>
      <w:r>
        <w:rPr>
          <w:rFonts w:eastAsiaTheme="minorEastAsia"/>
        </w:rPr>
        <w:lastRenderedPageBreak/>
        <w:t>Grafické zobrazení spektra naměřených hodnot. Spektrum je zobrazeno ve využitém rozsahu frekvenčních pásem pro mobilní služby 420MHz – 6000 MHz</w:t>
      </w:r>
    </w:p>
    <w:p w14:paraId="4339CECA" w14:textId="4C3B3DBC" w:rsidR="00A608D2" w:rsidRDefault="00A608D2" w:rsidP="001F34B3">
      <w:pPr>
        <w:pStyle w:val="Titulek"/>
      </w:pPr>
      <w:r w:rsidRPr="00A608D2">
        <w:t>{Insert_Value_1</w:t>
      </w:r>
      <w:r w:rsidR="00A13B39">
        <w:t>9</w:t>
      </w:r>
      <w:r w:rsidRPr="00A608D2">
        <w:t>}</w:t>
      </w:r>
    </w:p>
    <w:p w14:paraId="5C98CB2A" w14:textId="77777777" w:rsidR="00C10C13" w:rsidRDefault="00C10C13">
      <w:pPr>
        <w:jc w:val="center"/>
        <w:rPr>
          <w:i/>
          <w:iCs/>
          <w:color w:val="44546A"/>
          <w:sz w:val="18"/>
          <w:szCs w:val="18"/>
        </w:rPr>
      </w:pPr>
    </w:p>
    <w:p w14:paraId="6CB6F0AF" w14:textId="77777777" w:rsidR="00C10C13" w:rsidRDefault="00C10C13">
      <w:pPr>
        <w:jc w:val="center"/>
        <w:rPr>
          <w:i/>
          <w:iCs/>
          <w:color w:val="44546A"/>
          <w:sz w:val="18"/>
          <w:szCs w:val="18"/>
        </w:rPr>
      </w:pPr>
    </w:p>
    <w:sectPr w:rsidR="00C10C13">
      <w:headerReference w:type="default" r:id="rId35"/>
      <w:footerReference w:type="default" r:id="rId36"/>
      <w:pgSz w:w="11906" w:h="16838"/>
      <w:pgMar w:top="1417" w:right="849" w:bottom="1134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C4135" w14:textId="77777777" w:rsidR="001C5F31" w:rsidRDefault="001C5F31">
      <w:pPr>
        <w:spacing w:after="0" w:line="240" w:lineRule="auto"/>
      </w:pPr>
      <w:r>
        <w:separator/>
      </w:r>
    </w:p>
  </w:endnote>
  <w:endnote w:type="continuationSeparator" w:id="0">
    <w:p w14:paraId="532C21D6" w14:textId="77777777" w:rsidR="001C5F31" w:rsidRDefault="001C5F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9455033"/>
      <w:docPartObj>
        <w:docPartGallery w:val="Page Numbers (Bottom of Page)"/>
        <w:docPartUnique/>
      </w:docPartObj>
    </w:sdtPr>
    <w:sdtContent>
      <w:p w14:paraId="170FB547" w14:textId="77777777" w:rsidR="00C10C13" w:rsidRDefault="00000000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AA2874" w14:textId="77777777" w:rsidR="00C10C13" w:rsidRDefault="00C10C13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51405" w14:textId="77777777" w:rsidR="001C5F31" w:rsidRDefault="001C5F31">
      <w:pPr>
        <w:spacing w:after="0" w:line="240" w:lineRule="auto"/>
      </w:pPr>
      <w:r>
        <w:separator/>
      </w:r>
    </w:p>
  </w:footnote>
  <w:footnote w:type="continuationSeparator" w:id="0">
    <w:p w14:paraId="3FA1F9E2" w14:textId="77777777" w:rsidR="001C5F31" w:rsidRDefault="001C5F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62290" w14:textId="77777777" w:rsidR="00C10C13" w:rsidRDefault="00000000">
    <w:pPr>
      <w:pStyle w:val="Zhlav"/>
    </w:pPr>
    <w:r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51B848BF" wp14:editId="25CB99BC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1" name="MSIPCMa4ab4dcdad3422da350b49ac" descr="{&quot;HashCode&quot;:-1410561543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  <a:miter/>
                      </a:ln>
                    </wps:spPr>
                    <wps:txbx>
                      <w:txbxContent>
                        <w:p w14:paraId="7A1B5D74" w14:textId="77777777" w:rsidR="00C10C13" w:rsidRDefault="00000000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Company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B848BF" id="_x0000_t202" coordsize="21600,21600" o:spt="202" path="m,l,21600r21600,l21600,xe">
              <v:stroke joinstyle="miter"/>
              <v:path gradientshapeok="t" o:connecttype="rect"/>
            </v:shapetype>
            <v:shape id="MSIPCMa4ab4dcdad3422da350b49ac" o:spid="_x0000_s1026" type="#_x0000_t202" alt="{&quot;HashCode&quot;:-1410561543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HCnJQIAAD0EAAAOAAAAZHJzL2Uyb0RvYy54bWysU02P2yAQvVfqf0DcGzufu7XirNJdpaq0&#10;3V0pW+2ZYIgtAUOBxE5/fQccp1XaU9ULGmaG+XjvsbzrtCJH4XwDpqTjUU6JMByqxuxL+u118+GW&#10;Eh+YqZgCI0p6Ep7erd6/W7a2EBOoQVXCESxifNHaktYh2CLLPK+FZn4EVhgMSnCaBby6fVY51mJ1&#10;rbJJni+yFlxlHXDhPXof+iBdpfpSCh6epfQiEFVSnC2k06VzF89stWTF3jFbN/w8BvuHKTRrDDa9&#10;lHpggZGDa/4opRvuwIMMIw46AykbLtIOuM04v9pmWzMr0i4IjrcXmPz/K8ufjlv74kjoPkGHBEZA&#10;WusLH5279itUSBo7BEjbddLpuCXOTTAbAT1dQBRdIBydN/NFPh1jiGNscjPN5wnljBXDa+t8+CxA&#10;k2iU1CFJqTo7PvqA/TF1SInNDGwapRJRypC2pIsplryK6CYI179VBksMO/TbhG7XnRfbQXXC1Rz0&#10;UvCWbxoc45H58MIcco+To57DMx5SAbaDs0VJDe7H3/wxHynBKCUtaqmk/vuBOUGJ+mKQrI/j2SyK&#10;L13QcMmYzGd5jrfd4DYHfQ+o0zF+GcuTGZODGkzpQL+h3texHYaY4di0pGEw70MvbfwvXKzXKQl1&#10;Zll4NFvLY+mIW0T3tXtjzp4pCEjeEwxyY8UVE31uj/gatSCbRFPEuIfzDDhqNLF3/k/xE/x+T1m/&#10;fv3qJwAAAP//AwBQSwMEFAAGAAgAAAAhAHGfHV/dAAAABwEAAA8AAABkcnMvZG93bnJldi54bWxM&#10;j0FLw0AQhe+C/2EZwZvdbSu1jZmUVshNkFSl100yJsHsbMhu0uTfuz3Z0/B4j/e+ifeTacVIvWss&#10;IywXCgRxYcuGK4Svz/RpC8J5zaVuLRPCTA72yf1drKPSXjij8eQrEUrYRRqh9r6LpHRFTUa7he2I&#10;g/dje6N9kH0ly15fQrlp5UqpjTS64bBQ647eaip+T4NBGJ4Px3y2q/H943j+zqaU5yw9Iz4+TIdX&#10;EJ4m/x+GK35AhyQw5Xbg0okWITziEdYq3Ku73KkNiBzhZa1AJrG85U/+AAAA//8DAFBLAQItABQA&#10;BgAIAAAAIQC2gziS/gAAAOEBAAATAAAAAAAAAAAAAAAAAAAAAABbQ29udGVudF9UeXBlc10ueG1s&#10;UEsBAi0AFAAGAAgAAAAhADj9If/WAAAAlAEAAAsAAAAAAAAAAAAAAAAALwEAAF9yZWxzLy5yZWxz&#10;UEsBAi0AFAAGAAgAAAAhAD3IcKclAgAAPQQAAA4AAAAAAAAAAAAAAAAALgIAAGRycy9lMm9Eb2Mu&#10;eG1sUEsBAi0AFAAGAAgAAAAhAHGfHV/dAAAABwEAAA8AAAAAAAAAAAAAAAAAfwQAAGRycy9kb3du&#10;cmV2LnhtbFBLBQYAAAAABAAEAPMAAACJBQAAAAA=&#10;" o:allowincell="f" filled="f" stroked="f" strokeweight=".5pt">
              <v:textbox inset=",0,20pt,0">
                <w:txbxContent>
                  <w:p w14:paraId="7A1B5D74" w14:textId="77777777" w:rsidR="00C10C13" w:rsidRDefault="00000000">
                    <w:pPr>
                      <w:spacing w:after="0"/>
                      <w:jc w:val="right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color w:val="000000"/>
                        <w:sz w:val="20"/>
                      </w:rPr>
                      <w:t>Company</w:t>
                    </w:r>
                    <w:proofErr w:type="spellEnd"/>
                    <w:r>
                      <w:rPr>
                        <w:rFonts w:ascii="Calibri" w:hAnsi="Calibri" w:cs="Calibri"/>
                        <w:color w:val="000000"/>
                        <w:sz w:val="20"/>
                      </w:rPr>
                      <w:t xml:space="preserve">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inline distT="0" distB="0" distL="0" distR="0" wp14:anchorId="0ED58CAE" wp14:editId="31829859">
              <wp:extent cx="1489174" cy="304800"/>
              <wp:effectExtent l="0" t="0" r="0" b="0"/>
              <wp:docPr id="2" name="Obrázek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1501528" cy="3073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c:Choice>
        <mc:Fallback xmlns:a="http://schemas.openxmlformats.org/drawingml/2006/main"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1" o:spid="_x0000_s1" type="#_x0000_t75" style="mso-wrap-distance-left:0.0pt;mso-wrap-distance-top:0.0pt;mso-wrap-distance-right:0.0pt;mso-wrap-distance-bottom:0.0pt;width:117.3pt;height:24.0pt;" stroked="false">
              <v:path textboxrect="0,0,0,0"/>
              <v:imagedata r:id="rId2" o:title="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04C2C"/>
    <w:multiLevelType w:val="hybridMultilevel"/>
    <w:tmpl w:val="F8962A14"/>
    <w:lvl w:ilvl="0" w:tplc="8D78B906">
      <w:start w:val="1"/>
      <w:numFmt w:val="decimal"/>
      <w:lvlText w:val="%1."/>
      <w:lvlJc w:val="left"/>
      <w:pPr>
        <w:ind w:left="720" w:hanging="360"/>
      </w:pPr>
    </w:lvl>
    <w:lvl w:ilvl="1" w:tplc="9EC42E60">
      <w:start w:val="1"/>
      <w:numFmt w:val="lowerLetter"/>
      <w:lvlText w:val="%2."/>
      <w:lvlJc w:val="left"/>
      <w:pPr>
        <w:ind w:left="1440" w:hanging="360"/>
      </w:pPr>
    </w:lvl>
    <w:lvl w:ilvl="2" w:tplc="8BC450D4">
      <w:start w:val="1"/>
      <w:numFmt w:val="lowerRoman"/>
      <w:lvlText w:val="%3."/>
      <w:lvlJc w:val="right"/>
      <w:pPr>
        <w:ind w:left="2160" w:hanging="180"/>
      </w:pPr>
    </w:lvl>
    <w:lvl w:ilvl="3" w:tplc="4716A1B6">
      <w:start w:val="1"/>
      <w:numFmt w:val="decimal"/>
      <w:lvlText w:val="%4."/>
      <w:lvlJc w:val="left"/>
      <w:pPr>
        <w:ind w:left="2880" w:hanging="360"/>
      </w:pPr>
    </w:lvl>
    <w:lvl w:ilvl="4" w:tplc="56C0906C">
      <w:start w:val="1"/>
      <w:numFmt w:val="lowerLetter"/>
      <w:lvlText w:val="%5."/>
      <w:lvlJc w:val="left"/>
      <w:pPr>
        <w:ind w:left="3600" w:hanging="360"/>
      </w:pPr>
    </w:lvl>
    <w:lvl w:ilvl="5" w:tplc="05D8992C">
      <w:start w:val="1"/>
      <w:numFmt w:val="lowerRoman"/>
      <w:lvlText w:val="%6."/>
      <w:lvlJc w:val="right"/>
      <w:pPr>
        <w:ind w:left="4320" w:hanging="180"/>
      </w:pPr>
    </w:lvl>
    <w:lvl w:ilvl="6" w:tplc="A202C62C">
      <w:start w:val="1"/>
      <w:numFmt w:val="decimal"/>
      <w:lvlText w:val="%7."/>
      <w:lvlJc w:val="left"/>
      <w:pPr>
        <w:ind w:left="5040" w:hanging="360"/>
      </w:pPr>
    </w:lvl>
    <w:lvl w:ilvl="7" w:tplc="3BF0F5BA">
      <w:start w:val="1"/>
      <w:numFmt w:val="lowerLetter"/>
      <w:lvlText w:val="%8."/>
      <w:lvlJc w:val="left"/>
      <w:pPr>
        <w:ind w:left="5760" w:hanging="360"/>
      </w:pPr>
    </w:lvl>
    <w:lvl w:ilvl="8" w:tplc="682E360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802D1"/>
    <w:multiLevelType w:val="hybridMultilevel"/>
    <w:tmpl w:val="6B30AF5C"/>
    <w:lvl w:ilvl="0" w:tplc="0BC28E4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CEF40370">
      <w:start w:val="1"/>
      <w:numFmt w:val="lowerLetter"/>
      <w:lvlText w:val="%2."/>
      <w:lvlJc w:val="left"/>
      <w:pPr>
        <w:ind w:left="1440" w:hanging="360"/>
      </w:pPr>
    </w:lvl>
    <w:lvl w:ilvl="2" w:tplc="2C5A06C6">
      <w:start w:val="1"/>
      <w:numFmt w:val="lowerRoman"/>
      <w:lvlText w:val="%3."/>
      <w:lvlJc w:val="right"/>
      <w:pPr>
        <w:ind w:left="2160" w:hanging="180"/>
      </w:pPr>
    </w:lvl>
    <w:lvl w:ilvl="3" w:tplc="5008B8A8">
      <w:start w:val="1"/>
      <w:numFmt w:val="decimal"/>
      <w:lvlText w:val="%4."/>
      <w:lvlJc w:val="left"/>
      <w:pPr>
        <w:ind w:left="2880" w:hanging="360"/>
      </w:pPr>
    </w:lvl>
    <w:lvl w:ilvl="4" w:tplc="8DC8B03A">
      <w:start w:val="1"/>
      <w:numFmt w:val="lowerLetter"/>
      <w:lvlText w:val="%5."/>
      <w:lvlJc w:val="left"/>
      <w:pPr>
        <w:ind w:left="3600" w:hanging="360"/>
      </w:pPr>
    </w:lvl>
    <w:lvl w:ilvl="5" w:tplc="57E8E2CE">
      <w:start w:val="1"/>
      <w:numFmt w:val="lowerRoman"/>
      <w:lvlText w:val="%6."/>
      <w:lvlJc w:val="right"/>
      <w:pPr>
        <w:ind w:left="4320" w:hanging="180"/>
      </w:pPr>
    </w:lvl>
    <w:lvl w:ilvl="6" w:tplc="AF12EE14">
      <w:start w:val="1"/>
      <w:numFmt w:val="decimal"/>
      <w:lvlText w:val="%7."/>
      <w:lvlJc w:val="left"/>
      <w:pPr>
        <w:ind w:left="5040" w:hanging="360"/>
      </w:pPr>
    </w:lvl>
    <w:lvl w:ilvl="7" w:tplc="1DA48586">
      <w:start w:val="1"/>
      <w:numFmt w:val="lowerLetter"/>
      <w:lvlText w:val="%8."/>
      <w:lvlJc w:val="left"/>
      <w:pPr>
        <w:ind w:left="5760" w:hanging="360"/>
      </w:pPr>
    </w:lvl>
    <w:lvl w:ilvl="8" w:tplc="E58262F6">
      <w:start w:val="1"/>
      <w:numFmt w:val="lowerRoman"/>
      <w:lvlText w:val="%9."/>
      <w:lvlJc w:val="right"/>
      <w:pPr>
        <w:ind w:left="6480" w:hanging="180"/>
      </w:pPr>
    </w:lvl>
  </w:abstractNum>
  <w:num w:numId="1" w16cid:durableId="967125907">
    <w:abstractNumId w:val="1"/>
  </w:num>
  <w:num w:numId="2" w16cid:durableId="105780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C13"/>
    <w:rsid w:val="001C5F31"/>
    <w:rsid w:val="001F34B3"/>
    <w:rsid w:val="0040243E"/>
    <w:rsid w:val="00425B93"/>
    <w:rsid w:val="009E2223"/>
    <w:rsid w:val="00A13B39"/>
    <w:rsid w:val="00A43C35"/>
    <w:rsid w:val="00A528BE"/>
    <w:rsid w:val="00A608D2"/>
    <w:rsid w:val="00A67D26"/>
    <w:rsid w:val="00C10C13"/>
    <w:rsid w:val="00D01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C2AE5"/>
  <w15:docId w15:val="{5741DC7D-7E20-4FE0-AADC-EE8A8B2C8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608D2"/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Nadpis2">
    <w:name w:val="heading 2"/>
    <w:basedOn w:val="Normln"/>
    <w:link w:val="Nadpis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cs-CZ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Nadpis9">
    <w:name w:val="heading 9"/>
    <w:basedOn w:val="Normln"/>
    <w:next w:val="Normln"/>
    <w:link w:val="Nadpis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Heading1Char">
    <w:name w:val="Heading 1 Char"/>
    <w:basedOn w:val="Standardnpsmoodstavce"/>
    <w:uiPriority w:val="9"/>
    <w:rPr>
      <w:rFonts w:ascii="Arial" w:eastAsia="Arial" w:hAnsi="Arial" w:cs="Arial"/>
      <w:sz w:val="40"/>
      <w:szCs w:val="40"/>
    </w:rPr>
  </w:style>
  <w:style w:type="character" w:customStyle="1" w:styleId="Heading3Char">
    <w:name w:val="Heading 3 Char"/>
    <w:basedOn w:val="Standardnpsmoodstavce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Standardnpsmoodstavce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Standardnpsmoodstavce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Standardnpsmoodstavce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Standardnpsmoodstavce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Standardnpsmoodstavce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Standardnpsmoodstavce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Standardnpsmoodstavce"/>
    <w:uiPriority w:val="10"/>
    <w:rPr>
      <w:sz w:val="48"/>
      <w:szCs w:val="48"/>
    </w:rPr>
  </w:style>
  <w:style w:type="character" w:customStyle="1" w:styleId="SubtitleChar">
    <w:name w:val="Subtitle Char"/>
    <w:basedOn w:val="Standardnpsmoodstavce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Nadpis1Char">
    <w:name w:val="Nadpis 1 Char"/>
    <w:basedOn w:val="Standardnpsmoodstavce"/>
    <w:link w:val="Nadpis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Standardnpsmoodstavce"/>
    <w:uiPriority w:val="9"/>
    <w:rPr>
      <w:rFonts w:ascii="Arial" w:eastAsia="Arial" w:hAnsi="Arial" w:cs="Arial"/>
      <w:sz w:val="34"/>
    </w:rPr>
  </w:style>
  <w:style w:type="character" w:customStyle="1" w:styleId="Nadpis3Char">
    <w:name w:val="Nadpis 3 Char"/>
    <w:basedOn w:val="Standardnpsmoodstavce"/>
    <w:link w:val="Nadpis3"/>
    <w:uiPriority w:val="9"/>
    <w:rPr>
      <w:rFonts w:ascii="Arial" w:eastAsia="Arial" w:hAnsi="Arial" w:cs="Arial"/>
      <w:sz w:val="30"/>
      <w:szCs w:val="30"/>
    </w:rPr>
  </w:style>
  <w:style w:type="character" w:customStyle="1" w:styleId="Nadpis4Char">
    <w:name w:val="Nadpis 4 Char"/>
    <w:basedOn w:val="Standardnpsmoodstavce"/>
    <w:link w:val="Nadpis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Nadpis5Char">
    <w:name w:val="Nadpis 5 Char"/>
    <w:basedOn w:val="Standardnpsmoodstavce"/>
    <w:link w:val="Nadpis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Nadpis6Char">
    <w:name w:val="Nadpis 6 Char"/>
    <w:basedOn w:val="Standardnpsmoodstavce"/>
    <w:link w:val="Nadpis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Nadpis7Char">
    <w:name w:val="Nadpis 7 Char"/>
    <w:basedOn w:val="Standardnpsmoodstavce"/>
    <w:link w:val="Nadpis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Nadpis8Char">
    <w:name w:val="Nadpis 8 Char"/>
    <w:basedOn w:val="Standardnpsmoodstavce"/>
    <w:link w:val="Nadpis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Nadpis9Char">
    <w:name w:val="Nadpis 9 Char"/>
    <w:basedOn w:val="Standardnpsmoodstavce"/>
    <w:link w:val="Nadpis9"/>
    <w:uiPriority w:val="9"/>
    <w:rPr>
      <w:rFonts w:ascii="Arial" w:eastAsia="Arial" w:hAnsi="Arial" w:cs="Arial"/>
      <w:i/>
      <w:iCs/>
      <w:sz w:val="21"/>
      <w:szCs w:val="21"/>
    </w:rPr>
  </w:style>
  <w:style w:type="paragraph" w:styleId="Bezmezer">
    <w:name w:val="No Spacing"/>
    <w:uiPriority w:val="1"/>
    <w:qFormat/>
    <w:pPr>
      <w:spacing w:after="0" w:line="240" w:lineRule="auto"/>
    </w:pPr>
  </w:style>
  <w:style w:type="paragraph" w:styleId="Nzev">
    <w:name w:val="Title"/>
    <w:basedOn w:val="Normln"/>
    <w:next w:val="Normln"/>
    <w:link w:val="Nzev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NzevChar">
    <w:name w:val="Název Char"/>
    <w:basedOn w:val="Standardnpsmoodstavce"/>
    <w:link w:val="Nzev"/>
    <w:uiPriority w:val="10"/>
    <w:rPr>
      <w:sz w:val="48"/>
      <w:szCs w:val="48"/>
    </w:rPr>
  </w:style>
  <w:style w:type="paragraph" w:styleId="Podnadpis">
    <w:name w:val="Subtitle"/>
    <w:basedOn w:val="Normln"/>
    <w:next w:val="Normln"/>
    <w:link w:val="PodnadpisChar"/>
    <w:uiPriority w:val="11"/>
    <w:qFormat/>
    <w:pPr>
      <w:spacing w:before="200" w:after="200"/>
    </w:pPr>
    <w:rPr>
      <w:sz w:val="24"/>
      <w:szCs w:val="24"/>
    </w:rPr>
  </w:style>
  <w:style w:type="character" w:customStyle="1" w:styleId="PodnadpisChar">
    <w:name w:val="Podnadpis Char"/>
    <w:basedOn w:val="Standardnpsmoodstavce"/>
    <w:link w:val="Podnadpis"/>
    <w:uiPriority w:val="11"/>
    <w:rPr>
      <w:sz w:val="24"/>
      <w:szCs w:val="24"/>
    </w:rPr>
  </w:style>
  <w:style w:type="paragraph" w:styleId="Citt">
    <w:name w:val="Quote"/>
    <w:basedOn w:val="Normln"/>
    <w:next w:val="Normln"/>
    <w:link w:val="CittChar"/>
    <w:uiPriority w:val="29"/>
    <w:qFormat/>
    <w:pPr>
      <w:ind w:left="720" w:right="720"/>
    </w:pPr>
    <w:rPr>
      <w:i/>
    </w:rPr>
  </w:style>
  <w:style w:type="character" w:customStyle="1" w:styleId="CittChar">
    <w:name w:val="Citát Char"/>
    <w:link w:val="Citt"/>
    <w:uiPriority w:val="29"/>
    <w:rPr>
      <w:i/>
    </w:rPr>
  </w:style>
  <w:style w:type="paragraph" w:styleId="Vrazncitt">
    <w:name w:val="Intense Quote"/>
    <w:basedOn w:val="Normln"/>
    <w:next w:val="Normln"/>
    <w:link w:val="Vrazncitt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VrazncittChar">
    <w:name w:val="Výrazný citát Char"/>
    <w:link w:val="Vrazncitt"/>
    <w:uiPriority w:val="30"/>
    <w:rPr>
      <w:i/>
    </w:rPr>
  </w:style>
  <w:style w:type="character" w:customStyle="1" w:styleId="HeaderChar">
    <w:name w:val="Header Char"/>
    <w:basedOn w:val="Standardnpsmoodstavce"/>
    <w:uiPriority w:val="99"/>
  </w:style>
  <w:style w:type="character" w:customStyle="1" w:styleId="FooterChar">
    <w:name w:val="Footer Char"/>
    <w:basedOn w:val="Standardnpsmoodstavce"/>
    <w:uiPriority w:val="99"/>
  </w:style>
  <w:style w:type="character" w:customStyle="1" w:styleId="CaptionChar">
    <w:name w:val="Caption Char"/>
    <w:uiPriority w:val="99"/>
  </w:style>
  <w:style w:type="table" w:styleId="Mkatabulky">
    <w:name w:val="Table Grid"/>
    <w:basedOn w:val="Normlntabulka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Normlntabulka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rosttabulka1">
    <w:name w:val="Plain Table 1"/>
    <w:basedOn w:val="Normlntabulka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rosttabulka2">
    <w:name w:val="Plain Table 2"/>
    <w:basedOn w:val="Normlntabulka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rosttabulka3">
    <w:name w:val="Plain Table 3"/>
    <w:basedOn w:val="Normlntabul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rosttabulka4">
    <w:name w:val="Plain Table 4"/>
    <w:basedOn w:val="Normlntabul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rosttabulka5">
    <w:name w:val="Plain Table 5"/>
    <w:basedOn w:val="Normlntabul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Svtltabulkasmkou1">
    <w:name w:val="Grid Table 1 Light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ulkasmkou2">
    <w:name w:val="Grid Table 2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ulkasmkou3">
    <w:name w:val="Grid Table 3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ulkasmkou4">
    <w:name w:val="Grid Table 4"/>
    <w:basedOn w:val="Normlntabulka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Normlntabulka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Normlntabulka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Normlntabulka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Normlntabulka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Normlntabulka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Normlntabulka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mavtabulkasmkou5">
    <w:name w:val="Grid Table 5 Dark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Barevntabulkasmkou6">
    <w:name w:val="Grid Table 6 Colorful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Barevntabulkasmkou7">
    <w:name w:val="Grid Table 7 Colorful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Svtltabulkaseznamu1">
    <w:name w:val="List Table 1 Light"/>
    <w:basedOn w:val="Normlntabul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Normlntabul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Normlntabul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Normlntabul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Normlntabul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Normlntabul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Normlntabulka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ulkaseznamu2">
    <w:name w:val="List Table 2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ulkaseznamu3">
    <w:name w:val="List Table 3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ulkaseznamu4">
    <w:name w:val="List Table 4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mavtabulkaseznamu5">
    <w:name w:val="List Table 5 Dark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Barevntabulkaseznamu6">
    <w:name w:val="List Table 6 Colorful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Barevntabulkaseznamu7">
    <w:name w:val="List Table 7 Colorful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Normlntabulka"/>
    <w:uiPriority w:val="99"/>
    <w:pPr>
      <w:spacing w:after="0" w:line="240" w:lineRule="auto"/>
    </w:pPr>
    <w:rPr>
      <w:color w:val="404040"/>
      <w:sz w:val="20"/>
      <w:szCs w:val="20"/>
      <w:lang w:eastAsia="cs-CZ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Normlntabulka"/>
    <w:uiPriority w:val="99"/>
    <w:pPr>
      <w:spacing w:after="0" w:line="240" w:lineRule="auto"/>
    </w:pPr>
    <w:rPr>
      <w:color w:val="404040"/>
      <w:sz w:val="20"/>
      <w:szCs w:val="20"/>
      <w:lang w:eastAsia="cs-CZ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Normlntabulka"/>
    <w:uiPriority w:val="99"/>
    <w:pPr>
      <w:spacing w:after="0" w:line="240" w:lineRule="auto"/>
    </w:pPr>
    <w:rPr>
      <w:color w:val="404040"/>
      <w:sz w:val="20"/>
      <w:szCs w:val="20"/>
      <w:lang w:eastAsia="cs-CZ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Normlntabulka"/>
    <w:uiPriority w:val="99"/>
    <w:pPr>
      <w:spacing w:after="0" w:line="240" w:lineRule="auto"/>
    </w:pPr>
    <w:rPr>
      <w:color w:val="404040"/>
      <w:sz w:val="20"/>
      <w:szCs w:val="20"/>
      <w:lang w:eastAsia="cs-CZ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Normlntabulka"/>
    <w:uiPriority w:val="99"/>
    <w:pPr>
      <w:spacing w:after="0" w:line="240" w:lineRule="auto"/>
    </w:pPr>
    <w:rPr>
      <w:color w:val="404040"/>
      <w:sz w:val="20"/>
      <w:szCs w:val="20"/>
      <w:lang w:eastAsia="cs-CZ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Normlntabulka"/>
    <w:uiPriority w:val="99"/>
    <w:pPr>
      <w:spacing w:after="0" w:line="240" w:lineRule="auto"/>
    </w:pPr>
    <w:rPr>
      <w:color w:val="404040"/>
      <w:sz w:val="20"/>
      <w:szCs w:val="20"/>
      <w:lang w:eastAsia="cs-CZ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Normlntabulka"/>
    <w:uiPriority w:val="99"/>
    <w:pPr>
      <w:spacing w:after="0" w:line="240" w:lineRule="auto"/>
    </w:pPr>
    <w:rPr>
      <w:color w:val="404040"/>
      <w:sz w:val="20"/>
      <w:szCs w:val="20"/>
      <w:lang w:eastAsia="cs-CZ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Normlntabulka"/>
    <w:uiPriority w:val="99"/>
    <w:pPr>
      <w:spacing w:after="0" w:line="240" w:lineRule="auto"/>
    </w:pPr>
    <w:rPr>
      <w:color w:val="404040"/>
      <w:sz w:val="20"/>
      <w:szCs w:val="20"/>
      <w:lang w:eastAsia="cs-CZ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Normlntabulka"/>
    <w:uiPriority w:val="99"/>
    <w:pPr>
      <w:spacing w:after="0" w:line="240" w:lineRule="auto"/>
    </w:pPr>
    <w:rPr>
      <w:color w:val="404040"/>
      <w:sz w:val="20"/>
      <w:szCs w:val="20"/>
      <w:lang w:eastAsia="cs-CZ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Normlntabulka"/>
    <w:uiPriority w:val="99"/>
    <w:pPr>
      <w:spacing w:after="0" w:line="240" w:lineRule="auto"/>
    </w:pPr>
    <w:rPr>
      <w:color w:val="404040"/>
      <w:sz w:val="20"/>
      <w:szCs w:val="20"/>
      <w:lang w:eastAsia="cs-CZ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Normlntabulka"/>
    <w:uiPriority w:val="99"/>
    <w:pPr>
      <w:spacing w:after="0" w:line="240" w:lineRule="auto"/>
    </w:pPr>
    <w:rPr>
      <w:color w:val="404040"/>
      <w:sz w:val="20"/>
      <w:szCs w:val="20"/>
      <w:lang w:eastAsia="cs-CZ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Normlntabulka"/>
    <w:uiPriority w:val="99"/>
    <w:pPr>
      <w:spacing w:after="0" w:line="240" w:lineRule="auto"/>
    </w:pPr>
    <w:rPr>
      <w:color w:val="404040"/>
      <w:sz w:val="20"/>
      <w:szCs w:val="20"/>
      <w:lang w:eastAsia="cs-CZ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Normlntabulka"/>
    <w:uiPriority w:val="99"/>
    <w:pPr>
      <w:spacing w:after="0" w:line="240" w:lineRule="auto"/>
    </w:pPr>
    <w:rPr>
      <w:color w:val="404040"/>
      <w:sz w:val="20"/>
      <w:szCs w:val="20"/>
      <w:lang w:eastAsia="cs-CZ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Normlntabulka"/>
    <w:uiPriority w:val="99"/>
    <w:pPr>
      <w:spacing w:after="0" w:line="240" w:lineRule="auto"/>
    </w:pPr>
    <w:rPr>
      <w:color w:val="404040"/>
      <w:sz w:val="20"/>
      <w:szCs w:val="20"/>
      <w:lang w:eastAsia="cs-CZ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Normlntabulka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Textpoznpodarou">
    <w:name w:val="footnote text"/>
    <w:basedOn w:val="Normln"/>
    <w:link w:val="Textpoznpodarou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poznpodarouChar">
    <w:name w:val="Text pozn. pod čarou Char"/>
    <w:link w:val="Textpoznpodarou"/>
    <w:uiPriority w:val="99"/>
    <w:rPr>
      <w:sz w:val="18"/>
    </w:rPr>
  </w:style>
  <w:style w:type="character" w:styleId="Znakapoznpodarou">
    <w:name w:val="footnote reference"/>
    <w:basedOn w:val="Standardnpsmoodstavce"/>
    <w:uiPriority w:val="99"/>
    <w:unhideWhenUsed/>
    <w:rPr>
      <w:vertAlign w:val="superscript"/>
    </w:rPr>
  </w:style>
  <w:style w:type="paragraph" w:styleId="Textvysvtlivek">
    <w:name w:val="endnote text"/>
    <w:basedOn w:val="Normln"/>
    <w:link w:val="Textvysvtlivek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extvysvtlivekChar">
    <w:name w:val="Text vysvětlivek Char"/>
    <w:link w:val="Textvysvtlivek"/>
    <w:uiPriority w:val="99"/>
    <w:rPr>
      <w:sz w:val="20"/>
    </w:rPr>
  </w:style>
  <w:style w:type="character" w:styleId="Odkaznavysvtlivky">
    <w:name w:val="endnote reference"/>
    <w:basedOn w:val="Standardnpsmoodstavce"/>
    <w:uiPriority w:val="99"/>
    <w:semiHidden/>
    <w:unhideWhenUsed/>
    <w:rPr>
      <w:vertAlign w:val="superscript"/>
    </w:rPr>
  </w:style>
  <w:style w:type="paragraph" w:styleId="Obsah1">
    <w:name w:val="toc 1"/>
    <w:basedOn w:val="Normln"/>
    <w:next w:val="Normln"/>
    <w:uiPriority w:val="39"/>
    <w:unhideWhenUsed/>
    <w:pPr>
      <w:spacing w:after="57"/>
    </w:pPr>
  </w:style>
  <w:style w:type="paragraph" w:styleId="Obsah2">
    <w:name w:val="toc 2"/>
    <w:basedOn w:val="Normln"/>
    <w:next w:val="Normln"/>
    <w:uiPriority w:val="39"/>
    <w:unhideWhenUsed/>
    <w:pPr>
      <w:spacing w:after="57"/>
      <w:ind w:left="283"/>
    </w:pPr>
  </w:style>
  <w:style w:type="paragraph" w:styleId="Obsah3">
    <w:name w:val="toc 3"/>
    <w:basedOn w:val="Normln"/>
    <w:next w:val="Normln"/>
    <w:uiPriority w:val="39"/>
    <w:unhideWhenUsed/>
    <w:pPr>
      <w:spacing w:after="57"/>
      <w:ind w:left="567"/>
    </w:pPr>
  </w:style>
  <w:style w:type="paragraph" w:styleId="Obsah4">
    <w:name w:val="toc 4"/>
    <w:basedOn w:val="Normln"/>
    <w:next w:val="Normln"/>
    <w:uiPriority w:val="39"/>
    <w:unhideWhenUsed/>
    <w:pPr>
      <w:spacing w:after="57"/>
      <w:ind w:left="850"/>
    </w:pPr>
  </w:style>
  <w:style w:type="paragraph" w:styleId="Obsah5">
    <w:name w:val="toc 5"/>
    <w:basedOn w:val="Normln"/>
    <w:next w:val="Normln"/>
    <w:uiPriority w:val="39"/>
    <w:unhideWhenUsed/>
    <w:pPr>
      <w:spacing w:after="57"/>
      <w:ind w:left="1134"/>
    </w:pPr>
  </w:style>
  <w:style w:type="paragraph" w:styleId="Obsah6">
    <w:name w:val="toc 6"/>
    <w:basedOn w:val="Normln"/>
    <w:next w:val="Normln"/>
    <w:uiPriority w:val="39"/>
    <w:unhideWhenUsed/>
    <w:pPr>
      <w:spacing w:after="57"/>
      <w:ind w:left="1417"/>
    </w:pPr>
  </w:style>
  <w:style w:type="paragraph" w:styleId="Obsah7">
    <w:name w:val="toc 7"/>
    <w:basedOn w:val="Normln"/>
    <w:next w:val="Normln"/>
    <w:uiPriority w:val="39"/>
    <w:unhideWhenUsed/>
    <w:pPr>
      <w:spacing w:after="57"/>
      <w:ind w:left="1701"/>
    </w:pPr>
  </w:style>
  <w:style w:type="paragraph" w:styleId="Obsah8">
    <w:name w:val="toc 8"/>
    <w:basedOn w:val="Normln"/>
    <w:next w:val="Normln"/>
    <w:uiPriority w:val="39"/>
    <w:unhideWhenUsed/>
    <w:pPr>
      <w:spacing w:after="57"/>
      <w:ind w:left="1984"/>
    </w:pPr>
  </w:style>
  <w:style w:type="paragraph" w:styleId="Obsah9">
    <w:name w:val="toc 9"/>
    <w:basedOn w:val="Normln"/>
    <w:next w:val="Normln"/>
    <w:uiPriority w:val="39"/>
    <w:unhideWhenUsed/>
    <w:pPr>
      <w:spacing w:after="57"/>
      <w:ind w:left="2268"/>
    </w:pPr>
  </w:style>
  <w:style w:type="paragraph" w:styleId="Nadpisobsahu">
    <w:name w:val="TOC Heading"/>
    <w:uiPriority w:val="39"/>
    <w:unhideWhenUsed/>
  </w:style>
  <w:style w:type="paragraph" w:styleId="Seznamobrzk">
    <w:name w:val="table of figures"/>
    <w:basedOn w:val="Normln"/>
    <w:next w:val="Normln"/>
    <w:uiPriority w:val="99"/>
    <w:unhideWhenUsed/>
    <w:pPr>
      <w:spacing w:after="0"/>
    </w:pPr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styleId="Zhlav">
    <w:name w:val="header"/>
    <w:basedOn w:val="Normln"/>
    <w:link w:val="Zhlav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</w:style>
  <w:style w:type="paragraph" w:styleId="Zpat">
    <w:name w:val="footer"/>
    <w:basedOn w:val="Normln"/>
    <w:link w:val="Zpat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</w:style>
  <w:style w:type="paragraph" w:styleId="Textbubliny">
    <w:name w:val="Balloon Text"/>
    <w:basedOn w:val="Normln"/>
    <w:link w:val="Textbubliny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Pr>
      <w:rFonts w:ascii="Segoe UI" w:hAnsi="Segoe UI" w:cs="Segoe UI"/>
      <w:sz w:val="18"/>
      <w:szCs w:val="18"/>
    </w:rPr>
  </w:style>
  <w:style w:type="paragraph" w:styleId="Odstavecseseznamem">
    <w:name w:val="List Paragraph"/>
    <w:basedOn w:val="Normln"/>
    <w:uiPriority w:val="34"/>
    <w:qFormat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Pr>
      <w:color w:val="605E5C"/>
      <w:shd w:val="clear" w:color="auto" w:fill="E1DFDD"/>
    </w:rPr>
  </w:style>
  <w:style w:type="paragraph" w:styleId="Titulek">
    <w:name w:val="caption"/>
    <w:basedOn w:val="Normln"/>
    <w:next w:val="Normln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Pr>
      <w:rFonts w:ascii="Times New Roman" w:eastAsia="Times New Roman" w:hAnsi="Times New Roman" w:cs="Times New Roman"/>
      <w:b/>
      <w:bCs/>
      <w:sz w:val="36"/>
      <w:szCs w:val="36"/>
      <w:lang w:eastAsia="cs-CZ"/>
    </w:rPr>
  </w:style>
  <w:style w:type="character" w:styleId="Odkaznakoment">
    <w:name w:val="annotation reference"/>
    <w:basedOn w:val="Standardnpsmoodstavce"/>
    <w:uiPriority w:val="99"/>
    <w:semiHidden/>
    <w:unhideWhenUsed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130.emf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33" Type="http://schemas.openxmlformats.org/officeDocument/2006/relationships/image" Target="media/image9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32" Type="http://schemas.openxmlformats.org/officeDocument/2006/relationships/image" Target="media/image1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36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14" Type="http://schemas.openxmlformats.org/officeDocument/2006/relationships/image" Target="media/image30.png"/><Relationship Id="rId22" Type="http://schemas.openxmlformats.org/officeDocument/2006/relationships/image" Target="media/image70.emf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0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
</file>

<file path=customXml/itemProps1.xml><?xml version="1.0" encoding="utf-8"?>
<ds:datastoreItem xmlns:ds="http://schemas.openxmlformats.org/officeDocument/2006/customXml" ds:itemID="{1BCD1009-1A6D-4EBD-82AA-AD7077F0AAF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957</Words>
  <Characters>5653</Characters>
  <Application>Microsoft Office Word</Application>
  <DocSecurity>0</DocSecurity>
  <Lines>47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CETIN</Company>
  <LinksUpToDate>false</LinksUpToDate>
  <CharactersWithSpaces>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Schwarz Rostislav</dc:creator>
  <cp:keywords/>
  <dc:description/>
  <cp:lastModifiedBy>Jan Grygar</cp:lastModifiedBy>
  <cp:revision>11</cp:revision>
  <dcterms:created xsi:type="dcterms:W3CDTF">2022-09-23T18:53:00Z</dcterms:created>
  <dcterms:modified xsi:type="dcterms:W3CDTF">2023-04-20T19:49:00Z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a81b7f3-76d5-4bc1-abe7-45a9e5906009_Enabled">
    <vt:lpwstr>true</vt:lpwstr>
  </property>
  <property fmtid="{D5CDD505-2E9C-101B-9397-08002B2CF9AE}" pid="3" name="MSIP_Label_ba81b7f3-76d5-4bc1-abe7-45a9e5906009_SetDate">
    <vt:lpwstr>2022-08-11T13:09:48Z</vt:lpwstr>
  </property>
  <property fmtid="{D5CDD505-2E9C-101B-9397-08002B2CF9AE}" pid="4" name="MSIP_Label_ba81b7f3-76d5-4bc1-abe7-45a9e5906009_Method">
    <vt:lpwstr>Standard</vt:lpwstr>
  </property>
  <property fmtid="{D5CDD505-2E9C-101B-9397-08002B2CF9AE}" pid="5" name="MSIP_Label_ba81b7f3-76d5-4bc1-abe7-45a9e5906009_Name">
    <vt:lpwstr>Company INTERNAL</vt:lpwstr>
  </property>
  <property fmtid="{D5CDD505-2E9C-101B-9397-08002B2CF9AE}" pid="6" name="MSIP_Label_ba81b7f3-76d5-4bc1-abe7-45a9e5906009_SiteId">
    <vt:lpwstr>5d1297a0-4793-467b-b782-9ddf79faa41f</vt:lpwstr>
  </property>
  <property fmtid="{D5CDD505-2E9C-101B-9397-08002B2CF9AE}" pid="7" name="MSIP_Label_ba81b7f3-76d5-4bc1-abe7-45a9e5906009_ActionId">
    <vt:lpwstr>8eefab30-49d2-42c6-80bd-a8841154f074</vt:lpwstr>
  </property>
  <property fmtid="{D5CDD505-2E9C-101B-9397-08002B2CF9AE}" pid="8" name="MSIP_Label_ba81b7f3-76d5-4bc1-abe7-45a9e5906009_ContentBits">
    <vt:lpwstr>1</vt:lpwstr>
  </property>
</Properties>
</file>