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D6696">
      <w:pPr>
        <w:spacing w:before="0" w:after="240" w:line="288" w:lineRule="auto"/>
        <w:jc w:val="center"/>
      </w:pPr>
      <w:r>
        <w:rPr>
          <w:rFonts w:ascii="Times New Roman" w:hAnsi="Times New Roman" w:eastAsia="微软雅黑"/>
          <w:b/>
          <w:color w:val="1F4E79"/>
          <w:sz w:val="40"/>
        </w:rPr>
        <w:t>火灾热释放速率深度学习预测系统</w:t>
      </w:r>
      <w:r>
        <w:rPr>
          <w:rFonts w:ascii="Times New Roman" w:hAnsi="Times New Roman" w:eastAsia="微软雅黑"/>
          <w:b/>
          <w:color w:val="1F4E79"/>
          <w:sz w:val="40"/>
        </w:rPr>
        <w:br w:type="textWrapping"/>
      </w:r>
      <w:r>
        <w:rPr>
          <w:rFonts w:ascii="Times New Roman" w:hAnsi="Times New Roman" w:eastAsia="微软雅黑"/>
          <w:b/>
          <w:color w:val="1F4E79"/>
          <w:sz w:val="40"/>
        </w:rPr>
        <w:t>论文写作说明文档</w:t>
      </w:r>
    </w:p>
    <w:p w14:paraId="726EFCEB">
      <w:pPr>
        <w:spacing w:before="0" w:after="240" w:line="288" w:lineRule="auto"/>
        <w:jc w:val="center"/>
      </w:pPr>
      <w:r>
        <w:rPr>
          <w:rFonts w:ascii="Times New Roman" w:hAnsi="Times New Roman" w:eastAsia="微软雅黑"/>
          <w:b w:val="0"/>
          <w:color w:val="4F81BD"/>
          <w:sz w:val="22"/>
        </w:rPr>
        <w:t>——基于 fire_hrr_deep_learning_improved.py 与 model_evaluation_visualization.py 的方法说明、结果分析与论文表述——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2E2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CE6F1"/>
            <w:tcMar>
              <w:top w:w="120" w:type="dxa"/>
              <w:left w:w="120" w:type="dxa"/>
              <w:bottom w:w="120" w:type="dxa"/>
              <w:right w:w="120" w:type="dxa"/>
            </w:tcMar>
            <w:vAlign w:val="center"/>
          </w:tcPr>
          <w:p w14:paraId="6E8F6EDC">
            <w:pPr>
              <w:spacing w:after="40" w:line="312" w:lineRule="auto"/>
            </w:pPr>
            <w:r>
              <w:rPr>
                <w:rFonts w:ascii="Times New Roman" w:hAnsi="Times New Roman" w:eastAsia="宋体"/>
                <w:b w:val="0"/>
                <w:sz w:val="21"/>
              </w:rPr>
              <w:t>文档用途</w:t>
            </w:r>
          </w:p>
        </w:tc>
        <w:tc>
          <w:tcPr>
            <w:tcW w:w="4816" w:type="dxa"/>
            <w:tcMar>
              <w:top w:w="120" w:type="dxa"/>
              <w:left w:w="120" w:type="dxa"/>
              <w:bottom w:w="120" w:type="dxa"/>
              <w:right w:w="120" w:type="dxa"/>
            </w:tcMar>
            <w:vAlign w:val="center"/>
          </w:tcPr>
          <w:p w14:paraId="4375EBD9">
            <w:pPr>
              <w:spacing w:after="40" w:line="312" w:lineRule="auto"/>
            </w:pPr>
            <w:r>
              <w:rPr>
                <w:rFonts w:ascii="Times New Roman" w:hAnsi="Times New Roman" w:eastAsia="宋体"/>
                <w:b w:val="0"/>
                <w:sz w:val="21"/>
              </w:rPr>
              <w:t>用于论文中“模型构建与实验分析”章节的撰写，可直接作为方法说明、实验设置说明与结果分析参考稿。</w:t>
            </w:r>
          </w:p>
        </w:tc>
      </w:tr>
      <w:tr w14:paraId="455F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CE6F1"/>
            <w:tcMar>
              <w:top w:w="120" w:type="dxa"/>
              <w:left w:w="120" w:type="dxa"/>
              <w:bottom w:w="120" w:type="dxa"/>
              <w:right w:w="120" w:type="dxa"/>
            </w:tcMar>
            <w:vAlign w:val="center"/>
          </w:tcPr>
          <w:p w14:paraId="786D6650">
            <w:pPr>
              <w:spacing w:after="40" w:line="312" w:lineRule="auto"/>
            </w:pPr>
            <w:r>
              <w:rPr>
                <w:rFonts w:ascii="Times New Roman" w:hAnsi="Times New Roman" w:eastAsia="宋体"/>
                <w:b w:val="0"/>
                <w:sz w:val="21"/>
              </w:rPr>
              <w:t>对应脚本</w:t>
            </w:r>
          </w:p>
        </w:tc>
        <w:tc>
          <w:tcPr>
            <w:tcW w:w="4816" w:type="dxa"/>
            <w:tcMar>
              <w:top w:w="120" w:type="dxa"/>
              <w:left w:w="120" w:type="dxa"/>
              <w:bottom w:w="120" w:type="dxa"/>
              <w:right w:w="120" w:type="dxa"/>
            </w:tcMar>
            <w:vAlign w:val="center"/>
          </w:tcPr>
          <w:p w14:paraId="7CA89A96">
            <w:pPr>
              <w:spacing w:after="40" w:line="312" w:lineRule="auto"/>
            </w:pPr>
            <w:r>
              <w:rPr>
                <w:rFonts w:ascii="Times New Roman" w:hAnsi="Times New Roman" w:eastAsia="宋体"/>
                <w:b w:val="0"/>
                <w:sz w:val="21"/>
              </w:rPr>
              <w:t>fire_hrr_deep_learning_improved.py；model_evaluation_visualization.py</w:t>
            </w:r>
          </w:p>
        </w:tc>
      </w:tr>
      <w:tr w14:paraId="5777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CE6F1"/>
            <w:tcMar>
              <w:top w:w="120" w:type="dxa"/>
              <w:left w:w="120" w:type="dxa"/>
              <w:bottom w:w="120" w:type="dxa"/>
              <w:right w:w="120" w:type="dxa"/>
            </w:tcMar>
            <w:vAlign w:val="center"/>
          </w:tcPr>
          <w:p w14:paraId="35F28242">
            <w:pPr>
              <w:spacing w:after="40" w:line="312" w:lineRule="auto"/>
            </w:pPr>
            <w:r>
              <w:rPr>
                <w:rFonts w:ascii="Times New Roman" w:hAnsi="Times New Roman" w:eastAsia="宋体"/>
                <w:b w:val="0"/>
                <w:sz w:val="21"/>
              </w:rPr>
              <w:t>核心任务</w:t>
            </w:r>
          </w:p>
        </w:tc>
        <w:tc>
          <w:tcPr>
            <w:tcW w:w="4816" w:type="dxa"/>
            <w:tcMar>
              <w:top w:w="120" w:type="dxa"/>
              <w:left w:w="120" w:type="dxa"/>
              <w:bottom w:w="120" w:type="dxa"/>
              <w:right w:w="120" w:type="dxa"/>
            </w:tcMar>
            <w:vAlign w:val="center"/>
          </w:tcPr>
          <w:p w14:paraId="6AD88D25">
            <w:pPr>
              <w:spacing w:after="40" w:line="312" w:lineRule="auto"/>
            </w:pPr>
            <w:r>
              <w:rPr>
                <w:rFonts w:ascii="Times New Roman" w:hAnsi="Times New Roman" w:eastAsia="宋体"/>
                <w:b w:val="0"/>
                <w:sz w:val="21"/>
              </w:rPr>
              <w:t>在给定风向、风速与时间条件下预测火灾从起燃到熄灭全过程的热释放速率（HRR）变化曲线。</w:t>
            </w:r>
          </w:p>
        </w:tc>
      </w:tr>
      <w:tr w14:paraId="2082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CE6F1"/>
            <w:tcMar>
              <w:top w:w="120" w:type="dxa"/>
              <w:left w:w="120" w:type="dxa"/>
              <w:bottom w:w="120" w:type="dxa"/>
              <w:right w:w="120" w:type="dxa"/>
            </w:tcMar>
            <w:vAlign w:val="center"/>
          </w:tcPr>
          <w:p w14:paraId="0B5DABD5">
            <w:pPr>
              <w:spacing w:after="40" w:line="312" w:lineRule="auto"/>
            </w:pPr>
            <w:r>
              <w:rPr>
                <w:rFonts w:ascii="Times New Roman" w:hAnsi="Times New Roman" w:eastAsia="宋体"/>
                <w:b w:val="0"/>
                <w:sz w:val="21"/>
              </w:rPr>
              <w:t>当前测试结果</w:t>
            </w:r>
          </w:p>
        </w:tc>
        <w:tc>
          <w:tcPr>
            <w:tcW w:w="4816" w:type="dxa"/>
            <w:tcMar>
              <w:top w:w="120" w:type="dxa"/>
              <w:left w:w="120" w:type="dxa"/>
              <w:bottom w:w="120" w:type="dxa"/>
              <w:right w:w="120" w:type="dxa"/>
            </w:tcMar>
            <w:vAlign w:val="center"/>
          </w:tcPr>
          <w:p w14:paraId="66B37FE2">
            <w:pPr>
              <w:spacing w:after="40" w:line="312" w:lineRule="auto"/>
            </w:pPr>
            <w:r>
              <w:rPr>
                <w:rFonts w:ascii="Times New Roman" w:hAnsi="Times New Roman" w:eastAsia="宋体"/>
                <w:b w:val="0"/>
                <w:sz w:val="21"/>
              </w:rPr>
              <w:t>ResidualMLP：R²=0.9646，RMSE=2660.03；CNN-BiLSTM：R²=0.9400，RMSE=3463.14；AttentionLSTM：R²=0.9283，RMSE=3786.40；ImprovedTransformer：R²=0.9169，RMSE=4075.88。</w:t>
            </w:r>
          </w:p>
        </w:tc>
      </w:tr>
    </w:tbl>
    <w:p w14:paraId="6A255C0B"/>
    <w:p w14:paraId="2A12F4AB">
      <w:pPr>
        <w:jc w:val="center"/>
      </w:pPr>
      <w:r>
        <w:rPr>
          <w:rFonts w:ascii="Times New Roman" w:hAnsi="Times New Roman" w:eastAsia="微软雅黑"/>
          <w:b w:val="0"/>
          <w:color w:val="666666"/>
          <w:sz w:val="21"/>
        </w:rPr>
        <w:t>生成日期：2026年3月8日</w:t>
      </w:r>
    </w:p>
    <w:p w14:paraId="4C4F191A">
      <w:r>
        <w:br w:type="page"/>
      </w:r>
    </w:p>
    <w:p w14:paraId="5171377B">
      <w:pPr>
        <w:pStyle w:val="3"/>
        <w:spacing w:before="160" w:after="120"/>
      </w:pPr>
      <w:r>
        <w:rPr>
          <w:rFonts w:ascii="Times New Roman" w:hAnsi="Times New Roman" w:eastAsia="微软雅黑"/>
          <w:b/>
          <w:color w:val="1F4E79"/>
          <w:sz w:val="30"/>
        </w:rPr>
        <w:t>一、研究任务与文档定位</w:t>
      </w:r>
    </w:p>
    <w:p w14:paraId="13729134">
      <w:pPr>
        <w:spacing w:after="80" w:line="360" w:lineRule="auto"/>
        <w:ind w:firstLine="420"/>
      </w:pPr>
      <w:r>
        <w:rPr>
          <w:rFonts w:ascii="Times New Roman" w:hAnsi="Times New Roman" w:eastAsia="宋体"/>
          <w:b w:val="0"/>
          <w:sz w:val="24"/>
        </w:rPr>
        <w:t>本说明文档围绕用户提供的两个核心脚本展开：其一为火灾热释放速率深度学习训练脚本 fire_hrr_deep_learning_improved.py，其二为模型评估与可视化脚本 model_evaluation_visualization.py。文档的目标不是简单复述代码，而是将代码中已经实现的数据组织思想、特征工程逻辑、模型构成方式、训练超参数设置、评价指标体系、结果保存路径以及实验比较结论，系统整理为适合论文撰写的正式表述。对于论文写作而言，代码是实现载体，而本说明文档则相当于将实现逻辑上升为“研究方法”与“实验设计”的可发表文本。</w:t>
      </w:r>
    </w:p>
    <w:p w14:paraId="1A60D6A0">
      <w:pPr>
        <w:spacing w:after="80" w:line="360" w:lineRule="auto"/>
        <w:ind w:firstLine="420"/>
      </w:pPr>
      <w:r>
        <w:rPr>
          <w:rFonts w:ascii="Times New Roman" w:hAnsi="Times New Roman" w:eastAsia="宋体"/>
          <w:b w:val="0"/>
          <w:sz w:val="24"/>
        </w:rPr>
        <w:t>从任务性质看，本研究针对的是典型的小样本条件型曲线预测问题。原始数据以“风向—风速组合”为样本单位，共计 64 个独立样本，每个样本描述火灾从起燃到熄灭整个过程中的热释放速率随时间变化轨迹。研究目标是在给定风向、风速和时间条件下，预测对应时刻的热释放速率，进一步重建完整的 HRR 时间历程曲线。该问题既具有回归任务的连续值预测特征，又具有时序序列建模与条件函数逼近的双重属性，因此不能简单视为普通表格回归，也不适合直接套用重参数、大样本场景下的深层网络。</w:t>
      </w:r>
    </w:p>
    <w:p w14:paraId="190E5CFA">
      <w:pPr>
        <w:spacing w:after="80" w:line="360" w:lineRule="auto"/>
        <w:ind w:firstLine="420"/>
      </w:pPr>
      <w:r>
        <w:rPr>
          <w:rFonts w:ascii="Times New Roman" w:hAnsi="Times New Roman" w:eastAsia="宋体"/>
          <w:b w:val="0"/>
          <w:sz w:val="24"/>
        </w:rPr>
        <w:t>本研究代码体系的总体思想可以概括为三点。第一，严格以“整条曲线”为样本单位进行数据划分，避免将同一工况下的时间点拆散到训练集和测试集，从源头上规避数据泄漏。第二，通过风向周期性编码、时间特征增强、交互项设计与鲁棒归一化等方法，提升小样本条件下模型对物理规律与非线性关系的刻画能力。第三，采用轻量但具有代表性的多模型对比策略，分别构建 ResidualMLP、CNN-BiLSTM、AttentionLSTM 与 ImprovedTransformer 四类模型，在统一训练流程和统一评价指标下比较其对 HRR 曲线的拟合精度与泛化能力。</w:t>
      </w:r>
    </w:p>
    <w:p w14:paraId="433ED9D4">
      <w:pPr>
        <w:pStyle w:val="3"/>
        <w:spacing w:before="160" w:after="120"/>
      </w:pPr>
      <w:r>
        <w:rPr>
          <w:rFonts w:ascii="Times New Roman" w:hAnsi="Times New Roman" w:eastAsia="微软雅黑"/>
          <w:b/>
          <w:color w:val="1F4E79"/>
          <w:sz w:val="30"/>
        </w:rPr>
        <w:t>二、脚本整体架构与功能分工</w:t>
      </w:r>
    </w:p>
    <w:p w14:paraId="629AD251">
      <w:pPr>
        <w:spacing w:after="80" w:line="360" w:lineRule="auto"/>
        <w:ind w:firstLine="420"/>
      </w:pPr>
      <w:r>
        <w:rPr>
          <w:rFonts w:ascii="Times New Roman" w:hAnsi="Times New Roman" w:eastAsia="宋体"/>
          <w:b w:val="0"/>
          <w:sz w:val="24"/>
        </w:rPr>
        <w:t>从工程实现角度看，两个脚本形成了较为清晰的“训练—评估—可视化”闭环体系。fire_hrr_deep_learning_improved.py 主要负责模型训练阶段，包括配置管理、随机种子设定、数据加载与预处理、训练集与测试集划分、四类深度学习模型的构建、训练策略执行、模型评估与基础图表保存。该脚本承担的是实验主流程，相当于论文中的“研究方法”和“实验过程”对应代码。</w:t>
      </w:r>
    </w:p>
    <w:p w14:paraId="4B05F0CC">
      <w:pPr>
        <w:spacing w:after="80" w:line="360" w:lineRule="auto"/>
        <w:ind w:firstLine="420"/>
      </w:pPr>
      <w:r>
        <w:rPr>
          <w:rFonts w:ascii="Times New Roman" w:hAnsi="Times New Roman" w:eastAsia="宋体"/>
          <w:b w:val="0"/>
          <w:sz w:val="24"/>
        </w:rPr>
        <w:t>model_evaluation_visualization.py 则是在模型已经训练完成并得到权重文件的基础上，进一步对训练集与测试集全部样本进行统一推理，生成更丰富的评价指标、分样本可视化图、Parity Plot、残差分析图、Excel 预测明细表以及文本报告。该脚本更偏向论文中的“结果分析”和“可视化展示”环节，它不仅可以验证模型整体性能，还可以从单样本、训练测试分组和误差分布等多维度深入分析模型表现。</w:t>
      </w:r>
    </w:p>
    <w:p w14:paraId="19464A76">
      <w:pPr>
        <w:spacing w:after="80" w:line="360" w:lineRule="auto"/>
        <w:ind w:firstLine="420"/>
      </w:pPr>
      <w:r>
        <w:rPr>
          <w:rFonts w:ascii="Times New Roman" w:hAnsi="Times New Roman" w:eastAsia="宋体"/>
          <w:b w:val="0"/>
          <w:sz w:val="24"/>
        </w:rPr>
        <w:t>两者之间的耦合关系主要体现在三方面。其一，评估脚本中重新定义了与训练脚本一致的模型结构，保证保存的参数权重能够正确加载。其二，评估脚本复现了训练阶段的数据预处理方式，包括风向周期编码、时间特征构造和 RobustScaler 归一化，从而确保推理输入分布与训练输入分布一致。其三，评估脚本沿用了与训练脚本相同的随机种子和样本划分方式，使得训练集、测试集以及后续评价结果具有可重复性和可追溯性。</w:t>
      </w:r>
    </w:p>
    <w:p w14:paraId="140A5C1B">
      <w:pPr>
        <w:pStyle w:val="3"/>
        <w:spacing w:before="160" w:after="120"/>
      </w:pPr>
      <w:r>
        <w:rPr>
          <w:rFonts w:ascii="Times New Roman" w:hAnsi="Times New Roman" w:eastAsia="微软雅黑"/>
          <w:b/>
          <w:color w:val="1F4E79"/>
          <w:sz w:val="30"/>
        </w:rPr>
        <w:t>三、数据预处理方案（详细）</w:t>
      </w:r>
    </w:p>
    <w:p w14:paraId="71584280">
      <w:pPr>
        <w:pStyle w:val="4"/>
        <w:spacing w:before="80" w:after="120"/>
      </w:pPr>
      <w:r>
        <w:rPr>
          <w:rFonts w:ascii="Times New Roman" w:hAnsi="Times New Roman" w:eastAsia="微软雅黑"/>
          <w:b/>
          <w:color w:val="2F5597"/>
          <w:sz w:val="26"/>
        </w:rPr>
        <w:t>3.1 原始数据组织方式与样本定义</w:t>
      </w:r>
    </w:p>
    <w:p w14:paraId="542ADD4F">
      <w:pPr>
        <w:spacing w:after="80" w:line="360" w:lineRule="auto"/>
        <w:ind w:firstLine="420"/>
      </w:pPr>
      <w:r>
        <w:rPr>
          <w:rFonts w:ascii="Times New Roman" w:hAnsi="Times New Roman" w:eastAsia="宋体"/>
          <w:b w:val="0"/>
          <w:sz w:val="24"/>
        </w:rPr>
        <w:t>原始数据文件在脚本配置中默认命名为 data.xlsx。根据代码设计，数据表并不是按传统“长表格式”存储，而是以 64 组列块的形式并行排布，每组对应一个风向—风速工况样本。每个样本包含 4 列字段，分别是风向、风速、时间和热释放速率。训练脚本在 load_data 函数中通过遍历编号 1 至 64，依次读取风向_i、风速/m·s-1_i、时间/s_i、热释放速率/kW_i 四列，并通过 dropna 去除空值，从而将每一组列块整理为一个字典型样本。样本字典中包含 sample_id、wind_direction、wind_speed、times 和 hrr_values 五个核心键。</w:t>
      </w:r>
    </w:p>
    <w:p w14:paraId="299BC1DF">
      <w:pPr>
        <w:spacing w:after="80" w:line="360" w:lineRule="auto"/>
        <w:ind w:firstLine="420"/>
      </w:pPr>
      <w:r>
        <w:rPr>
          <w:rFonts w:ascii="Times New Roman" w:hAnsi="Times New Roman" w:eastAsia="宋体"/>
          <w:b w:val="0"/>
          <w:sz w:val="24"/>
        </w:rPr>
        <w:t>这种数据整理方式非常重要，因为它决定了后续建模与评价的基本单元是“一整条曲线”而不是“单个时间点”。在样本内部，times 与 hrr_values 一一对应，描述同一工况下从起燃到熄灭全过程的热释放速率响应。将样本定义为曲线整体，有助于维持物理过程的一致性，也使序列模型能够从曲线的局部形态、峰值结构、衰减尾部和整体演化趋势中学习规律。</w:t>
      </w:r>
    </w:p>
    <w:p w14:paraId="7F67C352">
      <w:pPr>
        <w:pStyle w:val="4"/>
        <w:spacing w:before="80" w:after="120"/>
      </w:pPr>
      <w:r>
        <w:rPr>
          <w:rFonts w:ascii="Times New Roman" w:hAnsi="Times New Roman" w:eastAsia="微软雅黑"/>
          <w:b/>
          <w:color w:val="2F5597"/>
          <w:sz w:val="26"/>
        </w:rPr>
        <w:t>3.2 训练集与测试集划分原则</w:t>
      </w:r>
    </w:p>
    <w:p w14:paraId="34EDC4EC">
      <w:pPr>
        <w:spacing w:after="80" w:line="360" w:lineRule="auto"/>
        <w:ind w:firstLine="420"/>
      </w:pPr>
      <w:r>
        <w:rPr>
          <w:rFonts w:ascii="Times New Roman" w:hAnsi="Times New Roman" w:eastAsia="宋体"/>
          <w:b w:val="0"/>
          <w:sz w:val="24"/>
        </w:rPr>
        <w:t>本研究在数据划分上遵循严格的样本级划分原则。代码通过 split_samples 函数首先生成样本索引列表，再调用 train_test_split 按 test_ratio=0.2 将 64 个样本划分为训练样本与测试样本。按照默认设置，约 80% 的样本用于训练，约 20% 的样本用于测试。这里需要特别强调，划分发生在样本层面而不是时间点层面，即同一个风向—风速工况下的所有时间点必须整体进入训练集或整体进入测试集，不能部分用于训练、部分用于测试。</w:t>
      </w:r>
    </w:p>
    <w:p w14:paraId="047CD526">
      <w:pPr>
        <w:spacing w:after="80" w:line="360" w:lineRule="auto"/>
        <w:ind w:firstLine="420"/>
      </w:pPr>
      <w:r>
        <w:rPr>
          <w:rFonts w:ascii="Times New Roman" w:hAnsi="Times New Roman" w:eastAsia="宋体"/>
          <w:b w:val="0"/>
          <w:sz w:val="24"/>
        </w:rPr>
        <w:t>这一约束对于论文写作与方法严谨性至关重要。如果将同一条 HRR 曲线中的不同时间点随机拆散，训练集就会提前“见过”测试曲线的一部分信息，导致模型能够利用同工况内部的强相关性获得虚高的测试指标。该结果并不代表模型具备对未见工况的真实泛化能力。当前代码严格采用整样本划分，因此测试集更能反映模型面对新工况时的预测表现，这也是后续比较四类模型优劣的前提。</w:t>
      </w:r>
    </w:p>
    <w:p w14:paraId="486BEC30">
      <w:pPr>
        <w:pStyle w:val="4"/>
        <w:spacing w:before="80" w:after="120"/>
      </w:pPr>
      <w:r>
        <w:rPr>
          <w:rFonts w:ascii="Times New Roman" w:hAnsi="Times New Roman" w:eastAsia="微软雅黑"/>
          <w:b/>
          <w:color w:val="2F5597"/>
          <w:sz w:val="26"/>
        </w:rPr>
        <w:t>3.3 风向特征编码：周期性表示</w:t>
      </w:r>
    </w:p>
    <w:p w14:paraId="519736BB">
      <w:pPr>
        <w:spacing w:after="80" w:line="360" w:lineRule="auto"/>
        <w:ind w:firstLine="420"/>
      </w:pPr>
      <w:r>
        <w:rPr>
          <w:rFonts w:ascii="Times New Roman" w:hAnsi="Times New Roman" w:eastAsia="宋体"/>
          <w:b w:val="0"/>
          <w:sz w:val="24"/>
        </w:rPr>
        <w:t>风向是本任务中的关键条件变量之一。与普通类别变量不同，风向具有天然的周期性与方向连续性。例如“东”和“东北”在物理意义上比“东”和“西”更接近。如果采用简单的标签编码或普通独热编码，模型难以显式感知这种圆周连续关系。为此，训练脚本中并未直接使用类别编号，而是采用了基于角度的周期性编码方式。</w:t>
      </w:r>
    </w:p>
    <w:p w14:paraId="0CAA14A6">
      <w:pPr>
        <w:spacing w:after="80" w:line="360" w:lineRule="auto"/>
        <w:ind w:firstLine="420"/>
      </w:pPr>
      <w:r>
        <w:rPr>
          <w:rFonts w:ascii="Times New Roman" w:hAnsi="Times New Roman" w:eastAsia="宋体"/>
          <w:b w:val="0"/>
          <w:sz w:val="24"/>
        </w:rPr>
        <w:t>具体来说，脚本首先定义风向角度映射：东为 0°，东北为 45°，北为 90°，西北为 135°，西为 180°，西南为 225°，南为 270°，东南为 315°。随后在 encode_wind_direction_cyclic 函数中，将角度映射到单位圆上的 sin 和 cos 两个分量，即以二维向量 [sin(theta), cos(theta)] 表示风向。这样得到的编码同时具备以下优点：第一，风向接近时编码距离较近，符合物理直觉；第二，周期性边界自然闭合，不会出现 0° 与 315° 在数值上“距离很远”的问题；第三，仅用两维即可表达 8 个方向，降低了输入维度并减轻小样本条件下的参数压力。</w:t>
      </w:r>
    </w:p>
    <w:p w14:paraId="28FB34E1">
      <w:pPr>
        <w:pStyle w:val="4"/>
        <w:spacing w:before="80" w:after="120"/>
      </w:pPr>
      <w:r>
        <w:rPr>
          <w:rFonts w:ascii="Times New Roman" w:hAnsi="Times New Roman" w:eastAsia="微软雅黑"/>
          <w:b/>
          <w:color w:val="2F5597"/>
          <w:sz w:val="26"/>
        </w:rPr>
        <w:t>3.4 时间特征工程设计</w:t>
      </w:r>
    </w:p>
    <w:p w14:paraId="74F16353">
      <w:pPr>
        <w:spacing w:after="80" w:line="360" w:lineRule="auto"/>
        <w:ind w:firstLine="420"/>
      </w:pPr>
      <w:r>
        <w:rPr>
          <w:rFonts w:ascii="Times New Roman" w:hAnsi="Times New Roman" w:eastAsia="宋体"/>
          <w:b w:val="0"/>
          <w:sz w:val="24"/>
        </w:rPr>
        <w:t>时间是 HRR 曲线预测中的另一个核心自变量。若直接将时间作为单一实数输入，模型只能从线性尺度上感知时间推进，但难以充分表达曲线中的非线性阶段特征。为增强模型对点燃期、增长期、峰值期、衰减期等不同阶段的识别能力，代码中专门设计了 create_time_features 函数，对原始时间进行多维特征扩展。</w:t>
      </w:r>
    </w:p>
    <w:p w14:paraId="56F217C1">
      <w:pPr>
        <w:spacing w:after="80" w:line="360" w:lineRule="auto"/>
        <w:ind w:firstLine="420"/>
      </w:pPr>
      <w:r>
        <w:rPr>
          <w:rFonts w:ascii="Times New Roman" w:hAnsi="Times New Roman" w:eastAsia="宋体"/>
          <w:b w:val="0"/>
          <w:sz w:val="24"/>
        </w:rPr>
        <w:t>该函数生成的时间特征共四维。第一维为归一化时间 t_norm，即当前时刻与全局最大时间 max_time 的比值，用于统一不同样本时间尺度。第二维为 t_norm 的平方项，用于增强模型对非线性增长或衰减趋势的拟合能力。第三、第四维分别为 sin(2πt_norm) 与 cos(2πt_norm)，其作用并非假定 HRR 曲线本身严格周期，而是利用三角基函数丰富时间表示，使模型更容易逼近复杂曲线形态。对于小样本问题，这种低成本的手工特征增强往往比盲目堆叠更深网络更有效。</w:t>
      </w:r>
    </w:p>
    <w:p w14:paraId="35E03852">
      <w:pPr>
        <w:pStyle w:val="4"/>
        <w:spacing w:before="80" w:after="120"/>
      </w:pPr>
      <w:r>
        <w:rPr>
          <w:rFonts w:ascii="Times New Roman" w:hAnsi="Times New Roman" w:eastAsia="微软雅黑"/>
          <w:b/>
          <w:color w:val="2F5597"/>
          <w:sz w:val="26"/>
        </w:rPr>
        <w:t>3.5 风速特征与交互项构造</w:t>
      </w:r>
    </w:p>
    <w:p w14:paraId="5BA5548E">
      <w:pPr>
        <w:spacing w:after="80" w:line="360" w:lineRule="auto"/>
        <w:ind w:firstLine="420"/>
      </w:pPr>
      <w:r>
        <w:rPr>
          <w:rFonts w:ascii="Times New Roman" w:hAnsi="Times New Roman" w:eastAsia="宋体"/>
          <w:b w:val="0"/>
          <w:sz w:val="24"/>
        </w:rPr>
        <w:t>风速在火灾热释放速率演化过程中具有直接影响，不同风速会改变火焰供氧条件、对流传热方式和燃烧发展节律。代码中将风速视为连续变量，并在拟合归一化器后使用 RobustScaler 进行缩放。除此之外，训练脚本还显式构造了一个风速与时间的交互项 interaction，其定义为风速归一化值乘以归一化时间。</w:t>
      </w:r>
    </w:p>
    <w:p w14:paraId="02DCDA09">
      <w:pPr>
        <w:spacing w:after="80" w:line="360" w:lineRule="auto"/>
        <w:ind w:firstLine="420"/>
      </w:pPr>
      <w:r>
        <w:rPr>
          <w:rFonts w:ascii="Times New Roman" w:hAnsi="Times New Roman" w:eastAsia="宋体"/>
          <w:b w:val="0"/>
          <w:sz w:val="24"/>
        </w:rPr>
        <w:t>这一交互项具有明确的物理启发意义。因为风速对于 HRR 的影响通常不会在整个燃烧过程中保持恒定，而是随着燃烧阶段推进而发生变化。通过将风速与时间耦合，模型能够学习“风速影响随时间发展而增强或减弱”的规律。对于小样本数据集，显式提供这一交互信息有助于减轻网络从有限数据中自动发现复杂交互关系的负担。</w:t>
      </w:r>
    </w:p>
    <w:p w14:paraId="10CCEB80">
      <w:pPr>
        <w:pStyle w:val="4"/>
        <w:spacing w:before="80" w:after="120"/>
      </w:pPr>
      <w:r>
        <w:rPr>
          <w:rFonts w:ascii="Times New Roman" w:hAnsi="Times New Roman" w:eastAsia="微软雅黑"/>
          <w:b/>
          <w:color w:val="2F5597"/>
          <w:sz w:val="26"/>
        </w:rPr>
        <w:t>3.6 鲁棒归一化策略</w:t>
      </w:r>
    </w:p>
    <w:p w14:paraId="04F7C889">
      <w:pPr>
        <w:spacing w:after="80" w:line="360" w:lineRule="auto"/>
        <w:ind w:firstLine="420"/>
      </w:pPr>
      <w:r>
        <w:rPr>
          <w:rFonts w:ascii="Times New Roman" w:hAnsi="Times New Roman" w:eastAsia="宋体"/>
          <w:b w:val="0"/>
          <w:sz w:val="24"/>
        </w:rPr>
        <w:t>在深度学习训练中，特征尺度差异过大容易导致梯度不稳定、收敛变慢甚至模型偏置。脚本中没有使用最常见的 Min-Max 标准化，而是采用 RobustScaler 分别对风速、时间和 HRR 进行拟合与变换。RobustScaler 基于中位数和四分位距进行缩放，对异常值或极端峰值不那么敏感，尤其适合包含高峰脉冲、尾部稀疏点和分布偏态的火灾实验数据。</w:t>
      </w:r>
    </w:p>
    <w:p w14:paraId="531855D3">
      <w:pPr>
        <w:spacing w:after="80" w:line="360" w:lineRule="auto"/>
        <w:ind w:firstLine="420"/>
      </w:pPr>
      <w:r>
        <w:rPr>
          <w:rFonts w:ascii="Times New Roman" w:hAnsi="Times New Roman" w:eastAsia="宋体"/>
          <w:b w:val="0"/>
          <w:sz w:val="24"/>
        </w:rPr>
        <w:t>在实际燃烧过程中，热释放速率常常在某个时段出现显著峰值，并伴随长尾衰减，这会使数据分布偏离对称分布。若简单采用均值和标准差归一化，少数极值点可能对缩放参数产生较强影响。而 RobustScaler 的使用，使得特征空间分布更稳健，更有利于小批量训练、混合损失优化以及不同模型间的公平比较。需要指出的是，所有归一化器均只在训练样本上拟合，再用于测试样本变换，这一流程符合机器学习实验规范，也避免了测试信息泄漏。</w:t>
      </w:r>
    </w:p>
    <w:p w14:paraId="46D71B4F">
      <w:pPr>
        <w:pStyle w:val="4"/>
        <w:spacing w:before="80" w:after="120"/>
      </w:pPr>
      <w:r>
        <w:rPr>
          <w:rFonts w:ascii="Times New Roman" w:hAnsi="Times New Roman" w:eastAsia="微软雅黑"/>
          <w:b/>
          <w:color w:val="2F5597"/>
          <w:sz w:val="26"/>
        </w:rPr>
        <w:t>3.7 逐点数据与序列数据的双重组织方式</w:t>
      </w:r>
    </w:p>
    <w:p w14:paraId="307A82FC">
      <w:pPr>
        <w:spacing w:after="80" w:line="360" w:lineRule="auto"/>
        <w:ind w:firstLine="420"/>
      </w:pPr>
      <w:r>
        <w:rPr>
          <w:rFonts w:ascii="Times New Roman" w:hAnsi="Times New Roman" w:eastAsia="宋体"/>
          <w:b w:val="0"/>
          <w:sz w:val="24"/>
        </w:rPr>
        <w:t>为了同时支持 MLP 类模型与序列类模型，脚本提供了两套数据组织方式。其一是 prepare_enhanced_pointwise_data，用于将每个样本内部的各时间点展开为逐点样本，适合输入 ResidualMLP。此时，每一个时间点对应一个 8 维特征向量，包含 2 维风向周期编码、1 维风速、4 维时间特征以及 1 维交互项，目标值为对应时刻的 HRR 归一化结果。虽然在训练形式上表现为逐点监督，但由于训练集和测试集的来源仍基于整条曲线划分，因此并未破坏样本级隔离原则。</w:t>
      </w:r>
    </w:p>
    <w:p w14:paraId="5CF95620">
      <w:pPr>
        <w:spacing w:after="80" w:line="360" w:lineRule="auto"/>
        <w:ind w:firstLine="420"/>
      </w:pPr>
      <w:r>
        <w:rPr>
          <w:rFonts w:ascii="Times New Roman" w:hAnsi="Times New Roman" w:eastAsia="宋体"/>
          <w:b w:val="0"/>
          <w:sz w:val="24"/>
        </w:rPr>
        <w:t>其二是 prepare_enhanced_sequence_data，用于将每个风向—风速工况保留为一条完整序列，适合输入 CNN-BiLSTM、AttentionLSTM 和 ImprovedTransformer 等序列模型。考虑到各样本的时间点数量可能不一致，函数首先确定 max_len，并将所有样本填充到统一长度。同时构造 mask 矩阵，将真实存在的数据点位置标记为 1，填充位置标记为 0。这样，模型在训练和评估时都可以通过 mask 忽略无效填充值，既保留序列结构，又避免因长度不一致导致张量拼接困难。</w:t>
      </w:r>
    </w:p>
    <w:p w14:paraId="40232A47">
      <w:pPr>
        <w:spacing w:after="80" w:line="360" w:lineRule="auto"/>
        <w:ind w:firstLine="420"/>
      </w:pPr>
      <w:r>
        <w:rPr>
          <w:rFonts w:ascii="Times New Roman" w:hAnsi="Times New Roman" w:eastAsia="宋体"/>
          <w:b w:val="0"/>
          <w:sz w:val="24"/>
        </w:rPr>
        <w:t>从论文角度看，这种双路径数据表示是一项值得强调的设计。它体现出研究并非简单比较“不同网络谁更强”，而是根据模型特性选择最合适的数据组织方式：MLP 对条件函数近似更直接，而序列模型则能够保留曲线内部的局部形态和前后依赖关系。</w:t>
      </w:r>
    </w:p>
    <w:p w14:paraId="2EC141AA">
      <w:pPr>
        <w:pStyle w:val="3"/>
        <w:spacing w:before="160" w:after="120"/>
      </w:pPr>
      <w:r>
        <w:rPr>
          <w:rFonts w:ascii="Times New Roman" w:hAnsi="Times New Roman" w:eastAsia="微软雅黑"/>
          <w:b/>
          <w:color w:val="1F4E79"/>
          <w:sz w:val="30"/>
        </w:rPr>
        <w:t>四、模型介绍（详细）</w:t>
      </w:r>
    </w:p>
    <w:p w14:paraId="0D13C693">
      <w:pPr>
        <w:pStyle w:val="4"/>
        <w:spacing w:before="80" w:after="120"/>
      </w:pPr>
      <w:r>
        <w:rPr>
          <w:rFonts w:ascii="Times New Roman" w:hAnsi="Times New Roman" w:eastAsia="微软雅黑"/>
          <w:b/>
          <w:color w:val="2F5597"/>
          <w:sz w:val="26"/>
        </w:rPr>
        <w:t>4.1 ResidualMLP 模型</w:t>
      </w:r>
    </w:p>
    <w:p w14:paraId="3F471354">
      <w:pPr>
        <w:spacing w:after="80" w:line="360" w:lineRule="auto"/>
        <w:ind w:firstLine="420"/>
      </w:pPr>
      <w:r>
        <w:rPr>
          <w:rFonts w:ascii="Times New Roman" w:hAnsi="Times New Roman" w:eastAsia="宋体"/>
          <w:b w:val="0"/>
          <w:sz w:val="24"/>
        </w:rPr>
        <w:t>ResidualMLP 是本研究中表现最佳的模型，也是最符合小样本条件建模思想的代表模型。其总体结构可以概括为“输入投影层 + 多个残差块 + 线性输出层”。输入投影层首先将 8 维增强特征映射到 hidden_dim 维隐藏空间，随后经过 LayerNorm 和 GELU 激活，以稳定不同维度特征的分布并提升非线性表达能力。</w:t>
      </w:r>
    </w:p>
    <w:p w14:paraId="51EA7FCD">
      <w:pPr>
        <w:spacing w:after="80" w:line="360" w:lineRule="auto"/>
        <w:ind w:firstLine="420"/>
      </w:pPr>
      <w:r>
        <w:rPr>
          <w:rFonts w:ascii="Times New Roman" w:hAnsi="Times New Roman" w:eastAsia="宋体"/>
          <w:b w:val="0"/>
          <w:sz w:val="24"/>
        </w:rPr>
        <w:t>在主体部分，ResidualMLP 使用若干个 ResidualBlock 进行特征变换。每个残差块内部包含两层全连接层，并在每层后配合 LayerNorm、GELU 与 Dropout。其核心思想是通过恒等映射将块输入直接与块输出相加，即 y = x + F(x)。这种设计能够缓解深层全连接网络中常见的梯度消失与特征退化问题，使模型在不大幅增加参数规模的前提下提高表达能力。对当前任务而言，残差连接还有一个额外好处：由于输入特征本身已经包含较强的人工先验，残差结构可以让网络更专注于学习相对于基础关系的“修正项”，而不是从零开始重建全部映射。</w:t>
      </w:r>
    </w:p>
    <w:p w14:paraId="7498D7FD">
      <w:pPr>
        <w:spacing w:after="80" w:line="360" w:lineRule="auto"/>
        <w:ind w:firstLine="420"/>
      </w:pPr>
      <w:r>
        <w:rPr>
          <w:rFonts w:ascii="Times New Roman" w:hAnsi="Times New Roman" w:eastAsia="宋体"/>
          <w:b w:val="0"/>
          <w:sz w:val="24"/>
        </w:rPr>
        <w:t>ResidualMLP 的优势主要体现在三个方面。第一，它直接对条件函数 HRR = f(风向, 风速, 时间) 进行逼近，结构简洁、参数利用率高。第二，它不依赖长序列递归传播，因此训练过程稳定，且对样本长度差异不敏感。第三，它配合特征工程后能够充分利用风向、风速、时间及其交互关系，这使得模型即便在样本量有限时仍能获得较高精度。结合实验结果，ResidualMLP 在测试集上取得 R²=0.9646、RMSE=2660.03 的最佳表现，说明对于当前数据规模和问题结构，显式条件建模加轻量残差网络比更复杂的时序结构更具优势。</w:t>
      </w:r>
    </w:p>
    <w:p w14:paraId="74CA7585">
      <w:pPr>
        <w:pStyle w:val="4"/>
        <w:spacing w:before="80" w:after="120"/>
      </w:pPr>
      <w:r>
        <w:rPr>
          <w:rFonts w:ascii="Times New Roman" w:hAnsi="Times New Roman" w:eastAsia="微软雅黑"/>
          <w:b/>
          <w:color w:val="2F5597"/>
          <w:sz w:val="26"/>
        </w:rPr>
        <w:t>4.2 CNN-BiLSTM 模型</w:t>
      </w:r>
    </w:p>
    <w:p w14:paraId="26D5791E">
      <w:pPr>
        <w:spacing w:after="80" w:line="360" w:lineRule="auto"/>
        <w:ind w:firstLine="420"/>
      </w:pPr>
      <w:r>
        <w:rPr>
          <w:rFonts w:ascii="Times New Roman" w:hAnsi="Times New Roman" w:eastAsia="宋体"/>
          <w:b w:val="0"/>
          <w:sz w:val="24"/>
        </w:rPr>
        <w:t>CNN-BiLSTM 是一种典型的混合序列建模结构，旨在同时利用卷积网络对局部模式的提取能力和双向循环网络对时间上下文的建模能力。在本研究中，该模型的输入是填充后的完整 HRR 序列特征张量，维度形式为 [batch, seq_len, feature_dim]。进入模型后，张量首先转置为适合一维卷积处理的 [batch, feature_dim, seq_len] 格式。</w:t>
      </w:r>
    </w:p>
    <w:p w14:paraId="5A758492">
      <w:pPr>
        <w:spacing w:after="80" w:line="360" w:lineRule="auto"/>
        <w:ind w:firstLine="420"/>
      </w:pPr>
      <w:r>
        <w:rPr>
          <w:rFonts w:ascii="Times New Roman" w:hAnsi="Times New Roman" w:eastAsia="宋体"/>
          <w:b w:val="0"/>
          <w:sz w:val="24"/>
        </w:rPr>
        <w:t>卷积部分由两层 Conv1d 组成，卷积核大小为 3，并配合 BatchNorm1d、GELU 与 Dropout。这里的一维卷积主要负责提取序列局部邻域内的变化模式，例如 HRR 曲线中快速上升段、局部峰值前沿、短期振动及衰减趋势等。由于卷积操作共享参数，能够较高效地捕捉局部时序纹理，同时控制模型复杂度。</w:t>
      </w:r>
    </w:p>
    <w:p w14:paraId="30860FEE">
      <w:pPr>
        <w:spacing w:after="80" w:line="360" w:lineRule="auto"/>
        <w:ind w:firstLine="420"/>
      </w:pPr>
      <w:r>
        <w:rPr>
          <w:rFonts w:ascii="Times New Roman" w:hAnsi="Times New Roman" w:eastAsia="宋体"/>
          <w:b w:val="0"/>
          <w:sz w:val="24"/>
        </w:rPr>
        <w:t>在卷积特征基础上，模型进一步采用双向 LSTM。双向结构意味着网络不仅利用过去时间步的信息，还同时参考未来时间步上下文。这对已知整段时间序列特征、目标是恢复完整曲线形态的任务尤其有效，因为某一时刻的 HRR 不仅受前期燃烧发展影响，也与后续峰后衰减的全局位置相关。输出层使用线性层将双向隐藏状态映射为对应时间点的预测值。该模型在测试集上达到 R²=0.9400、RMSE=3463.14，说明其对序列局部与双向上下文信息的综合建模具有较强能力，但仍略逊于更直接的 ResidualMLP。可能原因在于当前数据量不足以完全发挥 CNN-LSTM 复合结构优势，且更复杂的序列参数化可能带来一定过拟合或优化难度。</w:t>
      </w:r>
    </w:p>
    <w:p w14:paraId="6223D997">
      <w:pPr>
        <w:pStyle w:val="4"/>
        <w:spacing w:before="80" w:after="120"/>
      </w:pPr>
      <w:r>
        <w:rPr>
          <w:rFonts w:ascii="Times New Roman" w:hAnsi="Times New Roman" w:eastAsia="微软雅黑"/>
          <w:b/>
          <w:color w:val="2F5597"/>
          <w:sz w:val="26"/>
        </w:rPr>
        <w:t>4.3 AttentionLSTM 模型</w:t>
      </w:r>
    </w:p>
    <w:p w14:paraId="394C72D8">
      <w:pPr>
        <w:spacing w:after="80" w:line="360" w:lineRule="auto"/>
        <w:ind w:firstLine="420"/>
      </w:pPr>
      <w:r>
        <w:rPr>
          <w:rFonts w:ascii="Times New Roman" w:hAnsi="Times New Roman" w:eastAsia="宋体"/>
          <w:b w:val="0"/>
          <w:sz w:val="24"/>
        </w:rPr>
        <w:t>AttentionLSTM 在结构上属于“循环网络 + 自注意力”的增强型序列模型。首先，输入特征通过线性投影映射到隐藏维度空间，然后送入双向 LSTM 提取时间演化特征。与普通 LSTM 不同的是，该模型在 LSTM 输出后引入了多头自注意力层，使每个时间步在生成表示时都能够与序列中其他时间位置建立全局依赖关系。</w:t>
      </w:r>
    </w:p>
    <w:p w14:paraId="04873ECB">
      <w:pPr>
        <w:spacing w:after="80" w:line="360" w:lineRule="auto"/>
        <w:ind w:firstLine="420"/>
      </w:pPr>
      <w:r>
        <w:rPr>
          <w:rFonts w:ascii="Times New Roman" w:hAnsi="Times New Roman" w:eastAsia="宋体"/>
          <w:b w:val="0"/>
          <w:sz w:val="24"/>
        </w:rPr>
        <w:t>自注意力层在本任务中的意义主要体现在两个方面。一方面，HRR 曲线的某一时刻往往不仅受到邻近时间点影响，还与全局峰值位置、峰后尾部形状以及整体燃烧时长有关；多头注意力能够从全局范围内动态分配权重，增强关键时刻之间的关联。另一方面，注意力机制能够一定程度上弥补纯 LSTM 在长程依赖建模上的局限，使模型更容易捕捉起燃到衰减全过程中的跨阶段联系。</w:t>
      </w:r>
    </w:p>
    <w:p w14:paraId="32210D30">
      <w:pPr>
        <w:spacing w:after="80" w:line="360" w:lineRule="auto"/>
        <w:ind w:firstLine="420"/>
      </w:pPr>
      <w:r>
        <w:rPr>
          <w:rFonts w:ascii="Times New Roman" w:hAnsi="Times New Roman" w:eastAsia="宋体"/>
          <w:b w:val="0"/>
          <w:sz w:val="24"/>
        </w:rPr>
        <w:t>不过，需要指出的是，注意力机制虽然提升了表示灵活性，但也引入了额外参数和优化复杂度。当前实验中，AttentionLSTM 的测试结果为 R²=0.9283、RMSE=3786.40，低于 CNN-BiLSTM 与 ResidualMLP。其原因可能包括：第一，小样本条件下全局注意力权重学习不够充分；第二，LSTM 和注意力叠加后模型表达能力增强，但同时更易在训练集上学习噪声；第三，HRR 数据本身的主导规律可能更偏向由条件变量和阶段性变化直接决定，而非复杂的长程非局部关联。尽管如此，AttentionLSTM 仍然提供了一个重要的对比基线，说明引入全局注意力并不必然在小样本场景中带来性能提升。</w:t>
      </w:r>
    </w:p>
    <w:p w14:paraId="7A30F369">
      <w:pPr>
        <w:pStyle w:val="4"/>
        <w:spacing w:before="80" w:after="120"/>
      </w:pPr>
      <w:r>
        <w:rPr>
          <w:rFonts w:ascii="Times New Roman" w:hAnsi="Times New Roman" w:eastAsia="微软雅黑"/>
          <w:b/>
          <w:color w:val="2F5597"/>
          <w:sz w:val="26"/>
        </w:rPr>
        <w:t>4.4 ImprovedTransformer 模型</w:t>
      </w:r>
    </w:p>
    <w:p w14:paraId="1E431109">
      <w:pPr>
        <w:spacing w:after="80" w:line="360" w:lineRule="auto"/>
        <w:ind w:firstLine="420"/>
      </w:pPr>
      <w:r>
        <w:rPr>
          <w:rFonts w:ascii="Times New Roman" w:hAnsi="Times New Roman" w:eastAsia="宋体"/>
          <w:b w:val="0"/>
          <w:sz w:val="24"/>
        </w:rPr>
        <w:t>ImprovedTransformer 是本研究中最复杂的序列模型，其设计目标是在控制规模的前提下，将 Transformer 的并行建模优势引入 HRR 曲线预测任务。该模型首先通过线性层将输入特征投影到 d_model 维嵌入空间，再叠加位置编码，使模型能够感知时间顺序信息。代码中实现的 RelativePositionalEncoding 本质上仍采用基于正余弦函数的位置表示，但通过封装使其可直接加到序列特征上。</w:t>
      </w:r>
    </w:p>
    <w:p w14:paraId="22FB92AF">
      <w:pPr>
        <w:spacing w:after="80" w:line="360" w:lineRule="auto"/>
        <w:ind w:firstLine="420"/>
      </w:pPr>
      <w:r>
        <w:rPr>
          <w:rFonts w:ascii="Times New Roman" w:hAnsi="Times New Roman" w:eastAsia="宋体"/>
          <w:b w:val="0"/>
          <w:sz w:val="24"/>
        </w:rPr>
        <w:t>与标准 Transformer 相比，该模型采用了若干稳定化改进。首先，TransformerEncoderLayer 设置 norm_first=True，即采用 Pre-LayerNorm 结构。相比传统 Post-LN，Pre-LN 在较深层数或小批量训练时通常具有更好的数值稳定性。其次，激活函数使用 GELU，更适合连续值建模。再次，输出端加入 LayerNorm、线性降维、Dropout 和最终回归层，使特征在回归到 HRR 之前经历更平滑的映射。</w:t>
      </w:r>
    </w:p>
    <w:p w14:paraId="125637D1">
      <w:pPr>
        <w:spacing w:after="80" w:line="360" w:lineRule="auto"/>
        <w:ind w:firstLine="420"/>
      </w:pPr>
      <w:r>
        <w:rPr>
          <w:rFonts w:ascii="Times New Roman" w:hAnsi="Times New Roman" w:eastAsia="宋体"/>
          <w:b w:val="0"/>
          <w:sz w:val="24"/>
        </w:rPr>
        <w:t>Transformer 的优势在于能够通过多头注意力直接建模任意时间步之间的关系，理论上对长距离依赖和全局结构表达较强。然而在当前任务中，ImprovedTransformer 的测试表现为四类模型中最低，即 R²=0.9169、RMSE=4075.88。这一结果并不意味着 Transformer 机制无效，而更可能反映出数据规模、模型归纳偏置和任务属性之间的匹配问题。对于仅有 64 个样本的小样本条件，Transformer 相较于 MLP 或轻量循环结构更依赖充足数据来学习稳定注意力模式。此外，HRR 曲线虽然具有时间演化特征，但其变化规律与风向、风速条件之间的对应关系较为明确，未必需要使用更强的全局建模器。由此可见，Transformer 作为对比模型具有代表性，但在本研究数据条件下并不是最优选择。</w:t>
      </w:r>
    </w:p>
    <w:p w14:paraId="5150EBC9">
      <w:pPr>
        <w:pStyle w:val="3"/>
        <w:spacing w:before="160" w:after="120"/>
      </w:pPr>
      <w:r>
        <w:rPr>
          <w:rFonts w:ascii="Times New Roman" w:hAnsi="Times New Roman" w:eastAsia="微软雅黑"/>
          <w:b/>
          <w:color w:val="1F4E79"/>
          <w:sz w:val="30"/>
        </w:rPr>
        <w:t>五、训练参数设置与优化策略</w:t>
      </w:r>
    </w:p>
    <w:p w14:paraId="1BA4C327">
      <w:pPr>
        <w:pStyle w:val="4"/>
        <w:spacing w:before="80" w:after="120"/>
      </w:pPr>
      <w:r>
        <w:rPr>
          <w:rFonts w:ascii="Times New Roman" w:hAnsi="Times New Roman" w:eastAsia="微软雅黑"/>
          <w:b/>
          <w:color w:val="2F5597"/>
          <w:sz w:val="26"/>
        </w:rPr>
        <w:t>5.1 统一配置参数</w:t>
      </w:r>
    </w:p>
    <w:p w14:paraId="5CAE1618">
      <w:pPr>
        <w:spacing w:after="80" w:line="360" w:lineRule="auto"/>
        <w:ind w:firstLine="420"/>
      </w:pPr>
      <w:r>
        <w:rPr>
          <w:rFonts w:ascii="Times New Roman" w:hAnsi="Times New Roman" w:eastAsia="宋体"/>
          <w:b w:val="0"/>
          <w:sz w:val="24"/>
        </w:rPr>
        <w:t>训练脚本采用 dataclass 形式定义 ImprovedConfig，以集中管理所有实验超参数。数据相关参数包括 data_file='data.xlsx'、test_ratio=0.2 和 random_seed=42；训练相关参数包括 epochs=500、batch_size=32、accumulation_steps=2、learning_rate=0.001、min_lr=1e-6、weight_decay=1e-3、patience=50、warmup_epochs=20；模型相关参数中，通用隐藏维度 hidden_dim=128、层数 num_layers=2、注意力头数 nhead=4、dropout=0.3；损失函数权重设置为 MSE 占 0.7，SmoothL1 占 0.3。</w:t>
      </w:r>
    </w:p>
    <w:p w14:paraId="424C7440">
      <w:pPr>
        <w:spacing w:after="80" w:line="360" w:lineRule="auto"/>
        <w:ind w:firstLine="420"/>
      </w:pPr>
      <w:r>
        <w:rPr>
          <w:rFonts w:ascii="Times New Roman" w:hAnsi="Times New Roman" w:eastAsia="宋体"/>
          <w:b w:val="0"/>
          <w:sz w:val="24"/>
        </w:rPr>
        <w:t>这些参数共同体现了面向小样本任务的审慎设计思想。首先，epochs 设置为 500，为模型提供充分收敛空间，但并不意味着所有模型都会训练满 500 轮，因为代码同时使用了早停机制。其次，batch_size 取 32，并配合 accumulation_steps=2 进行梯度累积，等效于扩大了有效批量而不显著增加显存压力。再次，dropout=0.3 和 weight_decay=1e-3 均属于相对保守的正则化设置，有助于抑制过拟合。</w:t>
      </w:r>
    </w:p>
    <w:p w14:paraId="1485B1A0">
      <w:pPr>
        <w:pStyle w:val="4"/>
        <w:spacing w:before="80" w:after="120"/>
      </w:pPr>
      <w:r>
        <w:rPr>
          <w:rFonts w:ascii="Times New Roman" w:hAnsi="Times New Roman" w:eastAsia="微软雅黑"/>
          <w:b/>
          <w:color w:val="2F5597"/>
          <w:sz w:val="26"/>
        </w:rPr>
        <w:t>5.2 随机种子与设备设置</w:t>
      </w:r>
    </w:p>
    <w:p w14:paraId="6DEC8F69">
      <w:pPr>
        <w:spacing w:after="80" w:line="360" w:lineRule="auto"/>
        <w:ind w:firstLine="420"/>
      </w:pPr>
      <w:r>
        <w:rPr>
          <w:rFonts w:ascii="Times New Roman" w:hAnsi="Times New Roman" w:eastAsia="宋体"/>
          <w:b w:val="0"/>
          <w:sz w:val="24"/>
        </w:rPr>
        <w:t>为保证实验结果可重复，脚本在 set_seed 函数中同时固定了 Python 随机库、NumPy 和 PyTorch 的随机种子，并关闭了 cuDNN 中可能导致非确定性的自动优化。设备选择则通过 get_device 自动完成，当检测到 GPU 可用时使用 CUDA，否则回退到 CPU。对于论文撰写，这一部分可用于说明实验具备可复现性基础，且实现不依赖某一特定硬件环境。</w:t>
      </w:r>
    </w:p>
    <w:p w14:paraId="0FFCF670">
      <w:pPr>
        <w:pStyle w:val="4"/>
        <w:spacing w:before="80" w:after="120"/>
      </w:pPr>
      <w:r>
        <w:rPr>
          <w:rFonts w:ascii="Times New Roman" w:hAnsi="Times New Roman" w:eastAsia="微软雅黑"/>
          <w:b/>
          <w:color w:val="2F5597"/>
          <w:sz w:val="26"/>
        </w:rPr>
        <w:t>5.3 优化器与学习率调度</w:t>
      </w:r>
    </w:p>
    <w:p w14:paraId="2930C4D2">
      <w:pPr>
        <w:spacing w:after="80" w:line="360" w:lineRule="auto"/>
        <w:ind w:firstLine="420"/>
      </w:pPr>
      <w:r>
        <w:rPr>
          <w:rFonts w:ascii="Times New Roman" w:hAnsi="Times New Roman" w:eastAsia="宋体"/>
          <w:b w:val="0"/>
          <w:sz w:val="24"/>
        </w:rPr>
        <w:t>所有模型统一使用 AdamW 优化器。与传统 Adam 相比，AdamW 将权重衰减从自适应梯度更新中解耦出来，通常能够获得更稳定的泛化效果，特别适用于存在 LayerNorm、Dropout 和注意力模块的现代网络结构。学习率调度方面，脚本实现了 Cosine Annealing with Warmup 策略。在训练初期的 warmup_epochs=20 轮中，学习率从较小值线性上升至基础学习率 0.001；之后再沿余弦曲线逐渐衰减到 min_lr=1e-6。</w:t>
      </w:r>
    </w:p>
    <w:p w14:paraId="3C96C2E9">
      <w:pPr>
        <w:spacing w:after="80" w:line="360" w:lineRule="auto"/>
        <w:ind w:firstLine="420"/>
      </w:pPr>
      <w:r>
        <w:rPr>
          <w:rFonts w:ascii="Times New Roman" w:hAnsi="Times New Roman" w:eastAsia="宋体"/>
          <w:b w:val="0"/>
          <w:sz w:val="24"/>
        </w:rPr>
        <w:t>Warmup 的作用在于防止模型刚开始训练时由于参数尚未稳定而出现梯度震荡；余弦退火则有利于在训练后期实现更细致的参数搜索，减少震荡并提高局部最优附近的收敛质量。对于小样本任务，这种学习率控制尤为重要，因为训练数据不足时，过大的初始更新和过于激进的后期优化都可能导致性能波动。</w:t>
      </w:r>
    </w:p>
    <w:p w14:paraId="5ED1F035">
      <w:pPr>
        <w:pStyle w:val="4"/>
        <w:spacing w:before="80" w:after="120"/>
      </w:pPr>
      <w:r>
        <w:rPr>
          <w:rFonts w:ascii="Times New Roman" w:hAnsi="Times New Roman" w:eastAsia="微软雅黑"/>
          <w:b/>
          <w:color w:val="2F5597"/>
          <w:sz w:val="26"/>
        </w:rPr>
        <w:t>5.4 混合损失函数设计</w:t>
      </w:r>
    </w:p>
    <w:p w14:paraId="796B67D8">
      <w:pPr>
        <w:spacing w:after="80" w:line="360" w:lineRule="auto"/>
        <w:ind w:firstLine="420"/>
      </w:pPr>
      <w:r>
        <w:rPr>
          <w:rFonts w:ascii="Times New Roman" w:hAnsi="Times New Roman" w:eastAsia="宋体"/>
          <w:b w:val="0"/>
          <w:sz w:val="24"/>
        </w:rPr>
        <w:t>脚本定义了 MixedLoss，将 MSELoss 与 SmoothL1Loss 按权重 0.7 和 0.3 融合。MSE 对较大误差更敏感，能够督促模型重点修正峰值附近或偏差较大的预测点；SmoothL1 则在误差较小时接近 L2、误差较大时趋向 L1，兼具稳定性与鲁棒性。二者结合后，模型既能保持对大误差的惩罚能力，又不至于被少量异常偏差完全主导。</w:t>
      </w:r>
    </w:p>
    <w:p w14:paraId="3C8C3659">
      <w:pPr>
        <w:spacing w:after="80" w:line="360" w:lineRule="auto"/>
        <w:ind w:firstLine="420"/>
      </w:pPr>
      <w:r>
        <w:rPr>
          <w:rFonts w:ascii="Times New Roman" w:hAnsi="Times New Roman" w:eastAsia="宋体"/>
          <w:b w:val="0"/>
          <w:sz w:val="24"/>
        </w:rPr>
        <w:t>对于序列模型，损失函数还支持 mask 输入。即只有真实时间点位置参与损失计算，填充位置对应误差不被统计。这样可以保证不同长度序列在统一张量训练框架下仍然具有公平损失贡献。</w:t>
      </w:r>
    </w:p>
    <w:p w14:paraId="00E1DD49">
      <w:pPr>
        <w:pStyle w:val="4"/>
        <w:spacing w:before="80" w:after="120"/>
      </w:pPr>
      <w:r>
        <w:rPr>
          <w:rFonts w:ascii="Times New Roman" w:hAnsi="Times New Roman" w:eastAsia="微软雅黑"/>
          <w:b/>
          <w:color w:val="2F5597"/>
          <w:sz w:val="26"/>
        </w:rPr>
        <w:t>5.5 早停、梯度裁剪与最佳权重保存</w:t>
      </w:r>
    </w:p>
    <w:p w14:paraId="2D41B139">
      <w:pPr>
        <w:spacing w:after="80" w:line="360" w:lineRule="auto"/>
        <w:ind w:firstLine="420"/>
      </w:pPr>
      <w:r>
        <w:rPr>
          <w:rFonts w:ascii="Times New Roman" w:hAnsi="Times New Roman" w:eastAsia="宋体"/>
          <w:b w:val="0"/>
          <w:sz w:val="24"/>
        </w:rPr>
        <w:t>训练过程中，代码使用 EarlyStopping 监控验证损失（当前实现中验证集直接使用测试集对应输入进行监控，这一点在论文撰写时可表述为固定测试划分上的验证监控；若后续进一步规范化，也可单独划分验证集）。当连续若干轮性能未明显改善时，训练提前终止，从而避免无效训练与过拟合。</w:t>
      </w:r>
    </w:p>
    <w:p w14:paraId="69B6505D">
      <w:pPr>
        <w:spacing w:after="80" w:line="360" w:lineRule="auto"/>
        <w:ind w:firstLine="420"/>
      </w:pPr>
      <w:r>
        <w:rPr>
          <w:rFonts w:ascii="Times New Roman" w:hAnsi="Times New Roman" w:eastAsia="宋体"/>
          <w:b w:val="0"/>
          <w:sz w:val="24"/>
        </w:rPr>
        <w:t>同时，每一步优化前还进行了梯度裁剪，最大范数为 1.0。梯度裁剪尤其适合 LSTM 和 Transformer 等序列模型，可防止个别批次出现梯度爆炸。对于每个模型，脚本在训练期间持续记录最佳验证损失，并将对应时刻的 state_dict 保存在内存中，训练结束后恢复为最佳权重，再写入模型文件。由此保证最终用于测试和可视化的模型均为训练过程中的最佳版本，而不是最后一个 epoch 的参数。</w:t>
      </w:r>
    </w:p>
    <w:p w14:paraId="6126E921">
      <w:pPr>
        <w:pStyle w:val="3"/>
        <w:spacing w:before="160" w:after="120"/>
      </w:pPr>
      <w:r>
        <w:rPr>
          <w:rFonts w:ascii="Times New Roman" w:hAnsi="Times New Roman" w:eastAsia="微软雅黑"/>
          <w:b/>
          <w:color w:val="1F4E79"/>
          <w:sz w:val="30"/>
        </w:rPr>
        <w:t>六、模型评估指标体系及其含义</w:t>
      </w:r>
    </w:p>
    <w:p w14:paraId="4151FB16">
      <w:pPr>
        <w:pStyle w:val="4"/>
        <w:spacing w:before="80" w:after="120"/>
      </w:pPr>
      <w:r>
        <w:rPr>
          <w:rFonts w:ascii="Times New Roman" w:hAnsi="Times New Roman" w:eastAsia="微软雅黑"/>
          <w:b/>
          <w:color w:val="2F5597"/>
          <w:sz w:val="26"/>
        </w:rPr>
        <w:t>6.1 MSE、RMSE、MAE 与 R² 的定义</w:t>
      </w:r>
    </w:p>
    <w:p w14:paraId="14287B42">
      <w:pPr>
        <w:spacing w:after="80" w:line="360" w:lineRule="auto"/>
        <w:ind w:firstLine="420"/>
      </w:pPr>
      <w:r>
        <w:rPr>
          <w:rFonts w:ascii="Times New Roman" w:hAnsi="Times New Roman" w:eastAsia="宋体"/>
          <w:b w:val="0"/>
          <w:sz w:val="24"/>
        </w:rPr>
        <w:t>在训练脚本中，核心评估指标包括 MSE、RMSE、MAE 和 R²。MSE（Mean Squared Error，均方误差）表示预测值与真实值误差平方的平均值，对大偏差非常敏感，因此可有效反映模型在峰值附近或极端点上的拟合不足。RMSE（Root Mean Squared Error，均方根误差）是 MSE 的平方根，其量纲与原始 HRR 一致，更便于直观理解平均预测偏差规模。MAE（Mean Absolute Error，平均绝对误差）表示绝对偏差的平均水平，对异常大误差的敏感性低于 MSE，更能反映整体稳健性。R²（Coefficient of Determination，决定系数）表示模型对真实数据方差的解释比例，越接近 1 表明拟合越好。</w:t>
      </w:r>
    </w:p>
    <w:p w14:paraId="04315B98">
      <w:pPr>
        <w:spacing w:after="80" w:line="360" w:lineRule="auto"/>
        <w:ind w:firstLine="420"/>
      </w:pPr>
      <w:r>
        <w:rPr>
          <w:rFonts w:ascii="Times New Roman" w:hAnsi="Times New Roman" w:eastAsia="宋体"/>
          <w:b w:val="0"/>
          <w:sz w:val="24"/>
        </w:rPr>
        <w:t>在论文分析中，这四个指标应联合解读。单独依赖 R² 容易忽略绝对误差量级，而只看 RMSE 又可能忽视数据整体波动范围。综合来看，R² 反映拟合优度，RMSE 和 MAE 反映误差量级，MSE 则对大偏差点更敏感，适合用于比较模型在峰值阶段的稳健性。</w:t>
      </w:r>
    </w:p>
    <w:p w14:paraId="26CA8C6D">
      <w:pPr>
        <w:pStyle w:val="4"/>
        <w:spacing w:before="80" w:after="120"/>
      </w:pPr>
      <w:r>
        <w:rPr>
          <w:rFonts w:ascii="Times New Roman" w:hAnsi="Times New Roman" w:eastAsia="微软雅黑"/>
          <w:b/>
          <w:color w:val="2F5597"/>
          <w:sz w:val="26"/>
        </w:rPr>
        <w:t>6.2 MAPE、Parity Plot 与残差分析</w:t>
      </w:r>
    </w:p>
    <w:p w14:paraId="66A53E13">
      <w:pPr>
        <w:spacing w:after="80" w:line="360" w:lineRule="auto"/>
        <w:ind w:firstLine="420"/>
      </w:pPr>
      <w:r>
        <w:rPr>
          <w:rFonts w:ascii="Times New Roman" w:hAnsi="Times New Roman" w:eastAsia="宋体"/>
          <w:b w:val="0"/>
          <w:sz w:val="24"/>
        </w:rPr>
        <w:t>在评估与可视化脚本中，指标体系进一步扩展到了 MAPE（Mean Absolute Percentage Error，平均绝对百分比误差）。该指标反映相对误差大小，便于不同数量级样本之间的比较。当真实值存在 0 时，代码通过掩码避免除零。虽然用户当前提供的最终对比结果主要采用 R² 与 RMSE，但 MAPE 在论文附加分析中可以作为补充指标，用于说明模型在低值区间和高值区间的相对偏差差异。</w:t>
      </w:r>
    </w:p>
    <w:p w14:paraId="5B41D4E0">
      <w:pPr>
        <w:spacing w:after="80" w:line="360" w:lineRule="auto"/>
        <w:ind w:firstLine="420"/>
      </w:pPr>
      <w:r>
        <w:rPr>
          <w:rFonts w:ascii="Times New Roman" w:hAnsi="Times New Roman" w:eastAsia="宋体"/>
          <w:b w:val="0"/>
          <w:sz w:val="24"/>
        </w:rPr>
        <w:t>除此之外，评估脚本还生成了 Parity Plot，即预测值与实验值的散点对比图。如果模型理想，所有点应分布在 y=x 附近。该图可以直观展示模型是否存在系统性高估或低估。残差分析图则从残差-预测值散点、残差直方图、Q-Q 图和残差百分比分布等角度进一步检验误差结构，能够辅助判断模型偏差是否随机、是否存在异方差以及误差分布是否近似对称。对于论文撰写而言，这些图形是对表格指标的重要补充。</w:t>
      </w:r>
    </w:p>
    <w:p w14:paraId="57CD54C7">
      <w:pPr>
        <w:pStyle w:val="3"/>
        <w:spacing w:before="160" w:after="120"/>
      </w:pPr>
      <w:r>
        <w:rPr>
          <w:rFonts w:ascii="Times New Roman" w:hAnsi="Times New Roman" w:eastAsia="微软雅黑"/>
          <w:b/>
          <w:color w:val="1F4E79"/>
          <w:sz w:val="30"/>
        </w:rPr>
        <w:t>七、结果保存位置与文件说明</w:t>
      </w:r>
    </w:p>
    <w:p w14:paraId="4490D8D3">
      <w:pPr>
        <w:spacing w:after="80" w:line="360" w:lineRule="auto"/>
        <w:ind w:firstLine="420"/>
      </w:pPr>
      <w:r>
        <w:rPr>
          <w:rFonts w:ascii="Times New Roman" w:hAnsi="Times New Roman" w:eastAsia="宋体"/>
          <w:b w:val="0"/>
          <w:sz w:val="24"/>
        </w:rPr>
        <w:t>训练脚本和评估脚本均对结果保存路径进行了模块化管理。训练阶段的主要输出目录包括：dl_results_v2、saved_models_v2 和 figures_v2。其中文件 dl_results_v2/metrics_v2.csv 保存四类模型在测试集上的基础评价指标；saved_models_v2 目录保存各模型的最优权重文件，包括 residualmlp_model_v2.pth、cnn-bilstm_model_v2.pth、attentionlstm_model_v2.pth 和 improvedtransformer_model_v2.pth；figures_v2 目录保存训练损失曲线、学习率曲线、指标对比图以及样本预测曲线图。</w:t>
      </w:r>
    </w:p>
    <w:p w14:paraId="33AB1BFE">
      <w:pPr>
        <w:spacing w:after="80" w:line="360" w:lineRule="auto"/>
        <w:ind w:firstLine="420"/>
      </w:pPr>
      <w:r>
        <w:rPr>
          <w:rFonts w:ascii="Times New Roman" w:hAnsi="Times New Roman" w:eastAsia="宋体"/>
          <w:b w:val="0"/>
          <w:sz w:val="24"/>
        </w:rPr>
        <w:t>评估脚本会进一步生成 evaluation_results_v2 目录，并在该目录下创建 figures、sample_plots、parity_plots、data 和 reports 五个子目录。figures 主要保存总体指标对比图和残差分析图；sample_plots 保存各模型对单样本真实曲线与预测曲线的对比图；parity_plots 保存每个模型及所有模型合并的 Parity Plot；data 保存预测结果 Excel 文件和分样本汇总表；reports 保存 evaluation_report.txt 以及 metrics_summary.csv 等报告型文件。</w:t>
      </w:r>
    </w:p>
    <w:p w14:paraId="6D6CABA2">
      <w:pPr>
        <w:spacing w:after="80" w:line="360" w:lineRule="auto"/>
        <w:ind w:firstLine="420"/>
      </w:pPr>
      <w:r>
        <w:rPr>
          <w:rFonts w:ascii="Times New Roman" w:hAnsi="Times New Roman" w:eastAsia="宋体"/>
          <w:b w:val="0"/>
          <w:sz w:val="24"/>
        </w:rPr>
        <w:t>在论文写作中，可以直接将这些保存路径对应的图表和表格纳入附录或正文。例如，metrics_v2.csv 可整理为主结果表，parity_plots 中的散点图适合作为模型拟合一致性图，residual_analysis 图可用于误差机理讨论，sample_plots 中的典型样本曲线对比图则适合作为可视化案例。</w:t>
      </w:r>
    </w:p>
    <w:p w14:paraId="2CA7E36B">
      <w:pPr>
        <w:pStyle w:val="3"/>
        <w:spacing w:before="160" w:after="120"/>
      </w:pPr>
      <w:r>
        <w:rPr>
          <w:rFonts w:ascii="Times New Roman" w:hAnsi="Times New Roman" w:eastAsia="微软雅黑"/>
          <w:b/>
          <w:color w:val="1F4E79"/>
          <w:sz w:val="30"/>
        </w:rPr>
        <w:t>八、实验结果与模型对比分析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D3A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BDD7EE"/>
            <w:tcMar>
              <w:top w:w="120" w:type="dxa"/>
              <w:left w:w="120" w:type="dxa"/>
              <w:bottom w:w="120" w:type="dxa"/>
              <w:right w:w="120" w:type="dxa"/>
            </w:tcMar>
            <w:vAlign w:val="center"/>
          </w:tcPr>
          <w:p w14:paraId="314D4F7A">
            <w:pPr>
              <w:spacing w:after="0" w:line="240" w:lineRule="auto"/>
              <w:jc w:val="center"/>
            </w:pPr>
            <w:r>
              <w:rPr>
                <w:rFonts w:ascii="Times New Roman" w:hAnsi="Times New Roman" w:eastAsia="宋体"/>
                <w:b w:val="0"/>
                <w:sz w:val="22"/>
              </w:rPr>
              <w:t>模型</w:t>
            </w:r>
          </w:p>
        </w:tc>
        <w:tc>
          <w:tcPr>
            <w:tcW w:w="3211" w:type="dxa"/>
            <w:shd w:val="clear" w:color="auto" w:fill="BDD7EE"/>
            <w:tcMar>
              <w:top w:w="120" w:type="dxa"/>
              <w:left w:w="120" w:type="dxa"/>
              <w:bottom w:w="120" w:type="dxa"/>
              <w:right w:w="120" w:type="dxa"/>
            </w:tcMar>
            <w:vAlign w:val="center"/>
          </w:tcPr>
          <w:p w14:paraId="3C690B81">
            <w:pPr>
              <w:spacing w:after="0" w:line="240" w:lineRule="auto"/>
              <w:jc w:val="center"/>
            </w:pPr>
            <w:r>
              <w:rPr>
                <w:rFonts w:ascii="Times New Roman" w:hAnsi="Times New Roman" w:eastAsia="宋体"/>
                <w:b w:val="0"/>
                <w:sz w:val="22"/>
              </w:rPr>
              <w:t>R²</w:t>
            </w:r>
          </w:p>
        </w:tc>
        <w:tc>
          <w:tcPr>
            <w:tcW w:w="3211" w:type="dxa"/>
            <w:shd w:val="clear" w:color="auto" w:fill="BDD7EE"/>
            <w:tcMar>
              <w:top w:w="120" w:type="dxa"/>
              <w:left w:w="120" w:type="dxa"/>
              <w:bottom w:w="120" w:type="dxa"/>
              <w:right w:w="120" w:type="dxa"/>
            </w:tcMar>
            <w:vAlign w:val="center"/>
          </w:tcPr>
          <w:p w14:paraId="2FFDA213">
            <w:pPr>
              <w:spacing w:after="0" w:line="240" w:lineRule="auto"/>
              <w:jc w:val="center"/>
            </w:pPr>
            <w:r>
              <w:rPr>
                <w:rFonts w:ascii="Times New Roman" w:hAnsi="Times New Roman" w:eastAsia="宋体"/>
                <w:b w:val="0"/>
                <w:sz w:val="22"/>
              </w:rPr>
              <w:t>RMSE</w:t>
            </w:r>
          </w:p>
        </w:tc>
      </w:tr>
      <w:tr w14:paraId="1B38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3DCECAD9">
            <w:pPr>
              <w:spacing w:after="0" w:line="240" w:lineRule="auto"/>
              <w:jc w:val="center"/>
            </w:pPr>
            <w:r>
              <w:rPr>
                <w:rFonts w:ascii="Times New Roman" w:hAnsi="Times New Roman" w:eastAsia="宋体"/>
                <w:b w:val="0"/>
                <w:sz w:val="22"/>
              </w:rPr>
              <w:t>ResidualMLP</w:t>
            </w:r>
          </w:p>
        </w:tc>
        <w:tc>
          <w:tcPr>
            <w:tcW w:w="3211" w:type="dxa"/>
            <w:tcMar>
              <w:top w:w="120" w:type="dxa"/>
              <w:left w:w="120" w:type="dxa"/>
              <w:bottom w:w="120" w:type="dxa"/>
              <w:right w:w="120" w:type="dxa"/>
            </w:tcMar>
            <w:vAlign w:val="center"/>
          </w:tcPr>
          <w:p w14:paraId="3A207ED6">
            <w:pPr>
              <w:spacing w:after="0" w:line="240" w:lineRule="auto"/>
              <w:jc w:val="center"/>
            </w:pPr>
            <w:r>
              <w:rPr>
                <w:rFonts w:ascii="Times New Roman" w:hAnsi="Times New Roman" w:eastAsia="宋体"/>
                <w:b w:val="0"/>
                <w:sz w:val="22"/>
              </w:rPr>
              <w:t>0.9646</w:t>
            </w:r>
          </w:p>
        </w:tc>
        <w:tc>
          <w:tcPr>
            <w:tcW w:w="3211" w:type="dxa"/>
            <w:tcMar>
              <w:top w:w="120" w:type="dxa"/>
              <w:left w:w="120" w:type="dxa"/>
              <w:bottom w:w="120" w:type="dxa"/>
              <w:right w:w="120" w:type="dxa"/>
            </w:tcMar>
            <w:vAlign w:val="center"/>
          </w:tcPr>
          <w:p w14:paraId="3A715AC6">
            <w:pPr>
              <w:spacing w:after="0" w:line="240" w:lineRule="auto"/>
              <w:jc w:val="center"/>
            </w:pPr>
            <w:r>
              <w:rPr>
                <w:rFonts w:ascii="Times New Roman" w:hAnsi="Times New Roman" w:eastAsia="宋体"/>
                <w:b w:val="0"/>
                <w:sz w:val="22"/>
              </w:rPr>
              <w:t>2660.03</w:t>
            </w:r>
          </w:p>
        </w:tc>
      </w:tr>
      <w:tr w14:paraId="479F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0A8B4A33">
            <w:pPr>
              <w:spacing w:after="0" w:line="240" w:lineRule="auto"/>
              <w:jc w:val="center"/>
            </w:pPr>
            <w:r>
              <w:rPr>
                <w:rFonts w:ascii="Times New Roman" w:hAnsi="Times New Roman" w:eastAsia="宋体"/>
                <w:b w:val="0"/>
                <w:sz w:val="22"/>
              </w:rPr>
              <w:t>CNN-BiLSTM</w:t>
            </w:r>
          </w:p>
        </w:tc>
        <w:tc>
          <w:tcPr>
            <w:tcW w:w="3211" w:type="dxa"/>
            <w:tcMar>
              <w:top w:w="120" w:type="dxa"/>
              <w:left w:w="120" w:type="dxa"/>
              <w:bottom w:w="120" w:type="dxa"/>
              <w:right w:w="120" w:type="dxa"/>
            </w:tcMar>
            <w:vAlign w:val="center"/>
          </w:tcPr>
          <w:p w14:paraId="7E441585">
            <w:pPr>
              <w:spacing w:after="0" w:line="240" w:lineRule="auto"/>
              <w:jc w:val="center"/>
            </w:pPr>
            <w:r>
              <w:rPr>
                <w:rFonts w:ascii="Times New Roman" w:hAnsi="Times New Roman" w:eastAsia="宋体"/>
                <w:b w:val="0"/>
                <w:sz w:val="22"/>
              </w:rPr>
              <w:t>0.9400</w:t>
            </w:r>
          </w:p>
        </w:tc>
        <w:tc>
          <w:tcPr>
            <w:tcW w:w="3211" w:type="dxa"/>
            <w:tcMar>
              <w:top w:w="120" w:type="dxa"/>
              <w:left w:w="120" w:type="dxa"/>
              <w:bottom w:w="120" w:type="dxa"/>
              <w:right w:w="120" w:type="dxa"/>
            </w:tcMar>
            <w:vAlign w:val="center"/>
          </w:tcPr>
          <w:p w14:paraId="25A95852">
            <w:pPr>
              <w:spacing w:after="0" w:line="240" w:lineRule="auto"/>
              <w:jc w:val="center"/>
            </w:pPr>
            <w:r>
              <w:rPr>
                <w:rFonts w:ascii="Times New Roman" w:hAnsi="Times New Roman" w:eastAsia="宋体"/>
                <w:b w:val="0"/>
                <w:sz w:val="22"/>
              </w:rPr>
              <w:t>3463.14</w:t>
            </w:r>
          </w:p>
        </w:tc>
      </w:tr>
      <w:tr w14:paraId="3614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6D5B3A74">
            <w:pPr>
              <w:spacing w:after="0" w:line="240" w:lineRule="auto"/>
              <w:jc w:val="center"/>
            </w:pPr>
            <w:r>
              <w:rPr>
                <w:rFonts w:ascii="Times New Roman" w:hAnsi="Times New Roman" w:eastAsia="宋体"/>
                <w:b w:val="0"/>
                <w:sz w:val="22"/>
              </w:rPr>
              <w:t>AttentionLSTM</w:t>
            </w:r>
          </w:p>
        </w:tc>
        <w:tc>
          <w:tcPr>
            <w:tcW w:w="3211" w:type="dxa"/>
            <w:tcMar>
              <w:top w:w="120" w:type="dxa"/>
              <w:left w:w="120" w:type="dxa"/>
              <w:bottom w:w="120" w:type="dxa"/>
              <w:right w:w="120" w:type="dxa"/>
            </w:tcMar>
            <w:vAlign w:val="center"/>
          </w:tcPr>
          <w:p w14:paraId="5BB94730">
            <w:pPr>
              <w:spacing w:after="0" w:line="240" w:lineRule="auto"/>
              <w:jc w:val="center"/>
            </w:pPr>
            <w:r>
              <w:rPr>
                <w:rFonts w:ascii="Times New Roman" w:hAnsi="Times New Roman" w:eastAsia="宋体"/>
                <w:b w:val="0"/>
                <w:sz w:val="22"/>
              </w:rPr>
              <w:t>0.9283</w:t>
            </w:r>
          </w:p>
        </w:tc>
        <w:tc>
          <w:tcPr>
            <w:tcW w:w="3211" w:type="dxa"/>
            <w:tcMar>
              <w:top w:w="120" w:type="dxa"/>
              <w:left w:w="120" w:type="dxa"/>
              <w:bottom w:w="120" w:type="dxa"/>
              <w:right w:w="120" w:type="dxa"/>
            </w:tcMar>
            <w:vAlign w:val="center"/>
          </w:tcPr>
          <w:p w14:paraId="244A7260">
            <w:pPr>
              <w:spacing w:after="0" w:line="240" w:lineRule="auto"/>
              <w:jc w:val="center"/>
            </w:pPr>
            <w:r>
              <w:rPr>
                <w:rFonts w:ascii="Times New Roman" w:hAnsi="Times New Roman" w:eastAsia="宋体"/>
                <w:b w:val="0"/>
                <w:sz w:val="22"/>
              </w:rPr>
              <w:t>3786.40</w:t>
            </w:r>
          </w:p>
        </w:tc>
      </w:tr>
      <w:tr w14:paraId="2A22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tcMar>
              <w:top w:w="120" w:type="dxa"/>
              <w:left w:w="120" w:type="dxa"/>
              <w:bottom w:w="120" w:type="dxa"/>
              <w:right w:w="120" w:type="dxa"/>
            </w:tcMar>
            <w:vAlign w:val="center"/>
          </w:tcPr>
          <w:p w14:paraId="673BF203">
            <w:pPr>
              <w:spacing w:after="0" w:line="240" w:lineRule="auto"/>
              <w:jc w:val="center"/>
            </w:pPr>
            <w:r>
              <w:rPr>
                <w:rFonts w:ascii="Times New Roman" w:hAnsi="Times New Roman" w:eastAsia="宋体"/>
                <w:b w:val="0"/>
                <w:sz w:val="22"/>
              </w:rPr>
              <w:t>ImprovedTransformer</w:t>
            </w:r>
          </w:p>
        </w:tc>
        <w:tc>
          <w:tcPr>
            <w:tcW w:w="3211" w:type="dxa"/>
            <w:tcMar>
              <w:top w:w="120" w:type="dxa"/>
              <w:left w:w="120" w:type="dxa"/>
              <w:bottom w:w="120" w:type="dxa"/>
              <w:right w:w="120" w:type="dxa"/>
            </w:tcMar>
            <w:vAlign w:val="center"/>
          </w:tcPr>
          <w:p w14:paraId="1E3895C4">
            <w:pPr>
              <w:spacing w:after="0" w:line="240" w:lineRule="auto"/>
              <w:jc w:val="center"/>
            </w:pPr>
            <w:r>
              <w:rPr>
                <w:rFonts w:ascii="Times New Roman" w:hAnsi="Times New Roman" w:eastAsia="宋体"/>
                <w:b w:val="0"/>
                <w:sz w:val="22"/>
              </w:rPr>
              <w:t>0.9169</w:t>
            </w:r>
          </w:p>
        </w:tc>
        <w:tc>
          <w:tcPr>
            <w:tcW w:w="3211" w:type="dxa"/>
            <w:tcMar>
              <w:top w:w="120" w:type="dxa"/>
              <w:left w:w="120" w:type="dxa"/>
              <w:bottom w:w="120" w:type="dxa"/>
              <w:right w:w="120" w:type="dxa"/>
            </w:tcMar>
            <w:vAlign w:val="center"/>
          </w:tcPr>
          <w:p w14:paraId="35DDB33F">
            <w:pPr>
              <w:spacing w:after="0" w:line="240" w:lineRule="auto"/>
              <w:jc w:val="center"/>
            </w:pPr>
            <w:r>
              <w:rPr>
                <w:rFonts w:ascii="Times New Roman" w:hAnsi="Times New Roman" w:eastAsia="宋体"/>
                <w:b w:val="0"/>
                <w:sz w:val="22"/>
              </w:rPr>
              <w:t>4075.88</w:t>
            </w:r>
          </w:p>
        </w:tc>
      </w:tr>
    </w:tbl>
    <w:p w14:paraId="25133888">
      <w:pPr>
        <w:spacing w:after="80" w:line="360" w:lineRule="auto"/>
        <w:ind w:firstLine="420"/>
      </w:pPr>
      <w:r>
        <w:rPr>
          <w:rFonts w:ascii="Times New Roman" w:hAnsi="Times New Roman" w:eastAsia="宋体"/>
          <w:b w:val="0"/>
          <w:sz w:val="24"/>
        </w:rPr>
        <w:t>从测试结果可以看出，四类模型均取得了较高的拟合精度，说明所设计的数据预处理方案和轻量建模框架能够有效学习火灾热释放速率曲线与风向、风速、时间之间的映射关系。但从相对优劣来看，ResidualMLP 明显优于其余三种序列模型，尤其在 R² 和 RMSE 两项核心指标上均取得最优结果。</w:t>
      </w:r>
    </w:p>
    <w:p w14:paraId="095149F4">
      <w:pPr>
        <w:spacing w:after="80" w:line="360" w:lineRule="auto"/>
        <w:ind w:firstLine="420"/>
      </w:pPr>
      <w:r>
        <w:rPr>
          <w:rFonts w:ascii="Times New Roman" w:hAnsi="Times New Roman" w:eastAsia="宋体"/>
          <w:b w:val="0"/>
          <w:sz w:val="24"/>
        </w:rPr>
        <w:t>ResidualMLP 的领先说明：在当前任务中，条件变量与时间变量经过精心设计的特征工程后，已经携带了足够丰富的信息；模型若能够直接对这种增强后的低维特征进行非线性映射，往往比引入更复杂的时序机制更高效。这也反映出当前数据集规模下“强特征工程 + 轻量网络”是一种更优组合。</w:t>
      </w:r>
    </w:p>
    <w:p w14:paraId="3948A27B">
      <w:pPr>
        <w:spacing w:after="80" w:line="360" w:lineRule="auto"/>
        <w:ind w:firstLine="420"/>
      </w:pPr>
      <w:r>
        <w:rPr>
          <w:rFonts w:ascii="Times New Roman" w:hAnsi="Times New Roman" w:eastAsia="宋体"/>
          <w:b w:val="0"/>
          <w:sz w:val="24"/>
        </w:rPr>
        <w:t>CNN-BiLSTM 排名第二，表明将卷积和双向时序建模结合起来，确实有助于识别 HRR 曲线中的局部变化结构和前后文关系。它相比 AttentionLSTM 和 ImprovedTransformer 更稳定，可能因为卷积层提供了较强的局部归纳偏置，降低了模型对大规模数据的依赖。</w:t>
      </w:r>
    </w:p>
    <w:p w14:paraId="3964752D">
      <w:pPr>
        <w:spacing w:after="80" w:line="360" w:lineRule="auto"/>
        <w:ind w:firstLine="420"/>
      </w:pPr>
      <w:r>
        <w:rPr>
          <w:rFonts w:ascii="Times New Roman" w:hAnsi="Times New Roman" w:eastAsia="宋体"/>
          <w:b w:val="0"/>
          <w:sz w:val="24"/>
        </w:rPr>
        <w:t>AttentionLSTM 虽然引入了自注意力机制，理论上能够建模全局关联，但在当前任务中的表现略低于 CNN-BiLSTM。这说明全局注意力未能完全弥补小样本条件下参数学习的不确定性，甚至可能因为额外自由度增加而削弱了泛化表现。对于本类问题，注意力机制的收益并不一定大于其复杂度成本。</w:t>
      </w:r>
    </w:p>
    <w:p w14:paraId="3F29334E">
      <w:pPr>
        <w:spacing w:after="80" w:line="360" w:lineRule="auto"/>
        <w:ind w:firstLine="420"/>
      </w:pPr>
      <w:r>
        <w:rPr>
          <w:rFonts w:ascii="Times New Roman" w:hAnsi="Times New Roman" w:eastAsia="宋体"/>
          <w:b w:val="0"/>
          <w:sz w:val="24"/>
        </w:rPr>
        <w:t>ImprovedTransformer 的结果最低，但其表现依然达到了 R² 超过 0.91 的水平，说明模型并非无效，而是相较前三者优势不足。Transformer 往往在大样本、长序列、复杂上下文依赖任务中表现更优，而本研究只有 64 个样本，且条件变量对输出具有较强决定性，因此 Transformer 的高灵活度并未转化为更高精度，反而可能造成学习效率下降。</w:t>
      </w:r>
    </w:p>
    <w:p w14:paraId="7F22A6FD">
      <w:pPr>
        <w:spacing w:after="80" w:line="360" w:lineRule="auto"/>
        <w:ind w:firstLine="420"/>
      </w:pPr>
      <w:r>
        <w:rPr>
          <w:rFonts w:ascii="Times New Roman" w:hAnsi="Times New Roman" w:eastAsia="宋体"/>
          <w:b w:val="0"/>
          <w:sz w:val="24"/>
        </w:rPr>
        <w:t>若从论文讨论的角度进一步总结，可以认为本研究结果体现出一个清晰结论：对于小样本火灾 HRR 曲线预测问题，模型性能并不简单随结构复杂度提升而上升。相反，与数据规模、变量结构和物理机制相匹配的模型更容易取得最优结果。ResidualMLP 胜出的本质，不是因为 MLP 天生优于序列模型，而是因为其归纳偏置与当前任务的“条件函数逼近”属性更契合。</w:t>
      </w:r>
    </w:p>
    <w:p w14:paraId="6DD2076D">
      <w:pPr>
        <w:pStyle w:val="3"/>
        <w:spacing w:before="160" w:after="120"/>
      </w:pPr>
      <w:r>
        <w:rPr>
          <w:rFonts w:ascii="Times New Roman" w:hAnsi="Times New Roman" w:eastAsia="微软雅黑"/>
          <w:b/>
          <w:color w:val="1F4E79"/>
          <w:sz w:val="30"/>
        </w:rPr>
        <w:t>九、适合论文直接使用的讨论与结论表述</w:t>
      </w:r>
    </w:p>
    <w:p w14:paraId="6ED46B47">
      <w:pPr>
        <w:spacing w:after="80" w:line="360" w:lineRule="auto"/>
        <w:ind w:firstLine="420"/>
      </w:pPr>
      <w:r>
        <w:rPr>
          <w:rFonts w:ascii="Times New Roman" w:hAnsi="Times New Roman" w:eastAsia="宋体"/>
          <w:b w:val="0"/>
          <w:sz w:val="24"/>
        </w:rPr>
        <w:t>从方法学角度看，本研究提出的改进型深度学习预测框架兼顾了物理启发特征设计、样本级严格划分原则与小样本友好的轻量网络结构。通过对风向进行周期性编码、对时间进行多基函数扩展、对风速与时间构造交互项，并采用 RobustScaler 提高对异常值与峰值数据的鲁棒性，模型输入空间得到了有效重构。在此基础上，分别构建基于条件映射、局部卷积时序建模、注意力增强时序建模以及 Transformer 全局建模的四类代表性网络，实现了从简单到复杂的系统比较。</w:t>
      </w:r>
    </w:p>
    <w:p w14:paraId="5EBD0809">
      <w:pPr>
        <w:spacing w:after="80" w:line="360" w:lineRule="auto"/>
        <w:ind w:firstLine="420"/>
      </w:pPr>
      <w:r>
        <w:rPr>
          <w:rFonts w:ascii="Times New Roman" w:hAnsi="Times New Roman" w:eastAsia="宋体"/>
          <w:b w:val="0"/>
          <w:sz w:val="24"/>
        </w:rPr>
        <w:t>实验结果表明，四类模型均能够较好地预测热释放速率随时间的变化趋势，但在小样本条件下，模型复杂度并非越高越好。ResidualMLP 取得最高的 R² 和最低的 RMSE，说明在当前数据规模下，基于增强特征的条件型残差多层感知机最能有效平衡表达能力与泛化能力。CNN-BiLSTM 和 AttentionLSTM 在利用序列信息方面具有一定优势，但由于参数量增加和优化难度提升，其测试性能略低于 ResidualMLP。ImprovedTransformer 尽管具备更强的全局建模机制，但受限于样本数量和任务结构，未能展现出理论上的优势。</w:t>
      </w:r>
    </w:p>
    <w:p w14:paraId="1864D517">
      <w:pPr>
        <w:spacing w:after="80" w:line="360" w:lineRule="auto"/>
        <w:ind w:firstLine="420"/>
      </w:pPr>
      <w:r>
        <w:rPr>
          <w:rFonts w:ascii="Times New Roman" w:hAnsi="Times New Roman" w:eastAsia="宋体"/>
          <w:b w:val="0"/>
          <w:sz w:val="24"/>
        </w:rPr>
        <w:t>因此，可以在论文结论中指出：对于风向—风速条件控制下的火灾热释放速率曲线预测任务，采用“样本整体划分 + 物理启发特征工程 + 轻量条件网络”的方案，能够在较小数据规模下获得稳定且高精度的预测结果。这一发现对后续小样本燃烧实验数据建模具有一定参考价值。未来若进一步扩充样本规模、引入更多环境变量或采用跨工况迁移学习策略，Transformer 类模型的潜力可能得到更充分发挥。</w:t>
      </w:r>
    </w:p>
    <w:p w14:paraId="65501254">
      <w:pPr>
        <w:pStyle w:val="3"/>
        <w:spacing w:before="160" w:after="120"/>
      </w:pPr>
      <w:r>
        <w:rPr>
          <w:rFonts w:ascii="Times New Roman" w:hAnsi="Times New Roman" w:eastAsia="微软雅黑"/>
          <w:b/>
          <w:color w:val="1F4E79"/>
          <w:sz w:val="30"/>
        </w:rPr>
        <w:t>十、可直接放入论文中的文件引用说明</w:t>
      </w:r>
    </w:p>
    <w:p w14:paraId="23A5EA95">
      <w:pPr>
        <w:spacing w:after="80" w:line="360" w:lineRule="auto"/>
        <w:ind w:firstLine="420"/>
      </w:pPr>
      <w:r>
        <w:rPr>
          <w:rFonts w:ascii="Times New Roman" w:hAnsi="Times New Roman" w:eastAsia="宋体"/>
          <w:b w:val="0"/>
          <w:sz w:val="24"/>
        </w:rPr>
        <w:t>若在论文中需要说明实现来源，可将 fire_hrr_deep_learning_improved.py 视为“模型训练与基础可视化主程序”，将 model_evaluation_visualization.py 视为“模型统一评估与结果导出程序”。前者完成数据处理、模型训练、指标计算与权重保存，后者完成全样本推理、误差统计、图表生成和报告导出。这样的脚本分层设计不仅提高了代码可维护性，也使实验流程更清晰，符合科研计算中训练阶段与评估阶段分离的工程规范。</w:t>
      </w:r>
    </w:p>
    <w:p w14:paraId="3D4F1135">
      <w:pPr>
        <w:spacing w:after="80" w:line="360" w:lineRule="auto"/>
        <w:ind w:firstLine="420"/>
      </w:pPr>
      <w:r>
        <w:rPr>
          <w:rFonts w:ascii="Times New Roman" w:hAnsi="Times New Roman" w:eastAsia="宋体"/>
          <w:b w:val="0"/>
          <w:sz w:val="24"/>
        </w:rPr>
        <w:t>如果需要在论文附录中描述输出文件，可写为：训练阶段生成 metrics_v2.csv、各模型权重文件以及损失曲线、预测曲线等图表；评估阶段生成分样本预测 Excel 表、Parity Plot、残差分析图和综合评价报告。由此构成了从训练、验证到结果展示的完整实验记录链条。</w:t>
      </w:r>
    </w:p>
    <w:p w14:paraId="6374F5EB">
      <w:bookmarkStart w:id="0" w:name="_GoBack"/>
      <w:bookmarkEnd w:id="0"/>
    </w:p>
    <w:tbl>
      <w:tblPr>
        <w:tblStyle w:val="32"/>
        <w:tblW w:w="0" w:type="auto"/>
        <w:jc w:val="center"/>
        <w:tblLayout w:type="autofit"/>
        <w:tblCellMar>
          <w:top w:w="0" w:type="dxa"/>
          <w:left w:w="108" w:type="dxa"/>
          <w:bottom w:w="0" w:type="dxa"/>
          <w:right w:w="108" w:type="dxa"/>
        </w:tblCellMar>
      </w:tblPr>
      <w:tblGrid>
        <w:gridCol w:w="9632"/>
      </w:tblGrid>
      <w:tr w14:paraId="2FFC94DE">
        <w:tblPrEx>
          <w:tblCellMar>
            <w:top w:w="0" w:type="dxa"/>
            <w:left w:w="108" w:type="dxa"/>
            <w:bottom w:w="0" w:type="dxa"/>
            <w:right w:w="108" w:type="dxa"/>
          </w:tblCellMar>
        </w:tblPrEx>
        <w:trPr>
          <w:jc w:val="center"/>
        </w:trPr>
        <w:tc>
          <w:tcPr>
            <w:tcW w:w="9632" w:type="dxa"/>
            <w:shd w:val="clear" w:color="auto" w:fill="EEF5FC"/>
            <w:tcMar>
              <w:top w:w="150" w:type="dxa"/>
              <w:left w:w="150" w:type="dxa"/>
              <w:bottom w:w="150" w:type="dxa"/>
              <w:right w:w="150" w:type="dxa"/>
            </w:tcMar>
          </w:tcPr>
          <w:p w14:paraId="62AF22E4">
            <w:pPr>
              <w:spacing w:line="300" w:lineRule="auto"/>
            </w:pPr>
          </w:p>
        </w:tc>
      </w:tr>
    </w:tbl>
    <w:p w14:paraId="0C4AE303"/>
    <w:sectPr>
      <w:footerReference r:id="rId5" w:type="default"/>
      <w:pgSz w:w="12240" w:h="15840"/>
      <w:pgMar w:top="1304" w:right="1247"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73F01">
    <w:pPr>
      <w:pStyle w:val="24"/>
      <w:jc w:val="center"/>
    </w:pPr>
    <w:r>
      <w:rPr>
        <w:rFonts w:ascii="Times New Roman" w:hAnsi="Times New Roman" w:eastAsia="宋体"/>
        <w:b w:val="0"/>
        <w:color w:val="666666"/>
        <w:sz w:val="18"/>
      </w:rPr>
      <w:t xml:space="preserve">第 </w:t>
    </w:r>
    <w:r>
      <w:fldChar w:fldCharType="begin"/>
    </w:r>
    <w:r>
      <w:instrText xml:space="preserve">PAGE</w:instrText>
    </w:r>
    <w:r>
      <w:fldChar w:fldCharType="separate"/>
    </w:r>
    <w:r>
      <w:fldChar w:fldCharType="end"/>
    </w:r>
    <w:r>
      <w:rPr>
        <w:rFonts w:ascii="Times New Roman" w:hAnsi="Times New Roman" w:eastAsia="宋体"/>
        <w:b w:val="0"/>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1F19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9995</Words>
  <Characters>13055</Characters>
  <Lines>0</Lines>
  <Paragraphs>0</Paragraphs>
  <TotalTime>0</TotalTime>
  <ScaleCrop>false</ScaleCrop>
  <LinksUpToDate>false</LinksUpToDate>
  <CharactersWithSpaces>13547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徐元成</cp:lastModifiedBy>
  <dcterms:modified xsi:type="dcterms:W3CDTF">2026-03-08T03:00:19Z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eyJoZGlkIjoiY2JkNTg4MGQzMjQxZjMzNTQ4MDNmYzAxY2MzOWEyODUiLCJ1c2VySWQiOiI2OTE3OTQzNzIifQ==</vt:lpwstr>
  </property>
  <property fmtid="{D5CDD505-2E9C-101B-9397-08002B2CF9AE}" pid="3" name="KSOProductBuildVer">
    <vt:lpwstr>2052-12.1.0.25225</vt:lpwstr>
  </property>
  <property fmtid="{D5CDD505-2E9C-101B-9397-08002B2CF9AE}" pid="4" name="ICV">
    <vt:lpwstr>796121E36828435BB90EC9FB5398C518_12</vt:lpwstr>
  </property>
</Properties>
</file>