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Taxation</w:t>
      </w:r>
    </w:p>
    <w:p>
      <w:pPr>
        <w:jc w:val="center"/>
      </w:pPr>
      <w:r>
        <w:rPr>
          <w:i/>
          <w:sz w:val="28"/>
        </w:rPr>
        <w:t>Credit Allocation as the Primary Lever of Economic Policy</w:t>
      </w:r>
    </w:p>
    <w:p>
      <w:pPr>
        <w:jc w:val="center"/>
      </w:pPr>
      <w:r>
        <w:rPr>
          <w:sz w:val="24"/>
        </w:rPr>
        <w:t>A Synthesis of Tax Policy, Monetary Sovereignty, and Private Money Creation</w:t>
      </w:r>
    </w:p>
    <w:p/>
    <w:p>
      <w:pPr>
        <w:jc w:val="center"/>
      </w:pPr>
      <w:r>
        <w:rPr>
          <w:i/>
        </w:rPr>
        <w:t>March 2026</w:t>
      </w:r>
    </w:p>
    <w:p>
      <w:r>
        <w:br w:type="page"/>
      </w:r>
    </w:p>
    <w:p>
      <w:pPr>
        <w:pStyle w:val="Heading1"/>
      </w:pPr>
      <w:r>
        <w:t>Contents</w:t>
      </w:r>
    </w:p>
    <w:p>
      <w:r>
        <w:t>Executive Summary</w:t>
      </w:r>
      <w:r>
        <w:tab/>
        <w:tab/>
        <w:tab/>
        <w:tab/>
        <w:tab/>
        <w:tab/>
        <w:t>3</w:t>
      </w:r>
    </w:p>
    <w:p>
      <w:r>
        <w:t>1. The Starting Point: Flat Tax versus Progressive Tax</w:t>
      </w:r>
      <w:r>
        <w:tab/>
        <w:tab/>
        <w:tab/>
        <w:tab/>
        <w:tab/>
        <w:tab/>
        <w:t>4</w:t>
      </w:r>
    </w:p>
    <w:p>
      <w:r>
        <w:t>2. First Principles: Taxation as Disincentive</w:t>
      </w:r>
      <w:r>
        <w:tab/>
        <w:tab/>
        <w:tab/>
        <w:tab/>
        <w:tab/>
        <w:tab/>
        <w:t>5</w:t>
      </w:r>
    </w:p>
    <w:p>
      <w:r>
        <w:t>3. The Progressive Tax Argument</w:t>
      </w:r>
      <w:r>
        <w:tab/>
        <w:tab/>
        <w:tab/>
        <w:tab/>
        <w:tab/>
        <w:tab/>
        <w:t>6</w:t>
      </w:r>
    </w:p>
    <w:p>
      <w:r>
        <w:t>4. Beyond Revenue: Monetary Sovereignty</w:t>
      </w:r>
      <w:r>
        <w:tab/>
        <w:tab/>
        <w:tab/>
        <w:tab/>
        <w:tab/>
        <w:tab/>
        <w:t>7</w:t>
      </w:r>
    </w:p>
    <w:p>
      <w:r>
        <w:t>5. The Missing Variable: Private Credit Creation</w:t>
      </w:r>
      <w:r>
        <w:tab/>
        <w:tab/>
        <w:tab/>
        <w:tab/>
        <w:tab/>
        <w:tab/>
        <w:t>8</w:t>
      </w:r>
    </w:p>
    <w:p>
      <w:r>
        <w:t>6. The Hierarchy of Economic Levers</w:t>
      </w:r>
      <w:r>
        <w:tab/>
        <w:tab/>
        <w:tab/>
        <w:tab/>
        <w:tab/>
        <w:tab/>
        <w:t>10</w:t>
      </w:r>
    </w:p>
    <w:p>
      <w:r>
        <w:t>7. Policy Implications for South Africa</w:t>
      </w:r>
      <w:r>
        <w:tab/>
        <w:tab/>
        <w:tab/>
        <w:tab/>
        <w:tab/>
        <w:tab/>
        <w:t>11</w:t>
      </w:r>
    </w:p>
    <w:p>
      <w:r>
        <w:t>8. Conclusion</w:t>
      </w:r>
      <w:r>
        <w:tab/>
        <w:tab/>
        <w:tab/>
        <w:tab/>
        <w:tab/>
        <w:tab/>
        <w:t>14</w:t>
      </w:r>
    </w:p>
    <w:p>
      <w:r>
        <w:t>References</w:t>
      </w:r>
      <w:r>
        <w:tab/>
        <w:tab/>
        <w:tab/>
        <w:tab/>
        <w:tab/>
        <w:tab/>
        <w:t>15</w:t>
      </w:r>
    </w:p>
    <w:p>
      <w:r>
        <w:br w:type="page"/>
      </w:r>
    </w:p>
    <w:p>
      <w:pPr>
        <w:pStyle w:val="Heading1"/>
      </w:pPr>
      <w:r>
        <w:t>Executive Summary</w:t>
      </w:r>
    </w:p>
    <w:p>
      <w:r>
        <w:t>This paper synthesises an analytical progression through tax policy that reveals a fundamental reframing of economic policy priorities. Beginning with a conventional question—how much would VAT need to increase if South Africa implemented a flat income tax—the analysis moves through logical examination of taxation as a behavioural tool, questions about monetary sovereignty, and ultimately arrives at a more fundamental insight: the allocation of private credit may be a more significant determinant of economic outcomes than tax policy.</w:t>
      </w:r>
    </w:p>
    <w:p>
      <w:r>
        <w:t>The key findings are:</w:t>
      </w:r>
    </w:p>
    <w:p>
      <w:pPr>
        <w:pStyle w:val="ListBullet"/>
      </w:pPr>
      <w:r>
        <w:t>A 10% flat income tax with full tax credits for those currently below the tax threshold would require VAT to increase from 15% to approximately 23% to maintain revenue neutrality—if revenue were the binding constraint.</w:t>
      </w:r>
    </w:p>
    <w:p>
      <w:pPr>
        <w:pStyle w:val="ListBullet"/>
      </w:pPr>
      <w:r>
        <w:t>Logical analysis of taxation as disincentive suggests progressive taxation is more coherent than flat taxation, as it places minimal disincentive on subsistence earning and maximal disincentive on extreme accumulation.</w:t>
      </w:r>
    </w:p>
    <w:p>
      <w:pPr>
        <w:pStyle w:val="ListBullet"/>
      </w:pPr>
      <w:r>
        <w:t>Modern Monetary Theory correctly identifies that currency-issuing sovereigns are not revenue-constrained, transforming tax policy into a tool for inflation management and behavioural modification rather than funding.</w:t>
      </w:r>
    </w:p>
    <w:p>
      <w:pPr>
        <w:pStyle w:val="ListBullet"/>
      </w:pPr>
      <w:r>
        <w:t>However, MMT underemphasises that 95-97% of money in circulation is created by private banks through credit extension (Werner, 2014), not by governments or central banks.</w:t>
      </w:r>
    </w:p>
    <w:p>
      <w:pPr>
        <w:pStyle w:val="ListBullet"/>
      </w:pPr>
      <w:r>
        <w:t>The most consequential economic policy question is therefore not "what tax structure?" but "where does credit flow?"—specifically, whether bank lending finances productive economic activity or merely inflates existing asset prices.</w:t>
      </w:r>
    </w:p>
    <w:p>
      <w:r>
        <w:t>This reframing suggests that debates about tax structure, while politically prominent, address a secondary lever. The primary determinants of economic health, inequality, and productive capacity lie in credit allocation policy—a domain that receives far less public attention.</w:t>
      </w:r>
    </w:p>
    <w:p>
      <w:r>
        <w:br w:type="page"/>
      </w:r>
    </w:p>
    <w:p>
      <w:pPr>
        <w:pStyle w:val="Heading1"/>
      </w:pPr>
      <w:r>
        <w:t>1. The Starting Point: Flat Tax versus Progressive Tax</w:t>
      </w:r>
    </w:p>
    <w:p>
      <w:r>
        <w:t>The analysis began with a practical modelling exercise: if South Africa were to replace its progressive income tax system (with marginal rates from 18% to 45%) with a flat tax of 10%, and provide tax credits to those who currently pay no income tax, what compensating increase in VAT would be required?</w:t>
      </w:r>
    </w:p>
    <w:p>
      <w:pPr>
        <w:pStyle w:val="Heading2"/>
      </w:pPr>
      <w:r>
        <w:t>Current System Parameters (2025/26)</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Registered Taxpayers</w:t>
            </w:r>
          </w:p>
        </w:tc>
        <w:tc>
          <w:tcPr>
            <w:tcW w:type="dxa" w:w="4320"/>
          </w:tcPr>
          <w:p>
            <w:r>
              <w:t>27.1 million</w:t>
            </w:r>
          </w:p>
        </w:tc>
      </w:tr>
      <w:tr>
        <w:tc>
          <w:tcPr>
            <w:tcW w:type="dxa" w:w="4320"/>
          </w:tcPr>
          <w:p>
            <w:r>
              <w:t>Assessed Taxpayers</w:t>
            </w:r>
          </w:p>
        </w:tc>
        <w:tc>
          <w:tcPr>
            <w:tcW w:type="dxa" w:w="4320"/>
          </w:tcPr>
          <w:p>
            <w:r>
              <w:t>7.7 million</w:t>
            </w:r>
          </w:p>
        </w:tc>
      </w:tr>
      <w:tr>
        <w:tc>
          <w:tcPr>
            <w:tcW w:type="dxa" w:w="4320"/>
          </w:tcPr>
          <w:p>
            <w:r>
              <w:t>Aggregated Taxable Income</w:t>
            </w:r>
          </w:p>
        </w:tc>
        <w:tc>
          <w:tcPr>
            <w:tcW w:type="dxa" w:w="4320"/>
          </w:tcPr>
          <w:p>
            <w:r>
              <w:t>R2.7 trillion</w:t>
            </w:r>
          </w:p>
        </w:tc>
      </w:tr>
      <w:tr>
        <w:tc>
          <w:tcPr>
            <w:tcW w:type="dxa" w:w="4320"/>
          </w:tcPr>
          <w:p>
            <w:r>
              <w:t>Personal Income Tax Revenue</w:t>
            </w:r>
          </w:p>
        </w:tc>
        <w:tc>
          <w:tcPr>
            <w:tcW w:type="dxa" w:w="4320"/>
          </w:tcPr>
          <w:p>
            <w:r>
              <w:t>R563.3 billion</w:t>
            </w:r>
          </w:p>
        </w:tc>
      </w:tr>
      <w:tr>
        <w:tc>
          <w:tcPr>
            <w:tcW w:type="dxa" w:w="4320"/>
          </w:tcPr>
          <w:p>
            <w:r>
              <w:t>Current VAT Rate</w:t>
            </w:r>
          </w:p>
        </w:tc>
        <w:tc>
          <w:tcPr>
            <w:tcW w:type="dxa" w:w="4320"/>
          </w:tcPr>
          <w:p>
            <w:r>
              <w:t>15%</w:t>
            </w:r>
          </w:p>
        </w:tc>
      </w:tr>
    </w:tbl>
    <w:p/>
    <w:p>
      <w:r>
        <w:t>Source: SARS Tax Statistics 2025; National Treasury Budget Review 2026</w:t>
      </w:r>
    </w:p>
    <w:p>
      <w:pPr>
        <w:pStyle w:val="Heading2"/>
      </w:pPr>
      <w:r>
        <w:t>Model Results</w:t>
      </w:r>
    </w:p>
    <w:p>
      <w:r>
        <w:t>At a 10% flat tax rate with 100% tax credits for the 19.4 million registered taxpayers currently below the tax threshold: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Flat Tax Revenue (with credits)</w:t>
            </w:r>
          </w:p>
        </w:tc>
        <w:tc>
          <w:tcPr>
            <w:tcW w:type="dxa" w:w="4320"/>
          </w:tcPr>
          <w:p>
            <w:r>
              <w:t>R274.1 billion</w:t>
            </w:r>
          </w:p>
        </w:tc>
      </w:tr>
      <w:tr>
        <w:tc>
          <w:tcPr>
            <w:tcW w:type="dxa" w:w="4320"/>
          </w:tcPr>
          <w:p>
            <w:r>
              <w:t>Revenue Shortfall vs Current</w:t>
            </w:r>
          </w:p>
        </w:tc>
        <w:tc>
          <w:tcPr>
            <w:tcW w:type="dxa" w:w="4320"/>
          </w:tcPr>
          <w:p>
            <w:r>
              <w:t>R279.3 billion</w:t>
            </w:r>
          </w:p>
        </w:tc>
      </w:tr>
      <w:tr>
        <w:tc>
          <w:tcPr>
            <w:tcW w:type="dxa" w:w="4320"/>
          </w:tcPr>
          <w:p>
            <w:r>
              <w:t>VAT Increase Required</w:t>
            </w:r>
          </w:p>
        </w:tc>
        <w:tc>
          <w:tcPr>
            <w:tcW w:type="dxa" w:w="4320"/>
          </w:tcPr>
          <w:p>
            <w:r>
              <w:t>+8.3 percentage points</w:t>
            </w:r>
          </w:p>
        </w:tc>
      </w:tr>
      <w:tr>
        <w:tc>
          <w:tcPr>
            <w:tcW w:type="dxa" w:w="4320"/>
          </w:tcPr>
          <w:p>
            <w:r>
              <w:t>New VAT Rate Required</w:t>
            </w:r>
          </w:p>
        </w:tc>
        <w:tc>
          <w:tcPr>
            <w:tcW w:type="dxa" w:w="4320"/>
          </w:tcPr>
          <w:p>
            <w:r>
              <w:t>23.3%</w:t>
            </w:r>
          </w:p>
        </w:tc>
      </w:tr>
    </w:tbl>
    <w:p/>
    <w:p>
      <w:r>
        <w:t>The sensitivity analysis revealed that a flat tax rate of approximately 20% would be required to achieve revenue neutrality without VAT adjustment. At rates below this, the combination of lower marginal rates on high earners and tax credits for new taxpayers creates substantial revenue gaps that must be filled through consumption taxation.</w:t>
      </w:r>
    </w:p>
    <w:p>
      <w:r>
        <w:br w:type="page"/>
      </w:r>
    </w:p>
    <w:p>
      <w:pPr>
        <w:pStyle w:val="Heading1"/>
      </w:pPr>
      <w:r>
        <w:t>2. First Principles: Taxation as Disincentive</w:t>
      </w:r>
    </w:p>
    <w:p>
      <w:r>
        <w:t>Before evaluating the relative merits of flat versus progressive taxation, it is necessary to establish the foundational logic of taxation itself. Two axioms frame this analysis:</w:t>
      </w:r>
    </w:p>
    <w:p>
      <w:pPr>
        <w:pStyle w:val="Heading2"/>
      </w:pPr>
      <w:r>
        <w:t>Axiom 1: You tax what you wish to see less of</w:t>
      </w:r>
    </w:p>
    <w:p>
      <w:r>
        <w:t>This principle is evident in Pigouvian taxes such as carbon taxes, tobacco duties, and alcohol excises. The explicit purpose is to reduce consumption of harmful goods by increasing their cost. The same logic applies to all taxation: the imposition of a tax on any activity creates a disincentive for that activity.</w:t>
      </w:r>
    </w:p>
    <w:p>
      <w:pPr>
        <w:pStyle w:val="Heading2"/>
      </w:pPr>
      <w:r>
        <w:t>Axiom 2: Tax is a disincentive, not an incentive</w:t>
      </w:r>
    </w:p>
    <w:p>
      <w:r>
        <w:t>Taxation removes resources from the taxed party. It cannot, by itself, encourage behaviour. Tax relief or exemption may function as a relative incentive (compared to the counterfactual of taxation), but the tax itself operates only as a deterrent.</w:t>
      </w:r>
    </w:p>
    <w:p>
      <w:pPr>
        <w:pStyle w:val="Heading2"/>
      </w:pPr>
      <w:r>
        <w:t>Implications</w:t>
      </w:r>
    </w:p>
    <w:p>
      <w:r>
        <w:t>If these axioms hold, then the design of a tax system is fundamentally a statement about what activities a society wishes to discourage. The strength of the tax rate determines the strength of the disincentive. A 45% marginal rate creates a stronger disincentive than an 18% rate.</w:t>
      </w:r>
    </w:p>
    <w:p>
      <w:r>
        <w:t>This framing transforms tax policy from a technical revenue question into a normative question: What do we want less of?</w:t>
      </w:r>
    </w:p>
    <w:p>
      <w:r>
        <w:br w:type="page"/>
      </w:r>
    </w:p>
    <w:p>
      <w:pPr>
        <w:pStyle w:val="Heading1"/>
      </w:pPr>
      <w:r>
        <w:t>3. The Progressive Tax Argument</w:t>
      </w:r>
    </w:p>
    <w:p>
      <w:r>
        <w:t>Given the axioms established above, progressive and flat taxation make different implicit statements about societal preferences.</w:t>
      </w:r>
    </w:p>
    <w:p>
      <w:pPr>
        <w:pStyle w:val="Heading2"/>
      </w:pPr>
      <w:r>
        <w:t>Flat Taxation</w:t>
      </w:r>
    </w:p>
    <w:p>
      <w:r>
        <w:t>A flat tax applies equal disincentive to all income regardless of level. It treats the first rand earned by a minimum-wage worker identically to the millionth rand earned by a wealthy individual. The implicit statement is: "We wish to see equally less of poverty-escaping earnings and luxury accumulation."</w:t>
      </w:r>
    </w:p>
    <w:p>
      <w:pPr>
        <w:pStyle w:val="Heading2"/>
      </w:pPr>
      <w:r>
        <w:t>Progressive Taxation</w:t>
      </w:r>
    </w:p>
    <w:p>
      <w:r>
        <w:t>A progressive tax applies minimal disincentive to low earnings and maximal disincentive to high earnings. In South Africa's current system, income below R95,750 faces no tax at all, while income above R1.8 million faces a 45% marginal rate. The implicit statement is: "We wish to see more basic income security and less extreme accumulation."</w:t>
      </w:r>
    </w:p>
    <w:p>
      <w:pPr>
        <w:pStyle w:val="Heading2"/>
      </w:pPr>
      <w:r>
        <w:t>The Coherence Test</w:t>
      </w:r>
    </w:p>
    <w:p>
      <w:r>
        <w:t>Under the axioms, progressive taxation represents a more coherent position. If taxation is disincentive, and disincentive should target what we wish to reduce, then placing the lightest burden on subsistence earning and the heaviest on marginal accumulation at very high income levels aligns tax policy with broadly shared values about economic security.</w:t>
      </w:r>
    </w:p>
    <w:p>
      <w:pPr>
        <w:pStyle w:val="Heading2"/>
      </w:pPr>
      <w:r>
        <w:t>The Innovation Counterargument</w:t>
      </w:r>
    </w:p>
    <w:p>
      <w:r>
        <w:t>A common objection holds that progressive taxation suppresses innovation by reducing returns to entrepreneurial effort. If humans respond to incentives, and high marginal tax rates reduce incentives at the top, then innovation and growth may suffer.</w:t>
      </w:r>
    </w:p>
    <w:p>
      <w:r>
        <w:t>This argument has merit but requires qualification:</w:t>
      </w:r>
    </w:p>
    <w:p>
      <w:pPr>
        <w:pStyle w:val="ListBullet"/>
      </w:pPr>
      <w:r>
        <w:t>Not all high-income activity is innovative. Financial engineering, rent-seeking from market position, and asset appreciation without creation are captured in top brackets alongside genuine innovation.</w:t>
      </w:r>
    </w:p>
    <w:p>
      <w:pPr>
        <w:pStyle w:val="ListBullet"/>
      </w:pPr>
      <w:r>
        <w:t>Research on motivation suggests innovators are often driven by autonomy, mastery, status, and intrinsic rewards—not exclusively by the difference between keeping 55% versus 90% of marginal income.</w:t>
      </w:r>
    </w:p>
    <w:p>
      <w:pPr>
        <w:pStyle w:val="ListBullet"/>
      </w:pPr>
      <w:r>
        <w:t>Historical evidence is ambiguous. The United States during 1945-1970 maintained top marginal rates of 70-91% while producing substantial innovation. Scandinavian countries combine high progressivity with strong innovation indices.</w:t>
      </w:r>
    </w:p>
    <w:p>
      <w:r>
        <w:br w:type="page"/>
      </w:r>
    </w:p>
    <w:p>
      <w:pPr>
        <w:pStyle w:val="Heading1"/>
      </w:pPr>
      <w:r>
        <w:t>4. Beyond Revenue: Monetary Sovereignty</w:t>
      </w:r>
    </w:p>
    <w:p>
      <w:r>
        <w:t>The preceding analysis assumes that taxation serves primarily to fund government expenditure. This assumption, while conventional, may be mistaken for currency-issuing sovereigns.</w:t>
      </w:r>
    </w:p>
    <w:p>
      <w:pPr>
        <w:pStyle w:val="Heading2"/>
      </w:pPr>
      <w:r>
        <w:t>The Sovereign Money Position</w:t>
      </w:r>
    </w:p>
    <w:p>
      <w:r>
        <w:t>South Africa, like other nations with sovereign currencies, maintains control over:</w:t>
      </w:r>
    </w:p>
    <w:p>
      <w:pPr>
        <w:pStyle w:val="ListBullet"/>
      </w:pPr>
      <w:r>
        <w:t>Issuance of physical currency</w:t>
      </w:r>
    </w:p>
    <w:p>
      <w:pPr>
        <w:pStyle w:val="ListBullet"/>
      </w:pPr>
      <w:r>
        <w:t>The Reserve Bank and monetary policy</w:t>
      </w:r>
    </w:p>
    <w:p>
      <w:pPr>
        <w:pStyle w:val="ListBullet"/>
      </w:pPr>
      <w:r>
        <w:t>Regulatory authority over banks that create money through credit extension</w:t>
      </w:r>
    </w:p>
    <w:p>
      <w:r>
        <w:t>Under this view, a currency-issuing government does not need to collect taxes before it can spend. The operational sequence is reversed: government must first spend currency into existence before it can collect it back in taxes. Taxes, in this framing, do not "fund" anything—they are a mechanism for managing the economy.</w:t>
      </w:r>
    </w:p>
    <w:p>
      <w:pPr>
        <w:pStyle w:val="Heading2"/>
      </w:pPr>
      <w:r>
        <w:t>The True Purposes of Taxation</w:t>
      </w:r>
    </w:p>
    <w:p>
      <w:r>
        <w:t>If taxes do not operationally fund government spending, their functions become:</w:t>
      </w:r>
    </w:p>
    <w:tbl>
      <w:tblPr>
        <w:tblStyle w:val="TableGrid"/>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Mechanism</w:t>
            </w:r>
          </w:p>
        </w:tc>
      </w:tr>
      <w:tr>
        <w:tc>
          <w:tcPr>
            <w:tcW w:type="dxa" w:w="4320"/>
          </w:tcPr>
          <w:p>
            <w:r>
              <w:t>Inflation control</w:t>
            </w:r>
          </w:p>
        </w:tc>
        <w:tc>
          <w:tcPr>
            <w:tcW w:type="dxa" w:w="4320"/>
          </w:tcPr>
          <w:p>
            <w:r>
              <w:t>Draining excess purchasing power from the economy</w:t>
            </w:r>
          </w:p>
        </w:tc>
      </w:tr>
      <w:tr>
        <w:tc>
          <w:tcPr>
            <w:tcW w:type="dxa" w:w="4320"/>
          </w:tcPr>
          <w:p>
            <w:r>
              <w:t>Currency demand</w:t>
            </w:r>
          </w:p>
        </w:tc>
        <w:tc>
          <w:tcPr>
            <w:tcW w:type="dxa" w:w="4320"/>
          </w:tcPr>
          <w:p>
            <w:r>
              <w:t>Creating need for domestic currency (taxes must be paid in Rands)</w:t>
            </w:r>
          </w:p>
        </w:tc>
      </w:tr>
      <w:tr>
        <w:tc>
          <w:tcPr>
            <w:tcW w:type="dxa" w:w="4320"/>
          </w:tcPr>
          <w:p>
            <w:r>
              <w:t>Behaviour modification</w:t>
            </w:r>
          </w:p>
        </w:tc>
        <w:tc>
          <w:tcPr>
            <w:tcW w:type="dxa" w:w="4320"/>
          </w:tcPr>
          <w:p>
            <w:r>
              <w:t>Disincentivising targeted activities</w:t>
            </w:r>
          </w:p>
        </w:tc>
      </w:tr>
      <w:tr>
        <w:tc>
          <w:tcPr>
            <w:tcW w:type="dxa" w:w="4320"/>
          </w:tcPr>
          <w:p>
            <w:r>
              <w:t>Redistribution</w:t>
            </w:r>
          </w:p>
        </w:tc>
        <w:tc>
          <w:tcPr>
            <w:tcW w:type="dxa" w:w="4320"/>
          </w:tcPr>
          <w:p>
            <w:r>
              <w:t>Reducing inequality directly</w:t>
            </w:r>
          </w:p>
        </w:tc>
      </w:tr>
    </w:tbl>
    <w:p/>
    <w:p>
      <w:pPr>
        <w:pStyle w:val="Heading2"/>
      </w:pPr>
      <w:r>
        <w:t>Implications for Tax Policy</w:t>
      </w:r>
    </w:p>
    <w:p>
      <w:r>
        <w:t>This reframing transforms the question. Instead of asking "how do we collect enough revenue?", the question becomes "what behaviours do we want to modify, and where do we need to drain purchasing power to prevent inflation?"</w:t>
      </w:r>
    </w:p>
    <w:p>
      <w:r>
        <w:t>Under this view, the VAT calculator from Section 1 answers the wrong question. If revenue is not the binding constraint, then "compensating" for income tax changes through VAT increases is not logically required—except insofar as it achieves specific inflation management or behavioural objectives.</w:t>
      </w:r>
    </w:p>
    <w:p>
      <w:r>
        <w:br w:type="page"/>
      </w:r>
    </w:p>
    <w:p>
      <w:pPr>
        <w:pStyle w:val="Heading1"/>
      </w:pPr>
      <w:r>
        <w:t>5. The Missing Variable: Private Credit Creation</w:t>
      </w:r>
    </w:p>
    <w:p>
      <w:r>
        <w:t>Modern Monetary Theory and related frameworks correctly identify that sovereigns are not revenue-constrained. However, they underemphasise a crucial element of the monetary system: the role of private banks in money creation.</w:t>
      </w:r>
    </w:p>
    <w:p>
      <w:pPr>
        <w:pStyle w:val="Heading2"/>
      </w:pPr>
      <w:r>
        <w:t>The Werner Contribution</w:t>
      </w:r>
    </w:p>
    <w:p>
      <w:r>
        <w:t>Richard Werner's empirical research, documented in works including "Princes of the Yen" (2003) and "Can Banks Individually Create Money Out of Nothing?" (2014), demonstrates that:</w:t>
      </w:r>
    </w:p>
    <w:p>
      <w:pPr>
        <w:pStyle w:val="ListBullet"/>
      </w:pPr>
      <w:r>
        <w:t>Banks do not lend out deposits. The textbook "money multiplier" model is empirically false.</w:t>
      </w:r>
    </w:p>
    <w:p>
      <w:pPr>
        <w:pStyle w:val="ListBullet"/>
      </w:pPr>
      <w:r>
        <w:t>When a bank extends credit, it creates new money by crediting the borrower's account. No prior deposits or reserves are required.</w:t>
      </w:r>
    </w:p>
    <w:p>
      <w:pPr>
        <w:pStyle w:val="ListBullet"/>
      </w:pPr>
      <w:r>
        <w:t>Approximately 95-97% of money in circulation is created by private banks through credit extension, not by central banks or governments.</w:t>
      </w:r>
    </w:p>
    <w:p>
      <w:r>
        <w:t>This finding fundamentally alters the picture. While MMT focuses on government as the source of money, Werner shows that the private banking system is the dominant monetary force.</w:t>
      </w:r>
    </w:p>
    <w:p>
      <w:pPr>
        <w:pStyle w:val="Heading2"/>
      </w:pPr>
      <w:r>
        <w:t>The Critical Distinction: Productive versus Asset Credit</w:t>
      </w:r>
    </w:p>
    <w:p>
      <w:r>
        <w:t>Werner's most consequential insight is that not all credit is economically equivalent. He distinguishes between: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Credit Type</w:t>
            </w:r>
          </w:p>
        </w:tc>
        <w:tc>
          <w:tcPr>
            <w:tcW w:type="dxa" w:w="2880"/>
          </w:tcPr>
          <w:p>
            <w:r>
              <w:rPr>
                <w:b/>
              </w:rPr>
              <w:t>Flows To</w:t>
            </w:r>
          </w:p>
        </w:tc>
        <w:tc>
          <w:tcPr>
            <w:tcW w:type="dxa" w:w="2880"/>
          </w:tcPr>
          <w:p>
            <w:r>
              <w:rPr>
                <w:b/>
              </w:rPr>
              <w:t>Economic Effect</w:t>
            </w:r>
          </w:p>
        </w:tc>
      </w:tr>
      <w:tr>
        <w:tc>
          <w:tcPr>
            <w:tcW w:type="dxa" w:w="2880"/>
          </w:tcPr>
          <w:p>
            <w:r>
              <w:t>Productive Credit</w:t>
            </w:r>
          </w:p>
        </w:tc>
        <w:tc>
          <w:tcPr>
            <w:tcW w:type="dxa" w:w="2880"/>
          </w:tcPr>
          <w:p>
            <w:r>
              <w:t>GDP transactions: new goods, services, capital formation</w:t>
            </w:r>
          </w:p>
        </w:tc>
        <w:tc>
          <w:tcPr>
            <w:tcW w:type="dxa" w:w="2880"/>
          </w:tcPr>
          <w:p>
            <w:r>
              <w:t>Real growth, employment, sustainable development</w:t>
            </w:r>
          </w:p>
        </w:tc>
      </w:tr>
      <w:tr>
        <w:tc>
          <w:tcPr>
            <w:tcW w:type="dxa" w:w="2880"/>
          </w:tcPr>
          <w:p>
            <w:r>
              <w:t>Asset Credit</w:t>
            </w:r>
          </w:p>
        </w:tc>
        <w:tc>
          <w:tcPr>
            <w:tcW w:type="dxa" w:w="2880"/>
          </w:tcPr>
          <w:p>
            <w:r>
              <w:t>Non-GDP transactions: existing property, financial assets</w:t>
            </w:r>
          </w:p>
        </w:tc>
        <w:tc>
          <w:tcPr>
            <w:tcW w:type="dxa" w:w="2880"/>
          </w:tcPr>
          <w:p>
            <w:r>
              <w:t>Asset inflation, bubbles, inequality</w:t>
            </w:r>
          </w:p>
        </w:tc>
      </w:tr>
    </w:tbl>
    <w:p/>
    <w:p>
      <w:r>
        <w:t>When banks extend credit for the purchase of existing assets—property, shares, financial instruments—no new value is created. The additional money simply bids up the price of existing assets. This creates the appearance of wealth through asset appreciation while contributing nothing to productive capacity, employment, or real economic output.</w:t>
      </w:r>
    </w:p>
    <w:p>
      <w:r>
        <w:t>Conversely, when credit finances new productive capacity—manufacturing equipment, business working capital, infrastructure—it generates employment, output, and sustainable economic activity.</w:t>
      </w:r>
    </w:p>
    <w:p>
      <w:pPr>
        <w:pStyle w:val="Heading2"/>
      </w:pPr>
      <w:r>
        <w:t>Empirical Consequences</w:t>
      </w:r>
    </w:p>
    <w:p>
      <w:r>
        <w:t>Werner traces major economic dysfunctions to misallocation of credit:</w:t>
      </w:r>
    </w:p>
    <w:p>
      <w:pPr>
        <w:pStyle w:val="ListBullet"/>
      </w:pPr>
      <w:r>
        <w:t>Japan's "lost decades" resulted from massive credit expansion into real estate and financial assets during the 1980s bubble, followed by credit contraction.</w:t>
      </w:r>
    </w:p>
    <w:p>
      <w:pPr>
        <w:pStyle w:val="ListBullet"/>
      </w:pPr>
      <w:r>
        <w:t>The 2008 Global Financial Crisis originated in excessive credit creation for existing housing assets in the United States.</w:t>
      </w:r>
    </w:p>
    <w:p>
      <w:pPr>
        <w:pStyle w:val="ListBullet"/>
      </w:pPr>
      <w:r>
        <w:t>Property bubbles globally reflect credit flowing into non-GDP transactions rather than productive investment.</w:t>
      </w:r>
    </w:p>
    <w:p>
      <w:pPr>
        <w:pStyle w:val="Heading2"/>
      </w:pPr>
      <w:r>
        <w:t>The Implication</w:t>
      </w:r>
    </w:p>
    <w:p>
      <w:r>
        <w:t>If private credit creation is the dominant monetary force, and if the allocation of that credit between productive and asset-based uses determines economic outcomes, then credit policy—not tax policy—is the primary lever of economic management.</w:t>
      </w:r>
    </w:p>
    <w:p>
      <w:r>
        <w:br w:type="page"/>
      </w:r>
    </w:p>
    <w:p>
      <w:pPr>
        <w:pStyle w:val="Heading1"/>
      </w:pPr>
      <w:r>
        <w:t>6. The Hierarchy of Economic Levers</w:t>
      </w:r>
    </w:p>
    <w:p>
      <w:r>
        <w:t>The progression of this analysis establishes a hierarchy of economic policy levers: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Policy Domain</w:t>
            </w:r>
          </w:p>
        </w:tc>
        <w:tc>
          <w:tcPr>
            <w:tcW w:type="dxa" w:w="2880"/>
          </w:tcPr>
          <w:p>
            <w:r>
              <w:rPr>
                <w:b/>
              </w:rPr>
              <w:t>Primary Effect</w:t>
            </w:r>
          </w:p>
        </w:tc>
      </w:tr>
      <w:tr>
        <w:tc>
          <w:tcPr>
            <w:tcW w:type="dxa" w:w="2880"/>
          </w:tcPr>
          <w:p>
            <w:r>
              <w:t>1 (Most Fundamental)</w:t>
            </w:r>
          </w:p>
        </w:tc>
        <w:tc>
          <w:tcPr>
            <w:tcW w:type="dxa" w:w="2880"/>
          </w:tcPr>
          <w:p>
            <w:r>
              <w:t>Credit Allocation</w:t>
            </w:r>
          </w:p>
        </w:tc>
        <w:tc>
          <w:tcPr>
            <w:tcW w:type="dxa" w:w="2880"/>
          </w:tcPr>
          <w:p>
            <w:r>
              <w:t>Determines whether new money finances production or inflates assets</w:t>
            </w:r>
          </w:p>
        </w:tc>
      </w:tr>
      <w:tr>
        <w:tc>
          <w:tcPr>
            <w:tcW w:type="dxa" w:w="2880"/>
          </w:tcPr>
          <w:p>
            <w:r>
              <w:t>2</w:t>
            </w:r>
          </w:p>
        </w:tc>
        <w:tc>
          <w:tcPr>
            <w:tcW w:type="dxa" w:w="2880"/>
          </w:tcPr>
          <w:p>
            <w:r>
              <w:t>Monetary Sovereignty</w:t>
            </w:r>
          </w:p>
        </w:tc>
        <w:tc>
          <w:tcPr>
            <w:tcW w:type="dxa" w:w="2880"/>
          </w:tcPr>
          <w:p>
            <w:r>
              <w:t>State's power over currency and banking regulation</w:t>
            </w:r>
          </w:p>
        </w:tc>
      </w:tr>
      <w:tr>
        <w:tc>
          <w:tcPr>
            <w:tcW w:type="dxa" w:w="2880"/>
          </w:tcPr>
          <w:p>
            <w:r>
              <w:t>3</w:t>
            </w:r>
          </w:p>
        </w:tc>
        <w:tc>
          <w:tcPr>
            <w:tcW w:type="dxa" w:w="2880"/>
          </w:tcPr>
          <w:p>
            <w:r>
              <w:t>Tax Policy</w:t>
            </w:r>
          </w:p>
        </w:tc>
        <w:tc>
          <w:tcPr>
            <w:tcW w:type="dxa" w:w="2880"/>
          </w:tcPr>
          <w:p>
            <w:r>
              <w:t>Behavioural incentives and liquidity management</w:t>
            </w:r>
          </w:p>
        </w:tc>
      </w:tr>
      <w:tr>
        <w:tc>
          <w:tcPr>
            <w:tcW w:type="dxa" w:w="2880"/>
          </w:tcPr>
          <w:p>
            <w:r>
              <w:t>4 (Least Fundamental)</w:t>
            </w:r>
          </w:p>
        </w:tc>
        <w:tc>
          <w:tcPr>
            <w:tcW w:type="dxa" w:w="2880"/>
          </w:tcPr>
          <w:p>
            <w:r>
              <w:t>Tax Structure</w:t>
            </w:r>
          </w:p>
        </w:tc>
        <w:tc>
          <w:tcPr>
            <w:tcW w:type="dxa" w:w="2880"/>
          </w:tcPr>
          <w:p>
            <w:r>
              <w:t>Progressive versus flat rate design</w:t>
            </w:r>
          </w:p>
        </w:tc>
      </w:tr>
    </w:tbl>
    <w:p/>
    <w:p>
      <w:r>
        <w:t>This hierarchy suggests that the conventional focus on tax structure debates—flat versus progressive, optimal marginal rates, VAT levels—addresses a fourth-order concern while ignoring more fundamental determinants of economic outcomes.</w:t>
      </w:r>
    </w:p>
    <w:p>
      <w:pPr>
        <w:pStyle w:val="Heading2"/>
      </w:pPr>
      <w:r>
        <w:t>The Relationship Between Levels</w:t>
      </w:r>
    </w:p>
    <w:p>
      <w:r>
        <w:t>Each level operates within constraints set by the level above:</w:t>
      </w:r>
    </w:p>
    <w:p>
      <w:pPr>
        <w:pStyle w:val="ListBullet"/>
      </w:pPr>
      <w:r>
        <w:t>Tax structure choices operate within the space defined by tax policy objectives.</w:t>
      </w:r>
    </w:p>
    <w:p>
      <w:pPr>
        <w:pStyle w:val="ListBullet"/>
      </w:pPr>
      <w:r>
        <w:t>Tax policy operates within the space defined by monetary sovereignty decisions.</w:t>
      </w:r>
    </w:p>
    <w:p>
      <w:pPr>
        <w:pStyle w:val="ListBullet"/>
      </w:pPr>
      <w:r>
        <w:t>Monetary sovereignty operates within the space defined by credit allocation patterns.</w:t>
      </w:r>
    </w:p>
    <w:p>
      <w:r>
        <w:t>A country could implement an optimal tax structure and still experience economic dysfunction if credit creation flows predominantly into asset inflation. Conversely, effective credit allocation toward productive uses could generate growth despite suboptimal tax structures.</w:t>
      </w:r>
    </w:p>
    <w:p>
      <w:r>
        <w:br w:type="page"/>
      </w:r>
    </w:p>
    <w:p>
      <w:pPr>
        <w:pStyle w:val="Heading1"/>
      </w:pPr>
      <w:r>
        <w:t>7. Policy Implications for South Africa</w:t>
      </w:r>
    </w:p>
    <w:p>
      <w:r>
        <w:t>If credit allocation is the primary economic lever, South African policy discourse requires significant reorientation.</w:t>
      </w:r>
    </w:p>
    <w:p>
      <w:pPr>
        <w:pStyle w:val="Heading2"/>
      </w:pPr>
      <w:r>
        <w:t>7.1 What Credit Allocation Policy Could Look Like</w:t>
      </w:r>
    </w:p>
    <w:p>
      <w:r>
        <w:t>South African banks currently direct credit across various uses. The policy question is whether regulatory and incentive structures guide this allocation toward productive ends.</w:t>
      </w:r>
    </w:p>
    <w:p>
      <w:r>
        <w:rPr>
          <w:b/>
        </w:rPr>
        <w:t>Current Credit Patterns</w:t>
      </w:r>
    </w:p>
    <w:p>
      <w:r>
        <w:t>Without detailed data on South African bank lending composition, general patterns suggest significant credit flows into:</w:t>
      </w:r>
    </w:p>
    <w:tbl>
      <w:tblPr>
        <w:tblStyle w:val="TableGrid"/>
        <w:tblW w:type="auto" w:w="0"/>
        <w:tblLook w:firstColumn="1" w:firstRow="1" w:lastColumn="0" w:lastRow="0" w:noHBand="0" w:noVBand="1" w:val="04A0"/>
      </w:tblPr>
      <w:tblGrid>
        <w:gridCol w:w="4320"/>
        <w:gridCol w:w="4320"/>
      </w:tblGrid>
      <w:tr>
        <w:tc>
          <w:tcPr>
            <w:tcW w:type="dxa" w:w="4320"/>
          </w:tcPr>
          <w:p>
            <w:r>
              <w:rPr>
                <w:b/>
              </w:rPr>
              <w:t>Productive (GDP Transactions)</w:t>
            </w:r>
          </w:p>
        </w:tc>
        <w:tc>
          <w:tcPr>
            <w:tcW w:type="dxa" w:w="4320"/>
          </w:tcPr>
          <w:p>
            <w:r>
              <w:rPr>
                <w:b/>
              </w:rPr>
              <w:t>Asset-Based (Non-GDP Transactions)</w:t>
            </w:r>
          </w:p>
        </w:tc>
      </w:tr>
      <w:tr>
        <w:tc>
          <w:tcPr>
            <w:tcW w:type="dxa" w:w="4320"/>
          </w:tcPr>
          <w:p>
            <w:r>
              <w:t>SMME working capital</w:t>
            </w:r>
          </w:p>
        </w:tc>
        <w:tc>
          <w:tcPr>
            <w:tcW w:type="dxa" w:w="4320"/>
          </w:tcPr>
          <w:p>
            <w:r>
              <w:t>Existing residential property</w:t>
            </w:r>
          </w:p>
        </w:tc>
      </w:tr>
      <w:tr>
        <w:tc>
          <w:tcPr>
            <w:tcW w:type="dxa" w:w="4320"/>
          </w:tcPr>
          <w:p>
            <w:r>
              <w:t>Manufacturing and equipment finance</w:t>
            </w:r>
          </w:p>
        </w:tc>
        <w:tc>
          <w:tcPr>
            <w:tcW w:type="dxa" w:w="4320"/>
          </w:tcPr>
          <w:p>
            <w:r>
              <w:t>Commercial property transactions</w:t>
            </w:r>
          </w:p>
        </w:tc>
      </w:tr>
    </w:tbl>
    <w:p/>
    <w:p>
      <w:r>
        <w:t>If the preponderance of credit flows into the right column, economic outcomes will favour asset holders over workers, generate property price inflation rather than wage growth, and create financial fragility through asset bubble risk.</w:t>
      </w:r>
    </w:p>
    <w:p>
      <w:r>
        <w:rPr>
          <w:b/>
        </w:rPr>
        <w:t>Policy Objectives</w:t>
      </w:r>
    </w:p>
    <w:p>
      <w:r>
        <w:t>A credit allocation policy would aim to:</w:t>
      </w:r>
    </w:p>
    <w:p>
      <w:pPr>
        <w:pStyle w:val="ListBullet"/>
      </w:pPr>
      <w:r>
        <w:t>Increase the proportion of bank lending directed toward productive economic activity</w:t>
      </w:r>
    </w:p>
    <w:p>
      <w:pPr>
        <w:pStyle w:val="ListBullet"/>
      </w:pPr>
      <w:r>
        <w:t>Reduce the proportion financing existing asset transactions</w:t>
      </w:r>
    </w:p>
    <w:p>
      <w:pPr>
        <w:pStyle w:val="ListBullet"/>
      </w:pPr>
      <w:r>
        <w:t>Support sectors with high employment multipliers and domestic value addition</w:t>
      </w:r>
    </w:p>
    <w:p>
      <w:pPr>
        <w:pStyle w:val="ListBullet"/>
      </w:pPr>
      <w:r>
        <w:t>Discourage speculative credit that contributes to asset price inflation</w:t>
      </w:r>
    </w:p>
    <w:p>
      <w:pPr>
        <w:pStyle w:val="Heading2"/>
      </w:pPr>
      <w:r>
        <w:t>7.2 Regulatory Mechanisms</w:t>
      </w:r>
    </w:p>
    <w:p>
      <w:r>
        <w:t>Several policy tools could influence credit allocation:</w:t>
      </w:r>
    </w:p>
    <w:p>
      <w:r>
        <w:rPr>
          <w:b/>
        </w:rPr>
        <w:t>Window Guidance</w:t>
      </w:r>
    </w:p>
    <w:p>
      <w:r>
        <w:t>Pioneered by Japan and used extensively in East Asian development, window guidance involves central bank communication with commercial banks about preferred lending directions. Rather than hard quotas, it operates through signalling and relationship-based influence. The Reserve Bank could communicate priorities for credit expansion in manufacturing, infrastructure, and SMME development while discouraging excessive property-related lending.</w:t>
      </w:r>
    </w:p>
    <w:p>
      <w:r>
        <w:rPr>
          <w:b/>
        </w:rPr>
        <w:t>Sectoral Credit Quotas</w:t>
      </w:r>
    </w:p>
    <w:p>
      <w:r>
        <w:t>More directive than window guidance, quotas would specify minimum or maximum proportions of bank lending to designated sectors. For example, requiring that at least 25% of new lending support productive sectors or capping property-related credit at a proportion of total portfolios.</w:t>
      </w:r>
    </w:p>
    <w:p>
      <w:r>
        <w:rPr>
          <w:b/>
        </w:rPr>
        <w:t>Differential Capital Requirements</w:t>
      </w:r>
    </w:p>
    <w:p>
      <w:r>
        <w:t>Risk weightings in capital adequacy frameworks could be adjusted to reflect credit allocation objectives. Lower capital requirements for productive lending and higher requirements for asset-based lending would shift the relative profitability of different credit types, incentivising banks to favour productive uses.</w:t>
      </w:r>
    </w:p>
    <w:p>
      <w:r>
        <w:rPr>
          <w:b/>
        </w:rPr>
        <w:t>Public Development Banking</w:t>
      </w:r>
    </w:p>
    <w:p>
      <w:r>
        <w:t>A state development bank with an explicit mandate for productive credit could complement private banking. Institutions such as the Development Bank of Southern Africa and the Industrial Development Corporation exist but could be empowered with expanded mandates and capitalisation to direct credit toward strategic productive sectors that private banks underserve.</w:t>
      </w:r>
    </w:p>
    <w:p>
      <w:r>
        <w:rPr>
          <w:b/>
        </w:rPr>
        <w:t>Macroprudential Tools</w:t>
      </w:r>
    </w:p>
    <w:p>
      <w:r>
        <w:t>Loan-to-value limits on property lending, debt-to-income requirements, and similar tools can constrain asset-based credit without directly regulating productive lending. South Africa already employs some such tools; the question is whether they are calibrated with credit allocation objectives in mind.</w:t>
      </w:r>
    </w:p>
    <w:p>
      <w:pPr>
        <w:pStyle w:val="Heading2"/>
      </w:pPr>
      <w:r>
        <w:t>7.3 Why This Is Not Discussed</w:t>
      </w:r>
    </w:p>
    <w:p>
      <w:r>
        <w:t>Given the potential importance of credit allocation, its absence from mainstream economic discourse requires explanation. Several factors may contribute:</w:t>
      </w:r>
    </w:p>
    <w:p>
      <w:r>
        <w:rPr>
          <w:b/>
        </w:rPr>
        <w:t>Ideological Commitments</w:t>
      </w:r>
    </w:p>
    <w:p>
      <w:r>
        <w:t>The prevailing economic consensus since the 1980s has favoured market-based resource allocation and minimal intervention in banking. Credit allocation policy runs counter to this ideology, as it implies that market-determined credit flows may be suboptimal and that policy intervention can improve outcomes. Questioning this requires challenging foundational assumptions of the dominant economic paradigm.</w:t>
      </w:r>
    </w:p>
    <w:p>
      <w:r>
        <w:rPr>
          <w:b/>
        </w:rPr>
        <w:t>Political Economy of Banking</w:t>
      </w:r>
    </w:p>
    <w:p>
      <w:r>
        <w:t>Banks benefit from the current arrangement. Lending for existing asset purchases—particularly property—is often more profitable and lower risk than productive lending to businesses. Banks have significant political influence and would resist policies constraining their most profitable activities. Tax policy, by contrast, can be debated without directly threatening banking sector interests.</w:t>
      </w:r>
    </w:p>
    <w:p>
      <w:r>
        <w:rPr>
          <w:b/>
        </w:rPr>
        <w:t>Complexity and Visibility</w:t>
      </w:r>
    </w:p>
    <w:p>
      <w:r>
        <w:t>Tax policy is visible and directly experienced by voters. Everyone sees their tax rate. Credit allocation is opaque—most citizens do not understand that banks create money or that the direction of credit has macroeconomic consequences. Politicians gain little from addressing issues their constituents do not perceive.</w:t>
      </w:r>
    </w:p>
    <w:p>
      <w:r>
        <w:rPr>
          <w:b/>
        </w:rPr>
        <w:t>Academic Economics</w:t>
      </w:r>
    </w:p>
    <w:p>
      <w:r>
        <w:t>Mainstream academic economics has largely ignored or rejected Werner's findings. Economics curricula continue to teach the money multiplier model despite its empirical falsification. Without academic validation, policy entrepreneurs have limited intellectual support for credit allocation approaches.</w:t>
      </w:r>
    </w:p>
    <w:p>
      <w:r>
        <w:rPr>
          <w:b/>
        </w:rPr>
        <w:t>International Constraints</w:t>
      </w:r>
    </w:p>
    <w:p>
      <w:r>
        <w:t>South Africa's integration into global financial markets creates constraints. Capital mobility means that domestic banks facing unfavourable regulation may shift activities offshore. International financial institutions and credit rating agencies may view credit allocation policies unfavourably. These real constraints limit policy space regardless of domestic preferences.</w:t>
      </w:r>
    </w:p>
    <w:p>
      <w:r>
        <w:br w:type="page"/>
      </w:r>
    </w:p>
    <w:p>
      <w:pPr>
        <w:pStyle w:val="Heading1"/>
      </w:pPr>
      <w:r>
        <w:t>8. Conclusion</w:t>
      </w:r>
    </w:p>
    <w:p>
      <w:r>
        <w:t>This analysis began with a practical question about flat taxation and VAT rates. Through logical examination of taxation as behavioural disincentive, consideration of monetary sovereignty, and incorporation of Werner's research on private credit creation, it arrives at a fundamental reframing.</w:t>
      </w:r>
    </w:p>
    <w:p>
      <w:r>
        <w:t>The conventional tax policy debate—flat versus progressive, optimal rates, revenue adequacy—addresses real but secondary concerns. The more fundamental determinant of economic outcomes lies upstream: in the allocation of bank credit between productive economic activity and existing asset transactions.</w:t>
      </w:r>
    </w:p>
    <w:p>
      <w:r>
        <w:t>For South Africa, this suggests that:</w:t>
      </w:r>
    </w:p>
    <w:p>
      <w:pPr>
        <w:pStyle w:val="ListBullet"/>
      </w:pPr>
      <w:r>
        <w:t>Tax structure debates, while not irrelevant, are less consequential than commonly assumed.</w:t>
      </w:r>
    </w:p>
    <w:p>
      <w:pPr>
        <w:pStyle w:val="ListBullet"/>
      </w:pPr>
      <w:r>
        <w:t>The primary policy question is whether the banking system directs credit toward productive uses that generate employment, output, and sustainable growth.</w:t>
      </w:r>
    </w:p>
    <w:p>
      <w:pPr>
        <w:pStyle w:val="ListBullet"/>
      </w:pPr>
      <w:r>
        <w:t>Tools exist to influence credit allocation—window guidance, sectoral requirements, differential capital rules, development banking—but they are not prominent in policy discourse.</w:t>
      </w:r>
    </w:p>
    <w:p>
      <w:pPr>
        <w:pStyle w:val="ListBullet"/>
      </w:pPr>
      <w:r>
        <w:t>The absence of this discourse reflects ideological commitments, banking sector influence, visibility asymmetries, academic orthodoxy, and international constraints.</w:t>
      </w:r>
    </w:p>
    <w:p>
      <w:r>
        <w:t>None of this implies that tax policy is unimportant. Progressive taxation remains more coherent than flat taxation under the disincentive framework. Revenue considerations matter for inflation management even if they do not "fund" government. But the hierarchy of levers suggests that optimal tax policy cannot compensate for dysfunctional credit allocation, while effective credit allocation can generate prosperity despite suboptimal taxation.</w:t>
      </w:r>
    </w:p>
    <w:p>
      <w:r>
        <w:t>The implication for policy discourse is significant: energy currently devoted to tax debates might be more productively directed toward understanding and influencing where the banking system creates money and, therefore, where economic activity concentrates.</w:t>
      </w:r>
    </w:p>
    <w:p>
      <w:r>
        <w:br w:type="page"/>
      </w:r>
    </w:p>
    <w:p>
      <w:pPr>
        <w:pStyle w:val="Heading1"/>
      </w:pPr>
      <w:r>
        <w:t>References</w:t>
      </w:r>
    </w:p>
    <w:p>
      <w:pPr>
        <w:ind w:left="720" w:hanging="720"/>
      </w:pPr>
      <w:r>
        <w:t>National Treasury. (2026). Budget Review 2026. Government of South Africa.</w:t>
      </w:r>
    </w:p>
    <w:p>
      <w:pPr>
        <w:ind w:left="720" w:hanging="720"/>
      </w:pPr>
      <w:r>
        <w:t>South African Revenue Service. (2025). Tax Statistics 2025. SARS.</w:t>
      </w:r>
    </w:p>
    <w:p>
      <w:pPr>
        <w:ind w:left="720" w:hanging="720"/>
      </w:pPr>
      <w:r>
        <w:t>Werner, R. A. (2003). Princes of the Yen: Japan's Central Bankers and the Transformation of the Economy. M.E. Sharpe.</w:t>
      </w:r>
    </w:p>
    <w:p>
      <w:pPr>
        <w:ind w:left="720" w:hanging="720"/>
      </w:pPr>
      <w:r>
        <w:t>Werner, R. A. (2014). Can Banks Individually Create Money Out of Nothing? The Theories and the Empirical Evidence. International Review of Financial Analysis, 36, 1-19.</w:t>
      </w:r>
    </w:p>
    <w:p>
      <w:pPr>
        <w:ind w:left="720" w:hanging="720"/>
      </w:pPr>
      <w:r>
        <w:t>Werner, R. A. (2016). A Lost Century in Economics: Three Theories of Banking and the Conclusive Evidence. International Review of Financial Analysis, 46, 361-379.</w:t>
      </w:r>
    </w:p>
    <w:p>
      <w:pPr>
        <w:ind w:left="720" w:hanging="720"/>
      </w:pPr>
      <w:r>
        <w:t>Wray, L. R. (2015). Modern Money Theory: A Primer on Macroeconomics for Sovereign Monetary Systems. Palgrave Macmillan.</w:t>
      </w:r>
    </w:p>
    <w:p>
      <w:pPr>
        <w:ind w:left="720" w:hanging="720"/>
      </w:pPr>
      <w:r>
        <w:t>Kelton, S. (2020). The Deficit Myth: Modern Monetary Theory and the Birth of the People's Economy. PublicAffairs.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