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863326514"/>
        <w:docPartObj>
          <w:docPartGallery w:val="Table of Contents"/>
          <w:docPartUnique/>
        </w:docPartObj>
      </w:sdtPr>
      <w:sdtContent>
        <w:p w14:paraId="49126FE6" w14:textId="77777777" w:rsidR="00485B06" w:rsidRDefault="00000000">
          <w:pPr>
            <w:pStyle w:val="TOCHeading"/>
          </w:pPr>
          <w:r>
            <w:t>Table of Contents</w:t>
          </w:r>
        </w:p>
        <w:p w14:paraId="5BFE1C18" w14:textId="1FFA08F1" w:rsidR="00E23C9C" w:rsidRDefault="00000000">
          <w:pPr>
            <w:pStyle w:val="TOC1"/>
            <w:tabs>
              <w:tab w:val="right" w:leader="dot" w:pos="9350"/>
            </w:tabs>
            <w:rPr>
              <w:rFonts w:eastAsiaTheme="minorEastAsia"/>
              <w:noProof/>
              <w:kern w:val="2"/>
              <w:lang w:val="en-ZA" w:eastAsia="en-GB"/>
              <w14:ligatures w14:val="standardContextual"/>
            </w:rPr>
          </w:pPr>
          <w:r>
            <w:fldChar w:fldCharType="begin"/>
          </w:r>
          <w:r>
            <w:instrText>TOC \o "1-3" \h \z \u</w:instrText>
          </w:r>
          <w:r>
            <w:fldChar w:fldCharType="separate"/>
          </w:r>
          <w:hyperlink w:anchor="_Toc227923329" w:history="1">
            <w:r w:rsidR="00E23C9C" w:rsidRPr="00A44DEF">
              <w:rPr>
                <w:rStyle w:val="Hyperlink"/>
                <w:noProof/>
              </w:rPr>
              <w:t>Creating Credibility for the RAARICLE™ Framework with Academia and Multilateral Organisations</w:t>
            </w:r>
            <w:r w:rsidR="00E23C9C">
              <w:rPr>
                <w:noProof/>
                <w:webHidden/>
              </w:rPr>
              <w:tab/>
            </w:r>
            <w:r w:rsidR="00E23C9C">
              <w:rPr>
                <w:noProof/>
                <w:webHidden/>
              </w:rPr>
              <w:fldChar w:fldCharType="begin"/>
            </w:r>
            <w:r w:rsidR="00E23C9C">
              <w:rPr>
                <w:noProof/>
                <w:webHidden/>
              </w:rPr>
              <w:instrText xml:space="preserve"> PAGEREF _Toc227923329 \h </w:instrText>
            </w:r>
            <w:r w:rsidR="00E23C9C">
              <w:rPr>
                <w:noProof/>
                <w:webHidden/>
              </w:rPr>
            </w:r>
            <w:r w:rsidR="00E23C9C">
              <w:rPr>
                <w:noProof/>
                <w:webHidden/>
              </w:rPr>
              <w:fldChar w:fldCharType="separate"/>
            </w:r>
            <w:r w:rsidR="00E23C9C">
              <w:rPr>
                <w:noProof/>
                <w:webHidden/>
              </w:rPr>
              <w:t>3</w:t>
            </w:r>
            <w:r w:rsidR="00E23C9C">
              <w:rPr>
                <w:noProof/>
                <w:webHidden/>
              </w:rPr>
              <w:fldChar w:fldCharType="end"/>
            </w:r>
          </w:hyperlink>
        </w:p>
        <w:p w14:paraId="3E88B5F0" w14:textId="678F01A0" w:rsidR="00E23C9C" w:rsidRDefault="00E23C9C">
          <w:pPr>
            <w:pStyle w:val="TOC2"/>
            <w:tabs>
              <w:tab w:val="right" w:leader="dot" w:pos="9350"/>
            </w:tabs>
            <w:rPr>
              <w:rFonts w:eastAsiaTheme="minorEastAsia"/>
              <w:noProof/>
              <w:kern w:val="2"/>
              <w:lang w:val="en-ZA" w:eastAsia="en-GB"/>
              <w14:ligatures w14:val="standardContextual"/>
            </w:rPr>
          </w:pPr>
          <w:hyperlink w:anchor="_Toc227923330" w:history="1">
            <w:r w:rsidRPr="00A44DEF">
              <w:rPr>
                <w:rStyle w:val="Hyperlink"/>
                <w:noProof/>
              </w:rPr>
              <w:t>A Strategy Paper on Standing, Standards and Cross-Jurisdictional Application</w:t>
            </w:r>
            <w:r>
              <w:rPr>
                <w:noProof/>
                <w:webHidden/>
              </w:rPr>
              <w:tab/>
            </w:r>
            <w:r>
              <w:rPr>
                <w:noProof/>
                <w:webHidden/>
              </w:rPr>
              <w:fldChar w:fldCharType="begin"/>
            </w:r>
            <w:r>
              <w:rPr>
                <w:noProof/>
                <w:webHidden/>
              </w:rPr>
              <w:instrText xml:space="preserve"> PAGEREF _Toc227923330 \h </w:instrText>
            </w:r>
            <w:r>
              <w:rPr>
                <w:noProof/>
                <w:webHidden/>
              </w:rPr>
            </w:r>
            <w:r>
              <w:rPr>
                <w:noProof/>
                <w:webHidden/>
              </w:rPr>
              <w:fldChar w:fldCharType="separate"/>
            </w:r>
            <w:r>
              <w:rPr>
                <w:noProof/>
                <w:webHidden/>
              </w:rPr>
              <w:t>3</w:t>
            </w:r>
            <w:r>
              <w:rPr>
                <w:noProof/>
                <w:webHidden/>
              </w:rPr>
              <w:fldChar w:fldCharType="end"/>
            </w:r>
          </w:hyperlink>
        </w:p>
        <w:p w14:paraId="1DB87D46" w14:textId="1316EC51" w:rsidR="00E23C9C" w:rsidRDefault="00E23C9C">
          <w:pPr>
            <w:pStyle w:val="TOC2"/>
            <w:tabs>
              <w:tab w:val="right" w:leader="dot" w:pos="9350"/>
            </w:tabs>
            <w:rPr>
              <w:rFonts w:eastAsiaTheme="minorEastAsia"/>
              <w:noProof/>
              <w:kern w:val="2"/>
              <w:lang w:val="en-ZA" w:eastAsia="en-GB"/>
              <w14:ligatures w14:val="standardContextual"/>
            </w:rPr>
          </w:pPr>
          <w:hyperlink w:anchor="_Toc227923331" w:history="1">
            <w:r w:rsidRPr="00A44DEF">
              <w:rPr>
                <w:rStyle w:val="Hyperlink"/>
                <w:noProof/>
              </w:rPr>
              <w:t>Table of Contents</w:t>
            </w:r>
            <w:r>
              <w:rPr>
                <w:noProof/>
                <w:webHidden/>
              </w:rPr>
              <w:tab/>
            </w:r>
            <w:r>
              <w:rPr>
                <w:noProof/>
                <w:webHidden/>
              </w:rPr>
              <w:fldChar w:fldCharType="begin"/>
            </w:r>
            <w:r>
              <w:rPr>
                <w:noProof/>
                <w:webHidden/>
              </w:rPr>
              <w:instrText xml:space="preserve"> PAGEREF _Toc227923331 \h </w:instrText>
            </w:r>
            <w:r>
              <w:rPr>
                <w:noProof/>
                <w:webHidden/>
              </w:rPr>
            </w:r>
            <w:r>
              <w:rPr>
                <w:noProof/>
                <w:webHidden/>
              </w:rPr>
              <w:fldChar w:fldCharType="separate"/>
            </w:r>
            <w:r>
              <w:rPr>
                <w:noProof/>
                <w:webHidden/>
              </w:rPr>
              <w:t>3</w:t>
            </w:r>
            <w:r>
              <w:rPr>
                <w:noProof/>
                <w:webHidden/>
              </w:rPr>
              <w:fldChar w:fldCharType="end"/>
            </w:r>
          </w:hyperlink>
        </w:p>
        <w:p w14:paraId="49AAAC0A" w14:textId="210EEFC3" w:rsidR="00E23C9C" w:rsidRDefault="00E23C9C">
          <w:pPr>
            <w:pStyle w:val="TOC2"/>
            <w:tabs>
              <w:tab w:val="right" w:leader="dot" w:pos="9350"/>
            </w:tabs>
            <w:rPr>
              <w:rFonts w:eastAsiaTheme="minorEastAsia"/>
              <w:noProof/>
              <w:kern w:val="2"/>
              <w:lang w:val="en-ZA" w:eastAsia="en-GB"/>
              <w14:ligatures w14:val="standardContextual"/>
            </w:rPr>
          </w:pPr>
          <w:hyperlink w:anchor="_Toc227923332" w:history="1">
            <w:r w:rsidRPr="00A44DEF">
              <w:rPr>
                <w:rStyle w:val="Hyperlink"/>
                <w:noProof/>
              </w:rPr>
              <w:t>1. Executive Summary</w:t>
            </w:r>
            <w:r>
              <w:rPr>
                <w:noProof/>
                <w:webHidden/>
              </w:rPr>
              <w:tab/>
            </w:r>
            <w:r>
              <w:rPr>
                <w:noProof/>
                <w:webHidden/>
              </w:rPr>
              <w:fldChar w:fldCharType="begin"/>
            </w:r>
            <w:r>
              <w:rPr>
                <w:noProof/>
                <w:webHidden/>
              </w:rPr>
              <w:instrText xml:space="preserve"> PAGEREF _Toc227923332 \h </w:instrText>
            </w:r>
            <w:r>
              <w:rPr>
                <w:noProof/>
                <w:webHidden/>
              </w:rPr>
            </w:r>
            <w:r>
              <w:rPr>
                <w:noProof/>
                <w:webHidden/>
              </w:rPr>
              <w:fldChar w:fldCharType="separate"/>
            </w:r>
            <w:r>
              <w:rPr>
                <w:noProof/>
                <w:webHidden/>
              </w:rPr>
              <w:t>4</w:t>
            </w:r>
            <w:r>
              <w:rPr>
                <w:noProof/>
                <w:webHidden/>
              </w:rPr>
              <w:fldChar w:fldCharType="end"/>
            </w:r>
          </w:hyperlink>
        </w:p>
        <w:p w14:paraId="3396CBA8" w14:textId="03456187" w:rsidR="00E23C9C" w:rsidRDefault="00E23C9C">
          <w:pPr>
            <w:pStyle w:val="TOC2"/>
            <w:tabs>
              <w:tab w:val="right" w:leader="dot" w:pos="9350"/>
            </w:tabs>
            <w:rPr>
              <w:rFonts w:eastAsiaTheme="minorEastAsia"/>
              <w:noProof/>
              <w:kern w:val="2"/>
              <w:lang w:val="en-ZA" w:eastAsia="en-GB"/>
              <w14:ligatures w14:val="standardContextual"/>
            </w:rPr>
          </w:pPr>
          <w:hyperlink w:anchor="_Toc227923333" w:history="1">
            <w:r w:rsidRPr="00A44DEF">
              <w:rPr>
                <w:rStyle w:val="Hyperlink"/>
                <w:noProof/>
              </w:rPr>
              <w:t>2. Diagnostic of the Current Credibility Gap</w:t>
            </w:r>
            <w:r>
              <w:rPr>
                <w:noProof/>
                <w:webHidden/>
              </w:rPr>
              <w:tab/>
            </w:r>
            <w:r>
              <w:rPr>
                <w:noProof/>
                <w:webHidden/>
              </w:rPr>
              <w:fldChar w:fldCharType="begin"/>
            </w:r>
            <w:r>
              <w:rPr>
                <w:noProof/>
                <w:webHidden/>
              </w:rPr>
              <w:instrText xml:space="preserve"> PAGEREF _Toc227923333 \h </w:instrText>
            </w:r>
            <w:r>
              <w:rPr>
                <w:noProof/>
                <w:webHidden/>
              </w:rPr>
            </w:r>
            <w:r>
              <w:rPr>
                <w:noProof/>
                <w:webHidden/>
              </w:rPr>
              <w:fldChar w:fldCharType="separate"/>
            </w:r>
            <w:r>
              <w:rPr>
                <w:noProof/>
                <w:webHidden/>
              </w:rPr>
              <w:t>5</w:t>
            </w:r>
            <w:r>
              <w:rPr>
                <w:noProof/>
                <w:webHidden/>
              </w:rPr>
              <w:fldChar w:fldCharType="end"/>
            </w:r>
          </w:hyperlink>
        </w:p>
        <w:p w14:paraId="3B0FC592" w14:textId="008775C2" w:rsidR="00E23C9C" w:rsidRDefault="00E23C9C">
          <w:pPr>
            <w:pStyle w:val="TOC2"/>
            <w:tabs>
              <w:tab w:val="right" w:leader="dot" w:pos="9350"/>
            </w:tabs>
            <w:rPr>
              <w:rFonts w:eastAsiaTheme="minorEastAsia"/>
              <w:noProof/>
              <w:kern w:val="2"/>
              <w:lang w:val="en-ZA" w:eastAsia="en-GB"/>
              <w14:ligatures w14:val="standardContextual"/>
            </w:rPr>
          </w:pPr>
          <w:hyperlink w:anchor="_Toc227923334" w:history="1">
            <w:r w:rsidRPr="00A44DEF">
              <w:rPr>
                <w:rStyle w:val="Hyperlink"/>
                <w:noProof/>
              </w:rPr>
              <w:t>3. Part I — What Must Be in Place for Academic and Practitioner Standing</w:t>
            </w:r>
            <w:r>
              <w:rPr>
                <w:noProof/>
                <w:webHidden/>
              </w:rPr>
              <w:tab/>
            </w:r>
            <w:r>
              <w:rPr>
                <w:noProof/>
                <w:webHidden/>
              </w:rPr>
              <w:fldChar w:fldCharType="begin"/>
            </w:r>
            <w:r>
              <w:rPr>
                <w:noProof/>
                <w:webHidden/>
              </w:rPr>
              <w:instrText xml:space="preserve"> PAGEREF _Toc227923334 \h </w:instrText>
            </w:r>
            <w:r>
              <w:rPr>
                <w:noProof/>
                <w:webHidden/>
              </w:rPr>
            </w:r>
            <w:r>
              <w:rPr>
                <w:noProof/>
                <w:webHidden/>
              </w:rPr>
              <w:fldChar w:fldCharType="separate"/>
            </w:r>
            <w:r>
              <w:rPr>
                <w:noProof/>
                <w:webHidden/>
              </w:rPr>
              <w:t>6</w:t>
            </w:r>
            <w:r>
              <w:rPr>
                <w:noProof/>
                <w:webHidden/>
              </w:rPr>
              <w:fldChar w:fldCharType="end"/>
            </w:r>
          </w:hyperlink>
        </w:p>
        <w:p w14:paraId="671B4E33" w14:textId="606F51CF" w:rsidR="00E23C9C" w:rsidRDefault="00E23C9C">
          <w:pPr>
            <w:pStyle w:val="TOC3"/>
            <w:tabs>
              <w:tab w:val="right" w:leader="dot" w:pos="9350"/>
            </w:tabs>
            <w:rPr>
              <w:rFonts w:eastAsiaTheme="minorEastAsia"/>
              <w:noProof/>
              <w:kern w:val="2"/>
              <w:lang w:val="en-ZA" w:eastAsia="en-GB"/>
              <w14:ligatures w14:val="standardContextual"/>
            </w:rPr>
          </w:pPr>
          <w:hyperlink w:anchor="_Toc227923335" w:history="1">
            <w:r w:rsidRPr="00A44DEF">
              <w:rPr>
                <w:rStyle w:val="Hyperlink"/>
                <w:noProof/>
              </w:rPr>
              <w:t>3.1 Pillar A — Theoretical Foundation</w:t>
            </w:r>
            <w:r>
              <w:rPr>
                <w:noProof/>
                <w:webHidden/>
              </w:rPr>
              <w:tab/>
            </w:r>
            <w:r>
              <w:rPr>
                <w:noProof/>
                <w:webHidden/>
              </w:rPr>
              <w:fldChar w:fldCharType="begin"/>
            </w:r>
            <w:r>
              <w:rPr>
                <w:noProof/>
                <w:webHidden/>
              </w:rPr>
              <w:instrText xml:space="preserve"> PAGEREF _Toc227923335 \h </w:instrText>
            </w:r>
            <w:r>
              <w:rPr>
                <w:noProof/>
                <w:webHidden/>
              </w:rPr>
            </w:r>
            <w:r>
              <w:rPr>
                <w:noProof/>
                <w:webHidden/>
              </w:rPr>
              <w:fldChar w:fldCharType="separate"/>
            </w:r>
            <w:r>
              <w:rPr>
                <w:noProof/>
                <w:webHidden/>
              </w:rPr>
              <w:t>6</w:t>
            </w:r>
            <w:r>
              <w:rPr>
                <w:noProof/>
                <w:webHidden/>
              </w:rPr>
              <w:fldChar w:fldCharType="end"/>
            </w:r>
          </w:hyperlink>
        </w:p>
        <w:p w14:paraId="1D93E467" w14:textId="52ECE610" w:rsidR="00E23C9C" w:rsidRDefault="00E23C9C">
          <w:pPr>
            <w:pStyle w:val="TOC3"/>
            <w:tabs>
              <w:tab w:val="right" w:leader="dot" w:pos="9350"/>
            </w:tabs>
            <w:rPr>
              <w:rFonts w:eastAsiaTheme="minorEastAsia"/>
              <w:noProof/>
              <w:kern w:val="2"/>
              <w:lang w:val="en-ZA" w:eastAsia="en-GB"/>
              <w14:ligatures w14:val="standardContextual"/>
            </w:rPr>
          </w:pPr>
          <w:hyperlink w:anchor="_Toc227923336" w:history="1">
            <w:r w:rsidRPr="00A44DEF">
              <w:rPr>
                <w:rStyle w:val="Hyperlink"/>
                <w:noProof/>
              </w:rPr>
              <w:t>3.2 Pillar B — Measurement Infrastructure</w:t>
            </w:r>
            <w:r>
              <w:rPr>
                <w:noProof/>
                <w:webHidden/>
              </w:rPr>
              <w:tab/>
            </w:r>
            <w:r>
              <w:rPr>
                <w:noProof/>
                <w:webHidden/>
              </w:rPr>
              <w:fldChar w:fldCharType="begin"/>
            </w:r>
            <w:r>
              <w:rPr>
                <w:noProof/>
                <w:webHidden/>
              </w:rPr>
              <w:instrText xml:space="preserve"> PAGEREF _Toc227923336 \h </w:instrText>
            </w:r>
            <w:r>
              <w:rPr>
                <w:noProof/>
                <w:webHidden/>
              </w:rPr>
            </w:r>
            <w:r>
              <w:rPr>
                <w:noProof/>
                <w:webHidden/>
              </w:rPr>
              <w:fldChar w:fldCharType="separate"/>
            </w:r>
            <w:r>
              <w:rPr>
                <w:noProof/>
                <w:webHidden/>
              </w:rPr>
              <w:t>7</w:t>
            </w:r>
            <w:r>
              <w:rPr>
                <w:noProof/>
                <w:webHidden/>
              </w:rPr>
              <w:fldChar w:fldCharType="end"/>
            </w:r>
          </w:hyperlink>
        </w:p>
        <w:p w14:paraId="4DAE1025" w14:textId="4EB01326" w:rsidR="00E23C9C" w:rsidRDefault="00E23C9C">
          <w:pPr>
            <w:pStyle w:val="TOC3"/>
            <w:tabs>
              <w:tab w:val="right" w:leader="dot" w:pos="9350"/>
            </w:tabs>
            <w:rPr>
              <w:rFonts w:eastAsiaTheme="minorEastAsia"/>
              <w:noProof/>
              <w:kern w:val="2"/>
              <w:lang w:val="en-ZA" w:eastAsia="en-GB"/>
              <w14:ligatures w14:val="standardContextual"/>
            </w:rPr>
          </w:pPr>
          <w:hyperlink w:anchor="_Toc227923337" w:history="1">
            <w:r w:rsidRPr="00A44DEF">
              <w:rPr>
                <w:rStyle w:val="Hyperlink"/>
                <w:noProof/>
              </w:rPr>
              <w:t>3.3 Pillar C — Evidence Infrastructure</w:t>
            </w:r>
            <w:r>
              <w:rPr>
                <w:noProof/>
                <w:webHidden/>
              </w:rPr>
              <w:tab/>
            </w:r>
            <w:r>
              <w:rPr>
                <w:noProof/>
                <w:webHidden/>
              </w:rPr>
              <w:fldChar w:fldCharType="begin"/>
            </w:r>
            <w:r>
              <w:rPr>
                <w:noProof/>
                <w:webHidden/>
              </w:rPr>
              <w:instrText xml:space="preserve"> PAGEREF _Toc227923337 \h </w:instrText>
            </w:r>
            <w:r>
              <w:rPr>
                <w:noProof/>
                <w:webHidden/>
              </w:rPr>
            </w:r>
            <w:r>
              <w:rPr>
                <w:noProof/>
                <w:webHidden/>
              </w:rPr>
              <w:fldChar w:fldCharType="separate"/>
            </w:r>
            <w:r>
              <w:rPr>
                <w:noProof/>
                <w:webHidden/>
              </w:rPr>
              <w:t>8</w:t>
            </w:r>
            <w:r>
              <w:rPr>
                <w:noProof/>
                <w:webHidden/>
              </w:rPr>
              <w:fldChar w:fldCharType="end"/>
            </w:r>
          </w:hyperlink>
        </w:p>
        <w:p w14:paraId="29AE3548" w14:textId="279E5506" w:rsidR="00E23C9C" w:rsidRDefault="00E23C9C">
          <w:pPr>
            <w:pStyle w:val="TOC3"/>
            <w:tabs>
              <w:tab w:val="right" w:leader="dot" w:pos="9350"/>
            </w:tabs>
            <w:rPr>
              <w:rFonts w:eastAsiaTheme="minorEastAsia"/>
              <w:noProof/>
              <w:kern w:val="2"/>
              <w:lang w:val="en-ZA" w:eastAsia="en-GB"/>
              <w14:ligatures w14:val="standardContextual"/>
            </w:rPr>
          </w:pPr>
          <w:hyperlink w:anchor="_Toc227923338" w:history="1">
            <w:r w:rsidRPr="00A44DEF">
              <w:rPr>
                <w:rStyle w:val="Hyperlink"/>
                <w:noProof/>
              </w:rPr>
              <w:t>3.4 Pillar D — Validation Architecture</w:t>
            </w:r>
            <w:r>
              <w:rPr>
                <w:noProof/>
                <w:webHidden/>
              </w:rPr>
              <w:tab/>
            </w:r>
            <w:r>
              <w:rPr>
                <w:noProof/>
                <w:webHidden/>
              </w:rPr>
              <w:fldChar w:fldCharType="begin"/>
            </w:r>
            <w:r>
              <w:rPr>
                <w:noProof/>
                <w:webHidden/>
              </w:rPr>
              <w:instrText xml:space="preserve"> PAGEREF _Toc227923338 \h </w:instrText>
            </w:r>
            <w:r>
              <w:rPr>
                <w:noProof/>
                <w:webHidden/>
              </w:rPr>
            </w:r>
            <w:r>
              <w:rPr>
                <w:noProof/>
                <w:webHidden/>
              </w:rPr>
              <w:fldChar w:fldCharType="separate"/>
            </w:r>
            <w:r>
              <w:rPr>
                <w:noProof/>
                <w:webHidden/>
              </w:rPr>
              <w:t>8</w:t>
            </w:r>
            <w:r>
              <w:rPr>
                <w:noProof/>
                <w:webHidden/>
              </w:rPr>
              <w:fldChar w:fldCharType="end"/>
            </w:r>
          </w:hyperlink>
        </w:p>
        <w:p w14:paraId="1B3EDCD5" w14:textId="642553EB" w:rsidR="00E23C9C" w:rsidRDefault="00E23C9C">
          <w:pPr>
            <w:pStyle w:val="TOC3"/>
            <w:tabs>
              <w:tab w:val="right" w:leader="dot" w:pos="9350"/>
            </w:tabs>
            <w:rPr>
              <w:rFonts w:eastAsiaTheme="minorEastAsia"/>
              <w:noProof/>
              <w:kern w:val="2"/>
              <w:lang w:val="en-ZA" w:eastAsia="en-GB"/>
              <w14:ligatures w14:val="standardContextual"/>
            </w:rPr>
          </w:pPr>
          <w:hyperlink w:anchor="_Toc227923339" w:history="1">
            <w:r w:rsidRPr="00A44DEF">
              <w:rPr>
                <w:rStyle w:val="Hyperlink"/>
                <w:noProof/>
              </w:rPr>
              <w:t>3.5 Pillar E — Institutional Provenance and Stewardship</w:t>
            </w:r>
            <w:r>
              <w:rPr>
                <w:noProof/>
                <w:webHidden/>
              </w:rPr>
              <w:tab/>
            </w:r>
            <w:r>
              <w:rPr>
                <w:noProof/>
                <w:webHidden/>
              </w:rPr>
              <w:fldChar w:fldCharType="begin"/>
            </w:r>
            <w:r>
              <w:rPr>
                <w:noProof/>
                <w:webHidden/>
              </w:rPr>
              <w:instrText xml:space="preserve"> PAGEREF _Toc227923339 \h </w:instrText>
            </w:r>
            <w:r>
              <w:rPr>
                <w:noProof/>
                <w:webHidden/>
              </w:rPr>
            </w:r>
            <w:r>
              <w:rPr>
                <w:noProof/>
                <w:webHidden/>
              </w:rPr>
              <w:fldChar w:fldCharType="separate"/>
            </w:r>
            <w:r>
              <w:rPr>
                <w:noProof/>
                <w:webHidden/>
              </w:rPr>
              <w:t>9</w:t>
            </w:r>
            <w:r>
              <w:rPr>
                <w:noProof/>
                <w:webHidden/>
              </w:rPr>
              <w:fldChar w:fldCharType="end"/>
            </w:r>
          </w:hyperlink>
        </w:p>
        <w:p w14:paraId="55AA8A67" w14:textId="3D862E91" w:rsidR="00E23C9C" w:rsidRDefault="00E23C9C">
          <w:pPr>
            <w:pStyle w:val="TOC3"/>
            <w:tabs>
              <w:tab w:val="right" w:leader="dot" w:pos="9350"/>
            </w:tabs>
            <w:rPr>
              <w:rFonts w:eastAsiaTheme="minorEastAsia"/>
              <w:noProof/>
              <w:kern w:val="2"/>
              <w:lang w:val="en-ZA" w:eastAsia="en-GB"/>
              <w14:ligatures w14:val="standardContextual"/>
            </w:rPr>
          </w:pPr>
          <w:hyperlink w:anchor="_Toc227923340" w:history="1">
            <w:r w:rsidRPr="00A44DEF">
              <w:rPr>
                <w:rStyle w:val="Hyperlink"/>
                <w:noProof/>
              </w:rPr>
              <w:t>3.6 Summary Matrix: Pillars, Deliverables, and Timing</w:t>
            </w:r>
            <w:r>
              <w:rPr>
                <w:noProof/>
                <w:webHidden/>
              </w:rPr>
              <w:tab/>
            </w:r>
            <w:r>
              <w:rPr>
                <w:noProof/>
                <w:webHidden/>
              </w:rPr>
              <w:fldChar w:fldCharType="begin"/>
            </w:r>
            <w:r>
              <w:rPr>
                <w:noProof/>
                <w:webHidden/>
              </w:rPr>
              <w:instrText xml:space="preserve"> PAGEREF _Toc227923340 \h </w:instrText>
            </w:r>
            <w:r>
              <w:rPr>
                <w:noProof/>
                <w:webHidden/>
              </w:rPr>
            </w:r>
            <w:r>
              <w:rPr>
                <w:noProof/>
                <w:webHidden/>
              </w:rPr>
              <w:fldChar w:fldCharType="separate"/>
            </w:r>
            <w:r>
              <w:rPr>
                <w:noProof/>
                <w:webHidden/>
              </w:rPr>
              <w:t>10</w:t>
            </w:r>
            <w:r>
              <w:rPr>
                <w:noProof/>
                <w:webHidden/>
              </w:rPr>
              <w:fldChar w:fldCharType="end"/>
            </w:r>
          </w:hyperlink>
        </w:p>
        <w:p w14:paraId="0A8C8603" w14:textId="4B0F2392" w:rsidR="00E23C9C" w:rsidRDefault="00E23C9C">
          <w:pPr>
            <w:pStyle w:val="TOC2"/>
            <w:tabs>
              <w:tab w:val="right" w:leader="dot" w:pos="9350"/>
            </w:tabs>
            <w:rPr>
              <w:rFonts w:eastAsiaTheme="minorEastAsia"/>
              <w:noProof/>
              <w:kern w:val="2"/>
              <w:lang w:val="en-ZA" w:eastAsia="en-GB"/>
              <w14:ligatures w14:val="standardContextual"/>
            </w:rPr>
          </w:pPr>
          <w:hyperlink w:anchor="_Toc227923341" w:history="1">
            <w:r w:rsidRPr="00A44DEF">
              <w:rPr>
                <w:rStyle w:val="Hyperlink"/>
                <w:noProof/>
              </w:rPr>
              <w:t>4. Part II — Best-Practice Conduct of a RAARICLE™ Diagnosis</w:t>
            </w:r>
            <w:r>
              <w:rPr>
                <w:noProof/>
                <w:webHidden/>
              </w:rPr>
              <w:tab/>
            </w:r>
            <w:r>
              <w:rPr>
                <w:noProof/>
                <w:webHidden/>
              </w:rPr>
              <w:fldChar w:fldCharType="begin"/>
            </w:r>
            <w:r>
              <w:rPr>
                <w:noProof/>
                <w:webHidden/>
              </w:rPr>
              <w:instrText xml:space="preserve"> PAGEREF _Toc227923341 \h </w:instrText>
            </w:r>
            <w:r>
              <w:rPr>
                <w:noProof/>
                <w:webHidden/>
              </w:rPr>
            </w:r>
            <w:r>
              <w:rPr>
                <w:noProof/>
                <w:webHidden/>
              </w:rPr>
              <w:fldChar w:fldCharType="separate"/>
            </w:r>
            <w:r>
              <w:rPr>
                <w:noProof/>
                <w:webHidden/>
              </w:rPr>
              <w:t>11</w:t>
            </w:r>
            <w:r>
              <w:rPr>
                <w:noProof/>
                <w:webHidden/>
              </w:rPr>
              <w:fldChar w:fldCharType="end"/>
            </w:r>
          </w:hyperlink>
        </w:p>
        <w:p w14:paraId="4BFDC67B" w14:textId="572D15E4" w:rsidR="00E23C9C" w:rsidRDefault="00E23C9C">
          <w:pPr>
            <w:pStyle w:val="TOC3"/>
            <w:tabs>
              <w:tab w:val="right" w:leader="dot" w:pos="9350"/>
            </w:tabs>
            <w:rPr>
              <w:rFonts w:eastAsiaTheme="minorEastAsia"/>
              <w:noProof/>
              <w:kern w:val="2"/>
              <w:lang w:val="en-ZA" w:eastAsia="en-GB"/>
              <w14:ligatures w14:val="standardContextual"/>
            </w:rPr>
          </w:pPr>
          <w:hyperlink w:anchor="_Toc227923342" w:history="1">
            <w:r w:rsidRPr="00A44DEF">
              <w:rPr>
                <w:rStyle w:val="Hyperlink"/>
                <w:noProof/>
              </w:rPr>
              <w:t>Phase 0 — Commissioning and Terms of Reference</w:t>
            </w:r>
            <w:r>
              <w:rPr>
                <w:noProof/>
                <w:webHidden/>
              </w:rPr>
              <w:tab/>
            </w:r>
            <w:r>
              <w:rPr>
                <w:noProof/>
                <w:webHidden/>
              </w:rPr>
              <w:fldChar w:fldCharType="begin"/>
            </w:r>
            <w:r>
              <w:rPr>
                <w:noProof/>
                <w:webHidden/>
              </w:rPr>
              <w:instrText xml:space="preserve"> PAGEREF _Toc227923342 \h </w:instrText>
            </w:r>
            <w:r>
              <w:rPr>
                <w:noProof/>
                <w:webHidden/>
              </w:rPr>
            </w:r>
            <w:r>
              <w:rPr>
                <w:noProof/>
                <w:webHidden/>
              </w:rPr>
              <w:fldChar w:fldCharType="separate"/>
            </w:r>
            <w:r>
              <w:rPr>
                <w:noProof/>
                <w:webHidden/>
              </w:rPr>
              <w:t>11</w:t>
            </w:r>
            <w:r>
              <w:rPr>
                <w:noProof/>
                <w:webHidden/>
              </w:rPr>
              <w:fldChar w:fldCharType="end"/>
            </w:r>
          </w:hyperlink>
        </w:p>
        <w:p w14:paraId="61B428A9" w14:textId="5EEF7DCE" w:rsidR="00E23C9C" w:rsidRDefault="00E23C9C">
          <w:pPr>
            <w:pStyle w:val="TOC3"/>
            <w:tabs>
              <w:tab w:val="right" w:leader="dot" w:pos="9350"/>
            </w:tabs>
            <w:rPr>
              <w:rFonts w:eastAsiaTheme="minorEastAsia"/>
              <w:noProof/>
              <w:kern w:val="2"/>
              <w:lang w:val="en-ZA" w:eastAsia="en-GB"/>
              <w14:ligatures w14:val="standardContextual"/>
            </w:rPr>
          </w:pPr>
          <w:hyperlink w:anchor="_Toc227923343" w:history="1">
            <w:r w:rsidRPr="00A44DEF">
              <w:rPr>
                <w:rStyle w:val="Hyperlink"/>
                <w:noProof/>
              </w:rPr>
              <w:t>Phase 1 — Scoping</w:t>
            </w:r>
            <w:r>
              <w:rPr>
                <w:noProof/>
                <w:webHidden/>
              </w:rPr>
              <w:tab/>
            </w:r>
            <w:r>
              <w:rPr>
                <w:noProof/>
                <w:webHidden/>
              </w:rPr>
              <w:fldChar w:fldCharType="begin"/>
            </w:r>
            <w:r>
              <w:rPr>
                <w:noProof/>
                <w:webHidden/>
              </w:rPr>
              <w:instrText xml:space="preserve"> PAGEREF _Toc227923343 \h </w:instrText>
            </w:r>
            <w:r>
              <w:rPr>
                <w:noProof/>
                <w:webHidden/>
              </w:rPr>
            </w:r>
            <w:r>
              <w:rPr>
                <w:noProof/>
                <w:webHidden/>
              </w:rPr>
              <w:fldChar w:fldCharType="separate"/>
            </w:r>
            <w:r>
              <w:rPr>
                <w:noProof/>
                <w:webHidden/>
              </w:rPr>
              <w:t>11</w:t>
            </w:r>
            <w:r>
              <w:rPr>
                <w:noProof/>
                <w:webHidden/>
              </w:rPr>
              <w:fldChar w:fldCharType="end"/>
            </w:r>
          </w:hyperlink>
        </w:p>
        <w:p w14:paraId="5788BC47" w14:textId="1531A9EF" w:rsidR="00E23C9C" w:rsidRDefault="00E23C9C">
          <w:pPr>
            <w:pStyle w:val="TOC3"/>
            <w:tabs>
              <w:tab w:val="right" w:leader="dot" w:pos="9350"/>
            </w:tabs>
            <w:rPr>
              <w:rFonts w:eastAsiaTheme="minorEastAsia"/>
              <w:noProof/>
              <w:kern w:val="2"/>
              <w:lang w:val="en-ZA" w:eastAsia="en-GB"/>
              <w14:ligatures w14:val="standardContextual"/>
            </w:rPr>
          </w:pPr>
          <w:hyperlink w:anchor="_Toc227923344" w:history="1">
            <w:r w:rsidRPr="00A44DEF">
              <w:rPr>
                <w:rStyle w:val="Hyperlink"/>
                <w:noProof/>
              </w:rPr>
              <w:t>Phase 2 — Institutional Mapping</w:t>
            </w:r>
            <w:r>
              <w:rPr>
                <w:noProof/>
                <w:webHidden/>
              </w:rPr>
              <w:tab/>
            </w:r>
            <w:r>
              <w:rPr>
                <w:noProof/>
                <w:webHidden/>
              </w:rPr>
              <w:fldChar w:fldCharType="begin"/>
            </w:r>
            <w:r>
              <w:rPr>
                <w:noProof/>
                <w:webHidden/>
              </w:rPr>
              <w:instrText xml:space="preserve"> PAGEREF _Toc227923344 \h </w:instrText>
            </w:r>
            <w:r>
              <w:rPr>
                <w:noProof/>
                <w:webHidden/>
              </w:rPr>
            </w:r>
            <w:r>
              <w:rPr>
                <w:noProof/>
                <w:webHidden/>
              </w:rPr>
              <w:fldChar w:fldCharType="separate"/>
            </w:r>
            <w:r>
              <w:rPr>
                <w:noProof/>
                <w:webHidden/>
              </w:rPr>
              <w:t>11</w:t>
            </w:r>
            <w:r>
              <w:rPr>
                <w:noProof/>
                <w:webHidden/>
              </w:rPr>
              <w:fldChar w:fldCharType="end"/>
            </w:r>
          </w:hyperlink>
        </w:p>
        <w:p w14:paraId="33ABC450" w14:textId="1640A78F" w:rsidR="00E23C9C" w:rsidRDefault="00E23C9C">
          <w:pPr>
            <w:pStyle w:val="TOC3"/>
            <w:tabs>
              <w:tab w:val="right" w:leader="dot" w:pos="9350"/>
            </w:tabs>
            <w:rPr>
              <w:rFonts w:eastAsiaTheme="minorEastAsia"/>
              <w:noProof/>
              <w:kern w:val="2"/>
              <w:lang w:val="en-ZA" w:eastAsia="en-GB"/>
              <w14:ligatures w14:val="standardContextual"/>
            </w:rPr>
          </w:pPr>
          <w:hyperlink w:anchor="_Toc227923345" w:history="1">
            <w:r w:rsidRPr="00A44DEF">
              <w:rPr>
                <w:rStyle w:val="Hyperlink"/>
                <w:noProof/>
              </w:rPr>
              <w:t>Phase 3 — Evidence Collection</w:t>
            </w:r>
            <w:r>
              <w:rPr>
                <w:noProof/>
                <w:webHidden/>
              </w:rPr>
              <w:tab/>
            </w:r>
            <w:r>
              <w:rPr>
                <w:noProof/>
                <w:webHidden/>
              </w:rPr>
              <w:fldChar w:fldCharType="begin"/>
            </w:r>
            <w:r>
              <w:rPr>
                <w:noProof/>
                <w:webHidden/>
              </w:rPr>
              <w:instrText xml:space="preserve"> PAGEREF _Toc227923345 \h </w:instrText>
            </w:r>
            <w:r>
              <w:rPr>
                <w:noProof/>
                <w:webHidden/>
              </w:rPr>
            </w:r>
            <w:r>
              <w:rPr>
                <w:noProof/>
                <w:webHidden/>
              </w:rPr>
              <w:fldChar w:fldCharType="separate"/>
            </w:r>
            <w:r>
              <w:rPr>
                <w:noProof/>
                <w:webHidden/>
              </w:rPr>
              <w:t>11</w:t>
            </w:r>
            <w:r>
              <w:rPr>
                <w:noProof/>
                <w:webHidden/>
              </w:rPr>
              <w:fldChar w:fldCharType="end"/>
            </w:r>
          </w:hyperlink>
        </w:p>
        <w:p w14:paraId="5F9706B4" w14:textId="5551B971" w:rsidR="00E23C9C" w:rsidRDefault="00E23C9C">
          <w:pPr>
            <w:pStyle w:val="TOC3"/>
            <w:tabs>
              <w:tab w:val="right" w:leader="dot" w:pos="9350"/>
            </w:tabs>
            <w:rPr>
              <w:rFonts w:eastAsiaTheme="minorEastAsia"/>
              <w:noProof/>
              <w:kern w:val="2"/>
              <w:lang w:val="en-ZA" w:eastAsia="en-GB"/>
              <w14:ligatures w14:val="standardContextual"/>
            </w:rPr>
          </w:pPr>
          <w:hyperlink w:anchor="_Toc227923346" w:history="1">
            <w:r w:rsidRPr="00A44DEF">
              <w:rPr>
                <w:rStyle w:val="Hyperlink"/>
                <w:noProof/>
              </w:rPr>
              <w:t>Phase 4 — Dual-Analyst Blind Scoring</w:t>
            </w:r>
            <w:r>
              <w:rPr>
                <w:noProof/>
                <w:webHidden/>
              </w:rPr>
              <w:tab/>
            </w:r>
            <w:r>
              <w:rPr>
                <w:noProof/>
                <w:webHidden/>
              </w:rPr>
              <w:fldChar w:fldCharType="begin"/>
            </w:r>
            <w:r>
              <w:rPr>
                <w:noProof/>
                <w:webHidden/>
              </w:rPr>
              <w:instrText xml:space="preserve"> PAGEREF _Toc227923346 \h </w:instrText>
            </w:r>
            <w:r>
              <w:rPr>
                <w:noProof/>
                <w:webHidden/>
              </w:rPr>
            </w:r>
            <w:r>
              <w:rPr>
                <w:noProof/>
                <w:webHidden/>
              </w:rPr>
              <w:fldChar w:fldCharType="separate"/>
            </w:r>
            <w:r>
              <w:rPr>
                <w:noProof/>
                <w:webHidden/>
              </w:rPr>
              <w:t>12</w:t>
            </w:r>
            <w:r>
              <w:rPr>
                <w:noProof/>
                <w:webHidden/>
              </w:rPr>
              <w:fldChar w:fldCharType="end"/>
            </w:r>
          </w:hyperlink>
        </w:p>
        <w:p w14:paraId="3FE918D5" w14:textId="396D3124" w:rsidR="00E23C9C" w:rsidRDefault="00E23C9C">
          <w:pPr>
            <w:pStyle w:val="TOC3"/>
            <w:tabs>
              <w:tab w:val="right" w:leader="dot" w:pos="9350"/>
            </w:tabs>
            <w:rPr>
              <w:rFonts w:eastAsiaTheme="minorEastAsia"/>
              <w:noProof/>
              <w:kern w:val="2"/>
              <w:lang w:val="en-ZA" w:eastAsia="en-GB"/>
              <w14:ligatures w14:val="standardContextual"/>
            </w:rPr>
          </w:pPr>
          <w:hyperlink w:anchor="_Toc227923347" w:history="1">
            <w:r w:rsidRPr="00A44DEF">
              <w:rPr>
                <w:rStyle w:val="Hyperlink"/>
                <w:noProof/>
              </w:rPr>
              <w:t>Phase 5 — Adjudication and Reliability Measurement</w:t>
            </w:r>
            <w:r>
              <w:rPr>
                <w:noProof/>
                <w:webHidden/>
              </w:rPr>
              <w:tab/>
            </w:r>
            <w:r>
              <w:rPr>
                <w:noProof/>
                <w:webHidden/>
              </w:rPr>
              <w:fldChar w:fldCharType="begin"/>
            </w:r>
            <w:r>
              <w:rPr>
                <w:noProof/>
                <w:webHidden/>
              </w:rPr>
              <w:instrText xml:space="preserve"> PAGEREF _Toc227923347 \h </w:instrText>
            </w:r>
            <w:r>
              <w:rPr>
                <w:noProof/>
                <w:webHidden/>
              </w:rPr>
            </w:r>
            <w:r>
              <w:rPr>
                <w:noProof/>
                <w:webHidden/>
              </w:rPr>
              <w:fldChar w:fldCharType="separate"/>
            </w:r>
            <w:r>
              <w:rPr>
                <w:noProof/>
                <w:webHidden/>
              </w:rPr>
              <w:t>12</w:t>
            </w:r>
            <w:r>
              <w:rPr>
                <w:noProof/>
                <w:webHidden/>
              </w:rPr>
              <w:fldChar w:fldCharType="end"/>
            </w:r>
          </w:hyperlink>
        </w:p>
        <w:p w14:paraId="6C6A7D5E" w14:textId="66F31ECD" w:rsidR="00E23C9C" w:rsidRDefault="00E23C9C">
          <w:pPr>
            <w:pStyle w:val="TOC3"/>
            <w:tabs>
              <w:tab w:val="right" w:leader="dot" w:pos="9350"/>
            </w:tabs>
            <w:rPr>
              <w:rFonts w:eastAsiaTheme="minorEastAsia"/>
              <w:noProof/>
              <w:kern w:val="2"/>
              <w:lang w:val="en-ZA" w:eastAsia="en-GB"/>
              <w14:ligatures w14:val="standardContextual"/>
            </w:rPr>
          </w:pPr>
          <w:hyperlink w:anchor="_Toc227923348" w:history="1">
            <w:r w:rsidRPr="00A44DEF">
              <w:rPr>
                <w:rStyle w:val="Hyperlink"/>
                <w:noProof/>
              </w:rPr>
              <w:t>Phase 6 — Root-Cause Classification</w:t>
            </w:r>
            <w:r>
              <w:rPr>
                <w:noProof/>
                <w:webHidden/>
              </w:rPr>
              <w:tab/>
            </w:r>
            <w:r>
              <w:rPr>
                <w:noProof/>
                <w:webHidden/>
              </w:rPr>
              <w:fldChar w:fldCharType="begin"/>
            </w:r>
            <w:r>
              <w:rPr>
                <w:noProof/>
                <w:webHidden/>
              </w:rPr>
              <w:instrText xml:space="preserve"> PAGEREF _Toc227923348 \h </w:instrText>
            </w:r>
            <w:r>
              <w:rPr>
                <w:noProof/>
                <w:webHidden/>
              </w:rPr>
            </w:r>
            <w:r>
              <w:rPr>
                <w:noProof/>
                <w:webHidden/>
              </w:rPr>
              <w:fldChar w:fldCharType="separate"/>
            </w:r>
            <w:r>
              <w:rPr>
                <w:noProof/>
                <w:webHidden/>
              </w:rPr>
              <w:t>12</w:t>
            </w:r>
            <w:r>
              <w:rPr>
                <w:noProof/>
                <w:webHidden/>
              </w:rPr>
              <w:fldChar w:fldCharType="end"/>
            </w:r>
          </w:hyperlink>
        </w:p>
        <w:p w14:paraId="4C585EC2" w14:textId="2AC5EB81" w:rsidR="00E23C9C" w:rsidRDefault="00E23C9C">
          <w:pPr>
            <w:pStyle w:val="TOC3"/>
            <w:tabs>
              <w:tab w:val="right" w:leader="dot" w:pos="9350"/>
            </w:tabs>
            <w:rPr>
              <w:rFonts w:eastAsiaTheme="minorEastAsia"/>
              <w:noProof/>
              <w:kern w:val="2"/>
              <w:lang w:val="en-ZA" w:eastAsia="en-GB"/>
              <w14:ligatures w14:val="standardContextual"/>
            </w:rPr>
          </w:pPr>
          <w:hyperlink w:anchor="_Toc227923349" w:history="1">
            <w:r w:rsidRPr="00A44DEF">
              <w:rPr>
                <w:rStyle w:val="Hyperlink"/>
                <w:noProof/>
              </w:rPr>
              <w:t>Phase 7 — Internal Quality Review</w:t>
            </w:r>
            <w:r>
              <w:rPr>
                <w:noProof/>
                <w:webHidden/>
              </w:rPr>
              <w:tab/>
            </w:r>
            <w:r>
              <w:rPr>
                <w:noProof/>
                <w:webHidden/>
              </w:rPr>
              <w:fldChar w:fldCharType="begin"/>
            </w:r>
            <w:r>
              <w:rPr>
                <w:noProof/>
                <w:webHidden/>
              </w:rPr>
              <w:instrText xml:space="preserve"> PAGEREF _Toc227923349 \h </w:instrText>
            </w:r>
            <w:r>
              <w:rPr>
                <w:noProof/>
                <w:webHidden/>
              </w:rPr>
            </w:r>
            <w:r>
              <w:rPr>
                <w:noProof/>
                <w:webHidden/>
              </w:rPr>
              <w:fldChar w:fldCharType="separate"/>
            </w:r>
            <w:r>
              <w:rPr>
                <w:noProof/>
                <w:webHidden/>
              </w:rPr>
              <w:t>12</w:t>
            </w:r>
            <w:r>
              <w:rPr>
                <w:noProof/>
                <w:webHidden/>
              </w:rPr>
              <w:fldChar w:fldCharType="end"/>
            </w:r>
          </w:hyperlink>
        </w:p>
        <w:p w14:paraId="7538099F" w14:textId="445A9208" w:rsidR="00E23C9C" w:rsidRDefault="00E23C9C">
          <w:pPr>
            <w:pStyle w:val="TOC3"/>
            <w:tabs>
              <w:tab w:val="right" w:leader="dot" w:pos="9350"/>
            </w:tabs>
            <w:rPr>
              <w:rFonts w:eastAsiaTheme="minorEastAsia"/>
              <w:noProof/>
              <w:kern w:val="2"/>
              <w:lang w:val="en-ZA" w:eastAsia="en-GB"/>
              <w14:ligatures w14:val="standardContextual"/>
            </w:rPr>
          </w:pPr>
          <w:hyperlink w:anchor="_Toc227923350" w:history="1">
            <w:r w:rsidRPr="00A44DEF">
              <w:rPr>
                <w:rStyle w:val="Hyperlink"/>
                <w:noProof/>
              </w:rPr>
              <w:t>Phase 8 — Reform Blueprint Design</w:t>
            </w:r>
            <w:r>
              <w:rPr>
                <w:noProof/>
                <w:webHidden/>
              </w:rPr>
              <w:tab/>
            </w:r>
            <w:r>
              <w:rPr>
                <w:noProof/>
                <w:webHidden/>
              </w:rPr>
              <w:fldChar w:fldCharType="begin"/>
            </w:r>
            <w:r>
              <w:rPr>
                <w:noProof/>
                <w:webHidden/>
              </w:rPr>
              <w:instrText xml:space="preserve"> PAGEREF _Toc227923350 \h </w:instrText>
            </w:r>
            <w:r>
              <w:rPr>
                <w:noProof/>
                <w:webHidden/>
              </w:rPr>
            </w:r>
            <w:r>
              <w:rPr>
                <w:noProof/>
                <w:webHidden/>
              </w:rPr>
              <w:fldChar w:fldCharType="separate"/>
            </w:r>
            <w:r>
              <w:rPr>
                <w:noProof/>
                <w:webHidden/>
              </w:rPr>
              <w:t>13</w:t>
            </w:r>
            <w:r>
              <w:rPr>
                <w:noProof/>
                <w:webHidden/>
              </w:rPr>
              <w:fldChar w:fldCharType="end"/>
            </w:r>
          </w:hyperlink>
        </w:p>
        <w:p w14:paraId="01D60E1B" w14:textId="7996CA37" w:rsidR="00E23C9C" w:rsidRDefault="00E23C9C">
          <w:pPr>
            <w:pStyle w:val="TOC3"/>
            <w:tabs>
              <w:tab w:val="right" w:leader="dot" w:pos="9350"/>
            </w:tabs>
            <w:rPr>
              <w:rFonts w:eastAsiaTheme="minorEastAsia"/>
              <w:noProof/>
              <w:kern w:val="2"/>
              <w:lang w:val="en-ZA" w:eastAsia="en-GB"/>
              <w14:ligatures w14:val="standardContextual"/>
            </w:rPr>
          </w:pPr>
          <w:hyperlink w:anchor="_Toc227923351" w:history="1">
            <w:r w:rsidRPr="00A44DEF">
              <w:rPr>
                <w:rStyle w:val="Hyperlink"/>
                <w:noProof/>
              </w:rPr>
              <w:t>Phase 9 — Stakeholder Validation and Right of Reply</w:t>
            </w:r>
            <w:r>
              <w:rPr>
                <w:noProof/>
                <w:webHidden/>
              </w:rPr>
              <w:tab/>
            </w:r>
            <w:r>
              <w:rPr>
                <w:noProof/>
                <w:webHidden/>
              </w:rPr>
              <w:fldChar w:fldCharType="begin"/>
            </w:r>
            <w:r>
              <w:rPr>
                <w:noProof/>
                <w:webHidden/>
              </w:rPr>
              <w:instrText xml:space="preserve"> PAGEREF _Toc227923351 \h </w:instrText>
            </w:r>
            <w:r>
              <w:rPr>
                <w:noProof/>
                <w:webHidden/>
              </w:rPr>
            </w:r>
            <w:r>
              <w:rPr>
                <w:noProof/>
                <w:webHidden/>
              </w:rPr>
              <w:fldChar w:fldCharType="separate"/>
            </w:r>
            <w:r>
              <w:rPr>
                <w:noProof/>
                <w:webHidden/>
              </w:rPr>
              <w:t>13</w:t>
            </w:r>
            <w:r>
              <w:rPr>
                <w:noProof/>
                <w:webHidden/>
              </w:rPr>
              <w:fldChar w:fldCharType="end"/>
            </w:r>
          </w:hyperlink>
        </w:p>
        <w:p w14:paraId="0BE7C028" w14:textId="16EB1AD4" w:rsidR="00E23C9C" w:rsidRDefault="00E23C9C">
          <w:pPr>
            <w:pStyle w:val="TOC3"/>
            <w:tabs>
              <w:tab w:val="right" w:leader="dot" w:pos="9350"/>
            </w:tabs>
            <w:rPr>
              <w:rFonts w:eastAsiaTheme="minorEastAsia"/>
              <w:noProof/>
              <w:kern w:val="2"/>
              <w:lang w:val="en-ZA" w:eastAsia="en-GB"/>
              <w14:ligatures w14:val="standardContextual"/>
            </w:rPr>
          </w:pPr>
          <w:hyperlink w:anchor="_Toc227923352" w:history="1">
            <w:r w:rsidRPr="00A44DEF">
              <w:rPr>
                <w:rStyle w:val="Hyperlink"/>
                <w:noProof/>
              </w:rPr>
              <w:t>Phase 10 — Publication and Longitudinal Tracking</w:t>
            </w:r>
            <w:r>
              <w:rPr>
                <w:noProof/>
                <w:webHidden/>
              </w:rPr>
              <w:tab/>
            </w:r>
            <w:r>
              <w:rPr>
                <w:noProof/>
                <w:webHidden/>
              </w:rPr>
              <w:fldChar w:fldCharType="begin"/>
            </w:r>
            <w:r>
              <w:rPr>
                <w:noProof/>
                <w:webHidden/>
              </w:rPr>
              <w:instrText xml:space="preserve"> PAGEREF _Toc227923352 \h </w:instrText>
            </w:r>
            <w:r>
              <w:rPr>
                <w:noProof/>
                <w:webHidden/>
              </w:rPr>
            </w:r>
            <w:r>
              <w:rPr>
                <w:noProof/>
                <w:webHidden/>
              </w:rPr>
              <w:fldChar w:fldCharType="separate"/>
            </w:r>
            <w:r>
              <w:rPr>
                <w:noProof/>
                <w:webHidden/>
              </w:rPr>
              <w:t>13</w:t>
            </w:r>
            <w:r>
              <w:rPr>
                <w:noProof/>
                <w:webHidden/>
              </w:rPr>
              <w:fldChar w:fldCharType="end"/>
            </w:r>
          </w:hyperlink>
        </w:p>
        <w:p w14:paraId="54C387AA" w14:textId="0B67CF5F" w:rsidR="00E23C9C" w:rsidRDefault="00E23C9C">
          <w:pPr>
            <w:pStyle w:val="TOC3"/>
            <w:tabs>
              <w:tab w:val="right" w:leader="dot" w:pos="9350"/>
            </w:tabs>
            <w:rPr>
              <w:rFonts w:eastAsiaTheme="minorEastAsia"/>
              <w:noProof/>
              <w:kern w:val="2"/>
              <w:lang w:val="en-ZA" w:eastAsia="en-GB"/>
              <w14:ligatures w14:val="standardContextual"/>
            </w:rPr>
          </w:pPr>
          <w:hyperlink w:anchor="_Toc227923353" w:history="1">
            <w:r w:rsidRPr="00A44DEF">
              <w:rPr>
                <w:rStyle w:val="Hyperlink"/>
                <w:noProof/>
              </w:rPr>
              <w:t>Summary of the Ten-Phase Protocol</w:t>
            </w:r>
            <w:r>
              <w:rPr>
                <w:noProof/>
                <w:webHidden/>
              </w:rPr>
              <w:tab/>
            </w:r>
            <w:r>
              <w:rPr>
                <w:noProof/>
                <w:webHidden/>
              </w:rPr>
              <w:fldChar w:fldCharType="begin"/>
            </w:r>
            <w:r>
              <w:rPr>
                <w:noProof/>
                <w:webHidden/>
              </w:rPr>
              <w:instrText xml:space="preserve"> PAGEREF _Toc227923353 \h </w:instrText>
            </w:r>
            <w:r>
              <w:rPr>
                <w:noProof/>
                <w:webHidden/>
              </w:rPr>
            </w:r>
            <w:r>
              <w:rPr>
                <w:noProof/>
                <w:webHidden/>
              </w:rPr>
              <w:fldChar w:fldCharType="separate"/>
            </w:r>
            <w:r>
              <w:rPr>
                <w:noProof/>
                <w:webHidden/>
              </w:rPr>
              <w:t>13</w:t>
            </w:r>
            <w:r>
              <w:rPr>
                <w:noProof/>
                <w:webHidden/>
              </w:rPr>
              <w:fldChar w:fldCharType="end"/>
            </w:r>
          </w:hyperlink>
        </w:p>
        <w:p w14:paraId="6C385A04" w14:textId="7C70F996" w:rsidR="00E23C9C" w:rsidRDefault="00E23C9C">
          <w:pPr>
            <w:pStyle w:val="TOC2"/>
            <w:tabs>
              <w:tab w:val="right" w:leader="dot" w:pos="9350"/>
            </w:tabs>
            <w:rPr>
              <w:rFonts w:eastAsiaTheme="minorEastAsia"/>
              <w:noProof/>
              <w:kern w:val="2"/>
              <w:lang w:val="en-ZA" w:eastAsia="en-GB"/>
              <w14:ligatures w14:val="standardContextual"/>
            </w:rPr>
          </w:pPr>
          <w:hyperlink w:anchor="_Toc227923354" w:history="1">
            <w:r w:rsidRPr="00A44DEF">
              <w:rPr>
                <w:rStyle w:val="Hyperlink"/>
                <w:noProof/>
              </w:rPr>
              <w:t>5. Part III — Adapting RAARICLE™ Beyond South Africa: the United States States Case</w:t>
            </w:r>
            <w:r>
              <w:rPr>
                <w:noProof/>
                <w:webHidden/>
              </w:rPr>
              <w:tab/>
            </w:r>
            <w:r>
              <w:rPr>
                <w:noProof/>
                <w:webHidden/>
              </w:rPr>
              <w:fldChar w:fldCharType="begin"/>
            </w:r>
            <w:r>
              <w:rPr>
                <w:noProof/>
                <w:webHidden/>
              </w:rPr>
              <w:instrText xml:space="preserve"> PAGEREF _Toc227923354 \h </w:instrText>
            </w:r>
            <w:r>
              <w:rPr>
                <w:noProof/>
                <w:webHidden/>
              </w:rPr>
            </w:r>
            <w:r>
              <w:rPr>
                <w:noProof/>
                <w:webHidden/>
              </w:rPr>
              <w:fldChar w:fldCharType="separate"/>
            </w:r>
            <w:r>
              <w:rPr>
                <w:noProof/>
                <w:webHidden/>
              </w:rPr>
              <w:t>15</w:t>
            </w:r>
            <w:r>
              <w:rPr>
                <w:noProof/>
                <w:webHidden/>
              </w:rPr>
              <w:fldChar w:fldCharType="end"/>
            </w:r>
          </w:hyperlink>
        </w:p>
        <w:p w14:paraId="48E23121" w14:textId="2083DC42" w:rsidR="00E23C9C" w:rsidRDefault="00E23C9C">
          <w:pPr>
            <w:pStyle w:val="TOC3"/>
            <w:tabs>
              <w:tab w:val="right" w:leader="dot" w:pos="9350"/>
            </w:tabs>
            <w:rPr>
              <w:rFonts w:eastAsiaTheme="minorEastAsia"/>
              <w:noProof/>
              <w:kern w:val="2"/>
              <w:lang w:val="en-ZA" w:eastAsia="en-GB"/>
              <w14:ligatures w14:val="standardContextual"/>
            </w:rPr>
          </w:pPr>
          <w:hyperlink w:anchor="_Toc227923355" w:history="1">
            <w:r w:rsidRPr="00A44DEF">
              <w:rPr>
                <w:rStyle w:val="Hyperlink"/>
                <w:noProof/>
              </w:rPr>
              <w:t>5.1 Why US States are a Useful Test Case</w:t>
            </w:r>
            <w:r>
              <w:rPr>
                <w:noProof/>
                <w:webHidden/>
              </w:rPr>
              <w:tab/>
            </w:r>
            <w:r>
              <w:rPr>
                <w:noProof/>
                <w:webHidden/>
              </w:rPr>
              <w:fldChar w:fldCharType="begin"/>
            </w:r>
            <w:r>
              <w:rPr>
                <w:noProof/>
                <w:webHidden/>
              </w:rPr>
              <w:instrText xml:space="preserve"> PAGEREF _Toc227923355 \h </w:instrText>
            </w:r>
            <w:r>
              <w:rPr>
                <w:noProof/>
                <w:webHidden/>
              </w:rPr>
            </w:r>
            <w:r>
              <w:rPr>
                <w:noProof/>
                <w:webHidden/>
              </w:rPr>
              <w:fldChar w:fldCharType="separate"/>
            </w:r>
            <w:r>
              <w:rPr>
                <w:noProof/>
                <w:webHidden/>
              </w:rPr>
              <w:t>15</w:t>
            </w:r>
            <w:r>
              <w:rPr>
                <w:noProof/>
                <w:webHidden/>
              </w:rPr>
              <w:fldChar w:fldCharType="end"/>
            </w:r>
          </w:hyperlink>
        </w:p>
        <w:p w14:paraId="2883AB90" w14:textId="54710B20" w:rsidR="00E23C9C" w:rsidRDefault="00E23C9C">
          <w:pPr>
            <w:pStyle w:val="TOC3"/>
            <w:tabs>
              <w:tab w:val="right" w:leader="dot" w:pos="9350"/>
            </w:tabs>
            <w:rPr>
              <w:rFonts w:eastAsiaTheme="minorEastAsia"/>
              <w:noProof/>
              <w:kern w:val="2"/>
              <w:lang w:val="en-ZA" w:eastAsia="en-GB"/>
              <w14:ligatures w14:val="standardContextual"/>
            </w:rPr>
          </w:pPr>
          <w:hyperlink w:anchor="_Toc227923356" w:history="1">
            <w:r w:rsidRPr="00A44DEF">
              <w:rPr>
                <w:rStyle w:val="Hyperlink"/>
                <w:noProof/>
              </w:rPr>
              <w:t>5.2 Indicator Translation: Worked Example for Water Utility Governance</w:t>
            </w:r>
            <w:r>
              <w:rPr>
                <w:noProof/>
                <w:webHidden/>
              </w:rPr>
              <w:tab/>
            </w:r>
            <w:r>
              <w:rPr>
                <w:noProof/>
                <w:webHidden/>
              </w:rPr>
              <w:fldChar w:fldCharType="begin"/>
            </w:r>
            <w:r>
              <w:rPr>
                <w:noProof/>
                <w:webHidden/>
              </w:rPr>
              <w:instrText xml:space="preserve"> PAGEREF _Toc227923356 \h </w:instrText>
            </w:r>
            <w:r>
              <w:rPr>
                <w:noProof/>
                <w:webHidden/>
              </w:rPr>
            </w:r>
            <w:r>
              <w:rPr>
                <w:noProof/>
                <w:webHidden/>
              </w:rPr>
              <w:fldChar w:fldCharType="separate"/>
            </w:r>
            <w:r>
              <w:rPr>
                <w:noProof/>
                <w:webHidden/>
              </w:rPr>
              <w:t>16</w:t>
            </w:r>
            <w:r>
              <w:rPr>
                <w:noProof/>
                <w:webHidden/>
              </w:rPr>
              <w:fldChar w:fldCharType="end"/>
            </w:r>
          </w:hyperlink>
        </w:p>
        <w:p w14:paraId="5E596E5B" w14:textId="09C30E6B" w:rsidR="00E23C9C" w:rsidRDefault="00E23C9C">
          <w:pPr>
            <w:pStyle w:val="TOC3"/>
            <w:tabs>
              <w:tab w:val="right" w:leader="dot" w:pos="9350"/>
            </w:tabs>
            <w:rPr>
              <w:rFonts w:eastAsiaTheme="minorEastAsia"/>
              <w:noProof/>
              <w:kern w:val="2"/>
              <w:lang w:val="en-ZA" w:eastAsia="en-GB"/>
              <w14:ligatures w14:val="standardContextual"/>
            </w:rPr>
          </w:pPr>
          <w:hyperlink w:anchor="_Toc227923357" w:history="1">
            <w:r w:rsidRPr="00A44DEF">
              <w:rPr>
                <w:rStyle w:val="Hyperlink"/>
                <w:noProof/>
              </w:rPr>
              <w:t>5.3 Data Source Substitution Map</w:t>
            </w:r>
            <w:r>
              <w:rPr>
                <w:noProof/>
                <w:webHidden/>
              </w:rPr>
              <w:tab/>
            </w:r>
            <w:r>
              <w:rPr>
                <w:noProof/>
                <w:webHidden/>
              </w:rPr>
              <w:fldChar w:fldCharType="begin"/>
            </w:r>
            <w:r>
              <w:rPr>
                <w:noProof/>
                <w:webHidden/>
              </w:rPr>
              <w:instrText xml:space="preserve"> PAGEREF _Toc227923357 \h </w:instrText>
            </w:r>
            <w:r>
              <w:rPr>
                <w:noProof/>
                <w:webHidden/>
              </w:rPr>
            </w:r>
            <w:r>
              <w:rPr>
                <w:noProof/>
                <w:webHidden/>
              </w:rPr>
              <w:fldChar w:fldCharType="separate"/>
            </w:r>
            <w:r>
              <w:rPr>
                <w:noProof/>
                <w:webHidden/>
              </w:rPr>
              <w:t>17</w:t>
            </w:r>
            <w:r>
              <w:rPr>
                <w:noProof/>
                <w:webHidden/>
              </w:rPr>
              <w:fldChar w:fldCharType="end"/>
            </w:r>
          </w:hyperlink>
        </w:p>
        <w:p w14:paraId="27EB77FF" w14:textId="56222FAD" w:rsidR="00E23C9C" w:rsidRDefault="00E23C9C">
          <w:pPr>
            <w:pStyle w:val="TOC3"/>
            <w:tabs>
              <w:tab w:val="right" w:leader="dot" w:pos="9350"/>
            </w:tabs>
            <w:rPr>
              <w:rFonts w:eastAsiaTheme="minorEastAsia"/>
              <w:noProof/>
              <w:kern w:val="2"/>
              <w:lang w:val="en-ZA" w:eastAsia="en-GB"/>
              <w14:ligatures w14:val="standardContextual"/>
            </w:rPr>
          </w:pPr>
          <w:hyperlink w:anchor="_Toc227923358" w:history="1">
            <w:r w:rsidRPr="00A44DEF">
              <w:rPr>
                <w:rStyle w:val="Hyperlink"/>
                <w:noProof/>
              </w:rPr>
              <w:t>5.4 Constitutional and Legal-Regime Adaptations</w:t>
            </w:r>
            <w:r>
              <w:rPr>
                <w:noProof/>
                <w:webHidden/>
              </w:rPr>
              <w:tab/>
            </w:r>
            <w:r>
              <w:rPr>
                <w:noProof/>
                <w:webHidden/>
              </w:rPr>
              <w:fldChar w:fldCharType="begin"/>
            </w:r>
            <w:r>
              <w:rPr>
                <w:noProof/>
                <w:webHidden/>
              </w:rPr>
              <w:instrText xml:space="preserve"> PAGEREF _Toc227923358 \h </w:instrText>
            </w:r>
            <w:r>
              <w:rPr>
                <w:noProof/>
                <w:webHidden/>
              </w:rPr>
            </w:r>
            <w:r>
              <w:rPr>
                <w:noProof/>
                <w:webHidden/>
              </w:rPr>
              <w:fldChar w:fldCharType="separate"/>
            </w:r>
            <w:r>
              <w:rPr>
                <w:noProof/>
                <w:webHidden/>
              </w:rPr>
              <w:t>18</w:t>
            </w:r>
            <w:r>
              <w:rPr>
                <w:noProof/>
                <w:webHidden/>
              </w:rPr>
              <w:fldChar w:fldCharType="end"/>
            </w:r>
          </w:hyperlink>
        </w:p>
        <w:p w14:paraId="0F672A70" w14:textId="287B82FD" w:rsidR="00E23C9C" w:rsidRDefault="00E23C9C">
          <w:pPr>
            <w:pStyle w:val="TOC3"/>
            <w:tabs>
              <w:tab w:val="right" w:leader="dot" w:pos="9350"/>
            </w:tabs>
            <w:rPr>
              <w:rFonts w:eastAsiaTheme="minorEastAsia"/>
              <w:noProof/>
              <w:kern w:val="2"/>
              <w:lang w:val="en-ZA" w:eastAsia="en-GB"/>
              <w14:ligatures w14:val="standardContextual"/>
            </w:rPr>
          </w:pPr>
          <w:hyperlink w:anchor="_Toc227923359" w:history="1">
            <w:r w:rsidRPr="00A44DEF">
              <w:rPr>
                <w:rStyle w:val="Hyperlink"/>
                <w:noProof/>
              </w:rPr>
              <w:t>5.5 Illustrative Case Outline: Diagnosing Drinking Water Governance in Michigan</w:t>
            </w:r>
            <w:r>
              <w:rPr>
                <w:noProof/>
                <w:webHidden/>
              </w:rPr>
              <w:tab/>
            </w:r>
            <w:r>
              <w:rPr>
                <w:noProof/>
                <w:webHidden/>
              </w:rPr>
              <w:fldChar w:fldCharType="begin"/>
            </w:r>
            <w:r>
              <w:rPr>
                <w:noProof/>
                <w:webHidden/>
              </w:rPr>
              <w:instrText xml:space="preserve"> PAGEREF _Toc227923359 \h </w:instrText>
            </w:r>
            <w:r>
              <w:rPr>
                <w:noProof/>
                <w:webHidden/>
              </w:rPr>
            </w:r>
            <w:r>
              <w:rPr>
                <w:noProof/>
                <w:webHidden/>
              </w:rPr>
              <w:fldChar w:fldCharType="separate"/>
            </w:r>
            <w:r>
              <w:rPr>
                <w:noProof/>
                <w:webHidden/>
              </w:rPr>
              <w:t>19</w:t>
            </w:r>
            <w:r>
              <w:rPr>
                <w:noProof/>
                <w:webHidden/>
              </w:rPr>
              <w:fldChar w:fldCharType="end"/>
            </w:r>
          </w:hyperlink>
        </w:p>
        <w:p w14:paraId="03D3B207" w14:textId="7B62C1B6" w:rsidR="00E23C9C" w:rsidRDefault="00E23C9C">
          <w:pPr>
            <w:pStyle w:val="TOC3"/>
            <w:tabs>
              <w:tab w:val="right" w:leader="dot" w:pos="9350"/>
            </w:tabs>
            <w:rPr>
              <w:rFonts w:eastAsiaTheme="minorEastAsia"/>
              <w:noProof/>
              <w:kern w:val="2"/>
              <w:lang w:val="en-ZA" w:eastAsia="en-GB"/>
              <w14:ligatures w14:val="standardContextual"/>
            </w:rPr>
          </w:pPr>
          <w:hyperlink w:anchor="_Toc227923360" w:history="1">
            <w:r w:rsidRPr="00A44DEF">
              <w:rPr>
                <w:rStyle w:val="Hyperlink"/>
                <w:noProof/>
              </w:rPr>
              <w:t>5.6 Candidate US Functions for a Pilot Programme</w:t>
            </w:r>
            <w:r>
              <w:rPr>
                <w:noProof/>
                <w:webHidden/>
              </w:rPr>
              <w:tab/>
            </w:r>
            <w:r>
              <w:rPr>
                <w:noProof/>
                <w:webHidden/>
              </w:rPr>
              <w:fldChar w:fldCharType="begin"/>
            </w:r>
            <w:r>
              <w:rPr>
                <w:noProof/>
                <w:webHidden/>
              </w:rPr>
              <w:instrText xml:space="preserve"> PAGEREF _Toc227923360 \h </w:instrText>
            </w:r>
            <w:r>
              <w:rPr>
                <w:noProof/>
                <w:webHidden/>
              </w:rPr>
            </w:r>
            <w:r>
              <w:rPr>
                <w:noProof/>
                <w:webHidden/>
              </w:rPr>
              <w:fldChar w:fldCharType="separate"/>
            </w:r>
            <w:r>
              <w:rPr>
                <w:noProof/>
                <w:webHidden/>
              </w:rPr>
              <w:t>20</w:t>
            </w:r>
            <w:r>
              <w:rPr>
                <w:noProof/>
                <w:webHidden/>
              </w:rPr>
              <w:fldChar w:fldCharType="end"/>
            </w:r>
          </w:hyperlink>
        </w:p>
        <w:p w14:paraId="6B6177E1" w14:textId="3B810E66" w:rsidR="00E23C9C" w:rsidRDefault="00E23C9C">
          <w:pPr>
            <w:pStyle w:val="TOC3"/>
            <w:tabs>
              <w:tab w:val="right" w:leader="dot" w:pos="9350"/>
            </w:tabs>
            <w:rPr>
              <w:rFonts w:eastAsiaTheme="minorEastAsia"/>
              <w:noProof/>
              <w:kern w:val="2"/>
              <w:lang w:val="en-ZA" w:eastAsia="en-GB"/>
              <w14:ligatures w14:val="standardContextual"/>
            </w:rPr>
          </w:pPr>
          <w:hyperlink w:anchor="_Toc227923361" w:history="1">
            <w:r w:rsidRPr="00A44DEF">
              <w:rPr>
                <w:rStyle w:val="Hyperlink"/>
                <w:noProof/>
              </w:rPr>
              <w:t>5.7 What an International Expansion Does for Credibility</w:t>
            </w:r>
            <w:r>
              <w:rPr>
                <w:noProof/>
                <w:webHidden/>
              </w:rPr>
              <w:tab/>
            </w:r>
            <w:r>
              <w:rPr>
                <w:noProof/>
                <w:webHidden/>
              </w:rPr>
              <w:fldChar w:fldCharType="begin"/>
            </w:r>
            <w:r>
              <w:rPr>
                <w:noProof/>
                <w:webHidden/>
              </w:rPr>
              <w:instrText xml:space="preserve"> PAGEREF _Toc227923361 \h </w:instrText>
            </w:r>
            <w:r>
              <w:rPr>
                <w:noProof/>
                <w:webHidden/>
              </w:rPr>
            </w:r>
            <w:r>
              <w:rPr>
                <w:noProof/>
                <w:webHidden/>
              </w:rPr>
              <w:fldChar w:fldCharType="separate"/>
            </w:r>
            <w:r>
              <w:rPr>
                <w:noProof/>
                <w:webHidden/>
              </w:rPr>
              <w:t>20</w:t>
            </w:r>
            <w:r>
              <w:rPr>
                <w:noProof/>
                <w:webHidden/>
              </w:rPr>
              <w:fldChar w:fldCharType="end"/>
            </w:r>
          </w:hyperlink>
        </w:p>
        <w:p w14:paraId="1540DB91" w14:textId="1193AC96" w:rsidR="00E23C9C" w:rsidRDefault="00E23C9C">
          <w:pPr>
            <w:pStyle w:val="TOC2"/>
            <w:tabs>
              <w:tab w:val="right" w:leader="dot" w:pos="9350"/>
            </w:tabs>
            <w:rPr>
              <w:rFonts w:eastAsiaTheme="minorEastAsia"/>
              <w:noProof/>
              <w:kern w:val="2"/>
              <w:lang w:val="en-ZA" w:eastAsia="en-GB"/>
              <w14:ligatures w14:val="standardContextual"/>
            </w:rPr>
          </w:pPr>
          <w:hyperlink w:anchor="_Toc227923362" w:history="1">
            <w:r w:rsidRPr="00A44DEF">
              <w:rPr>
                <w:rStyle w:val="Hyperlink"/>
                <w:noProof/>
              </w:rPr>
              <w:t>6. Part IV — Sequenced Roadmap to Credibility (2026–2030)</w:t>
            </w:r>
            <w:r>
              <w:rPr>
                <w:noProof/>
                <w:webHidden/>
              </w:rPr>
              <w:tab/>
            </w:r>
            <w:r>
              <w:rPr>
                <w:noProof/>
                <w:webHidden/>
              </w:rPr>
              <w:fldChar w:fldCharType="begin"/>
            </w:r>
            <w:r>
              <w:rPr>
                <w:noProof/>
                <w:webHidden/>
              </w:rPr>
              <w:instrText xml:space="preserve"> PAGEREF _Toc227923362 \h </w:instrText>
            </w:r>
            <w:r>
              <w:rPr>
                <w:noProof/>
                <w:webHidden/>
              </w:rPr>
            </w:r>
            <w:r>
              <w:rPr>
                <w:noProof/>
                <w:webHidden/>
              </w:rPr>
              <w:fldChar w:fldCharType="separate"/>
            </w:r>
            <w:r>
              <w:rPr>
                <w:noProof/>
                <w:webHidden/>
              </w:rPr>
              <w:t>21</w:t>
            </w:r>
            <w:r>
              <w:rPr>
                <w:noProof/>
                <w:webHidden/>
              </w:rPr>
              <w:fldChar w:fldCharType="end"/>
            </w:r>
          </w:hyperlink>
        </w:p>
        <w:p w14:paraId="743401A5" w14:textId="54E3544B" w:rsidR="00E23C9C" w:rsidRDefault="00E23C9C">
          <w:pPr>
            <w:pStyle w:val="TOC3"/>
            <w:tabs>
              <w:tab w:val="right" w:leader="dot" w:pos="9350"/>
            </w:tabs>
            <w:rPr>
              <w:rFonts w:eastAsiaTheme="minorEastAsia"/>
              <w:noProof/>
              <w:kern w:val="2"/>
              <w:lang w:val="en-ZA" w:eastAsia="en-GB"/>
              <w14:ligatures w14:val="standardContextual"/>
            </w:rPr>
          </w:pPr>
          <w:hyperlink w:anchor="_Toc227923363" w:history="1">
            <w:r w:rsidRPr="00A44DEF">
              <w:rPr>
                <w:rStyle w:val="Hyperlink"/>
                <w:noProof/>
              </w:rPr>
              <w:t>Year 1 (2026) — Foundation</w:t>
            </w:r>
            <w:r>
              <w:rPr>
                <w:noProof/>
                <w:webHidden/>
              </w:rPr>
              <w:tab/>
            </w:r>
            <w:r>
              <w:rPr>
                <w:noProof/>
                <w:webHidden/>
              </w:rPr>
              <w:fldChar w:fldCharType="begin"/>
            </w:r>
            <w:r>
              <w:rPr>
                <w:noProof/>
                <w:webHidden/>
              </w:rPr>
              <w:instrText xml:space="preserve"> PAGEREF _Toc227923363 \h </w:instrText>
            </w:r>
            <w:r>
              <w:rPr>
                <w:noProof/>
                <w:webHidden/>
              </w:rPr>
            </w:r>
            <w:r>
              <w:rPr>
                <w:noProof/>
                <w:webHidden/>
              </w:rPr>
              <w:fldChar w:fldCharType="separate"/>
            </w:r>
            <w:r>
              <w:rPr>
                <w:noProof/>
                <w:webHidden/>
              </w:rPr>
              <w:t>21</w:t>
            </w:r>
            <w:r>
              <w:rPr>
                <w:noProof/>
                <w:webHidden/>
              </w:rPr>
              <w:fldChar w:fldCharType="end"/>
            </w:r>
          </w:hyperlink>
        </w:p>
        <w:p w14:paraId="0A300B15" w14:textId="2EEEFED4" w:rsidR="00E23C9C" w:rsidRDefault="00E23C9C">
          <w:pPr>
            <w:pStyle w:val="TOC3"/>
            <w:tabs>
              <w:tab w:val="right" w:leader="dot" w:pos="9350"/>
            </w:tabs>
            <w:rPr>
              <w:rFonts w:eastAsiaTheme="minorEastAsia"/>
              <w:noProof/>
              <w:kern w:val="2"/>
              <w:lang w:val="en-ZA" w:eastAsia="en-GB"/>
              <w14:ligatures w14:val="standardContextual"/>
            </w:rPr>
          </w:pPr>
          <w:hyperlink w:anchor="_Toc227923364" w:history="1">
            <w:r w:rsidRPr="00A44DEF">
              <w:rPr>
                <w:rStyle w:val="Hyperlink"/>
                <w:noProof/>
              </w:rPr>
              <w:t>Year 2 (2027) — Validation</w:t>
            </w:r>
            <w:r>
              <w:rPr>
                <w:noProof/>
                <w:webHidden/>
              </w:rPr>
              <w:tab/>
            </w:r>
            <w:r>
              <w:rPr>
                <w:noProof/>
                <w:webHidden/>
              </w:rPr>
              <w:fldChar w:fldCharType="begin"/>
            </w:r>
            <w:r>
              <w:rPr>
                <w:noProof/>
                <w:webHidden/>
              </w:rPr>
              <w:instrText xml:space="preserve"> PAGEREF _Toc227923364 \h </w:instrText>
            </w:r>
            <w:r>
              <w:rPr>
                <w:noProof/>
                <w:webHidden/>
              </w:rPr>
            </w:r>
            <w:r>
              <w:rPr>
                <w:noProof/>
                <w:webHidden/>
              </w:rPr>
              <w:fldChar w:fldCharType="separate"/>
            </w:r>
            <w:r>
              <w:rPr>
                <w:noProof/>
                <w:webHidden/>
              </w:rPr>
              <w:t>21</w:t>
            </w:r>
            <w:r>
              <w:rPr>
                <w:noProof/>
                <w:webHidden/>
              </w:rPr>
              <w:fldChar w:fldCharType="end"/>
            </w:r>
          </w:hyperlink>
        </w:p>
        <w:p w14:paraId="7025ECEF" w14:textId="6419F8B9" w:rsidR="00E23C9C" w:rsidRDefault="00E23C9C">
          <w:pPr>
            <w:pStyle w:val="TOC3"/>
            <w:tabs>
              <w:tab w:val="right" w:leader="dot" w:pos="9350"/>
            </w:tabs>
            <w:rPr>
              <w:rFonts w:eastAsiaTheme="minorEastAsia"/>
              <w:noProof/>
              <w:kern w:val="2"/>
              <w:lang w:val="en-ZA" w:eastAsia="en-GB"/>
              <w14:ligatures w14:val="standardContextual"/>
            </w:rPr>
          </w:pPr>
          <w:hyperlink w:anchor="_Toc227923365" w:history="1">
            <w:r w:rsidRPr="00A44DEF">
              <w:rPr>
                <w:rStyle w:val="Hyperlink"/>
                <w:noProof/>
              </w:rPr>
              <w:t>Year 3 (2028) — Publication</w:t>
            </w:r>
            <w:r>
              <w:rPr>
                <w:noProof/>
                <w:webHidden/>
              </w:rPr>
              <w:tab/>
            </w:r>
            <w:r>
              <w:rPr>
                <w:noProof/>
                <w:webHidden/>
              </w:rPr>
              <w:fldChar w:fldCharType="begin"/>
            </w:r>
            <w:r>
              <w:rPr>
                <w:noProof/>
                <w:webHidden/>
              </w:rPr>
              <w:instrText xml:space="preserve"> PAGEREF _Toc227923365 \h </w:instrText>
            </w:r>
            <w:r>
              <w:rPr>
                <w:noProof/>
                <w:webHidden/>
              </w:rPr>
            </w:r>
            <w:r>
              <w:rPr>
                <w:noProof/>
                <w:webHidden/>
              </w:rPr>
              <w:fldChar w:fldCharType="separate"/>
            </w:r>
            <w:r>
              <w:rPr>
                <w:noProof/>
                <w:webHidden/>
              </w:rPr>
              <w:t>21</w:t>
            </w:r>
            <w:r>
              <w:rPr>
                <w:noProof/>
                <w:webHidden/>
              </w:rPr>
              <w:fldChar w:fldCharType="end"/>
            </w:r>
          </w:hyperlink>
        </w:p>
        <w:p w14:paraId="79FF7186" w14:textId="4FC2A75C" w:rsidR="00E23C9C" w:rsidRDefault="00E23C9C">
          <w:pPr>
            <w:pStyle w:val="TOC3"/>
            <w:tabs>
              <w:tab w:val="right" w:leader="dot" w:pos="9350"/>
            </w:tabs>
            <w:rPr>
              <w:rFonts w:eastAsiaTheme="minorEastAsia"/>
              <w:noProof/>
              <w:kern w:val="2"/>
              <w:lang w:val="en-ZA" w:eastAsia="en-GB"/>
              <w14:ligatures w14:val="standardContextual"/>
            </w:rPr>
          </w:pPr>
          <w:hyperlink w:anchor="_Toc227923366" w:history="1">
            <w:r w:rsidRPr="00A44DEF">
              <w:rPr>
                <w:rStyle w:val="Hyperlink"/>
                <w:noProof/>
              </w:rPr>
              <w:t>Year 4 (2029) — Consolidation</w:t>
            </w:r>
            <w:r>
              <w:rPr>
                <w:noProof/>
                <w:webHidden/>
              </w:rPr>
              <w:tab/>
            </w:r>
            <w:r>
              <w:rPr>
                <w:noProof/>
                <w:webHidden/>
              </w:rPr>
              <w:fldChar w:fldCharType="begin"/>
            </w:r>
            <w:r>
              <w:rPr>
                <w:noProof/>
                <w:webHidden/>
              </w:rPr>
              <w:instrText xml:space="preserve"> PAGEREF _Toc227923366 \h </w:instrText>
            </w:r>
            <w:r>
              <w:rPr>
                <w:noProof/>
                <w:webHidden/>
              </w:rPr>
            </w:r>
            <w:r>
              <w:rPr>
                <w:noProof/>
                <w:webHidden/>
              </w:rPr>
              <w:fldChar w:fldCharType="separate"/>
            </w:r>
            <w:r>
              <w:rPr>
                <w:noProof/>
                <w:webHidden/>
              </w:rPr>
              <w:t>21</w:t>
            </w:r>
            <w:r>
              <w:rPr>
                <w:noProof/>
                <w:webHidden/>
              </w:rPr>
              <w:fldChar w:fldCharType="end"/>
            </w:r>
          </w:hyperlink>
        </w:p>
        <w:p w14:paraId="57B326AD" w14:textId="586EF6FB" w:rsidR="00E23C9C" w:rsidRDefault="00E23C9C">
          <w:pPr>
            <w:pStyle w:val="TOC3"/>
            <w:tabs>
              <w:tab w:val="right" w:leader="dot" w:pos="9350"/>
            </w:tabs>
            <w:rPr>
              <w:rFonts w:eastAsiaTheme="minorEastAsia"/>
              <w:noProof/>
              <w:kern w:val="2"/>
              <w:lang w:val="en-ZA" w:eastAsia="en-GB"/>
              <w14:ligatures w14:val="standardContextual"/>
            </w:rPr>
          </w:pPr>
          <w:hyperlink w:anchor="_Toc227923367" w:history="1">
            <w:r w:rsidRPr="00A44DEF">
              <w:rPr>
                <w:rStyle w:val="Hyperlink"/>
                <w:noProof/>
              </w:rPr>
              <w:t>Year 5 (2030) — Standing</w:t>
            </w:r>
            <w:r>
              <w:rPr>
                <w:noProof/>
                <w:webHidden/>
              </w:rPr>
              <w:tab/>
            </w:r>
            <w:r>
              <w:rPr>
                <w:noProof/>
                <w:webHidden/>
              </w:rPr>
              <w:fldChar w:fldCharType="begin"/>
            </w:r>
            <w:r>
              <w:rPr>
                <w:noProof/>
                <w:webHidden/>
              </w:rPr>
              <w:instrText xml:space="preserve"> PAGEREF _Toc227923367 \h </w:instrText>
            </w:r>
            <w:r>
              <w:rPr>
                <w:noProof/>
                <w:webHidden/>
              </w:rPr>
            </w:r>
            <w:r>
              <w:rPr>
                <w:noProof/>
                <w:webHidden/>
              </w:rPr>
              <w:fldChar w:fldCharType="separate"/>
            </w:r>
            <w:r>
              <w:rPr>
                <w:noProof/>
                <w:webHidden/>
              </w:rPr>
              <w:t>21</w:t>
            </w:r>
            <w:r>
              <w:rPr>
                <w:noProof/>
                <w:webHidden/>
              </w:rPr>
              <w:fldChar w:fldCharType="end"/>
            </w:r>
          </w:hyperlink>
        </w:p>
        <w:p w14:paraId="0EDFA493" w14:textId="61E37528" w:rsidR="00E23C9C" w:rsidRDefault="00E23C9C">
          <w:pPr>
            <w:pStyle w:val="TOC2"/>
            <w:tabs>
              <w:tab w:val="right" w:leader="dot" w:pos="9350"/>
            </w:tabs>
            <w:rPr>
              <w:rFonts w:eastAsiaTheme="minorEastAsia"/>
              <w:noProof/>
              <w:kern w:val="2"/>
              <w:lang w:val="en-ZA" w:eastAsia="en-GB"/>
              <w14:ligatures w14:val="standardContextual"/>
            </w:rPr>
          </w:pPr>
          <w:hyperlink w:anchor="_Toc227923368" w:history="1">
            <w:r w:rsidRPr="00A44DEF">
              <w:rPr>
                <w:rStyle w:val="Hyperlink"/>
                <w:noProof/>
              </w:rPr>
              <w:t>7. Appendix A — How Comparator Frameworks Earned Their Standing</w:t>
            </w:r>
            <w:r>
              <w:rPr>
                <w:noProof/>
                <w:webHidden/>
              </w:rPr>
              <w:tab/>
            </w:r>
            <w:r>
              <w:rPr>
                <w:noProof/>
                <w:webHidden/>
              </w:rPr>
              <w:fldChar w:fldCharType="begin"/>
            </w:r>
            <w:r>
              <w:rPr>
                <w:noProof/>
                <w:webHidden/>
              </w:rPr>
              <w:instrText xml:space="preserve"> PAGEREF _Toc227923368 \h </w:instrText>
            </w:r>
            <w:r>
              <w:rPr>
                <w:noProof/>
                <w:webHidden/>
              </w:rPr>
            </w:r>
            <w:r>
              <w:rPr>
                <w:noProof/>
                <w:webHidden/>
              </w:rPr>
              <w:fldChar w:fldCharType="separate"/>
            </w:r>
            <w:r>
              <w:rPr>
                <w:noProof/>
                <w:webHidden/>
              </w:rPr>
              <w:t>22</w:t>
            </w:r>
            <w:r>
              <w:rPr>
                <w:noProof/>
                <w:webHidden/>
              </w:rPr>
              <w:fldChar w:fldCharType="end"/>
            </w:r>
          </w:hyperlink>
        </w:p>
        <w:p w14:paraId="34B95A31" w14:textId="52EF8CAE" w:rsidR="00E23C9C" w:rsidRDefault="00E23C9C">
          <w:pPr>
            <w:pStyle w:val="TOC2"/>
            <w:tabs>
              <w:tab w:val="right" w:leader="dot" w:pos="9350"/>
            </w:tabs>
            <w:rPr>
              <w:rFonts w:eastAsiaTheme="minorEastAsia"/>
              <w:noProof/>
              <w:kern w:val="2"/>
              <w:lang w:val="en-ZA" w:eastAsia="en-GB"/>
              <w14:ligatures w14:val="standardContextual"/>
            </w:rPr>
          </w:pPr>
          <w:hyperlink w:anchor="_Toc227923369" w:history="1">
            <w:r w:rsidRPr="00A44DEF">
              <w:rPr>
                <w:rStyle w:val="Hyperlink"/>
                <w:noProof/>
              </w:rPr>
              <w:t>8. Appendix B — Risks to Credibility and How to Pre-empt Them</w:t>
            </w:r>
            <w:r>
              <w:rPr>
                <w:noProof/>
                <w:webHidden/>
              </w:rPr>
              <w:tab/>
            </w:r>
            <w:r>
              <w:rPr>
                <w:noProof/>
                <w:webHidden/>
              </w:rPr>
              <w:fldChar w:fldCharType="begin"/>
            </w:r>
            <w:r>
              <w:rPr>
                <w:noProof/>
                <w:webHidden/>
              </w:rPr>
              <w:instrText xml:space="preserve"> PAGEREF _Toc227923369 \h </w:instrText>
            </w:r>
            <w:r>
              <w:rPr>
                <w:noProof/>
                <w:webHidden/>
              </w:rPr>
            </w:r>
            <w:r>
              <w:rPr>
                <w:noProof/>
                <w:webHidden/>
              </w:rPr>
              <w:fldChar w:fldCharType="separate"/>
            </w:r>
            <w:r>
              <w:rPr>
                <w:noProof/>
                <w:webHidden/>
              </w:rPr>
              <w:t>23</w:t>
            </w:r>
            <w:r>
              <w:rPr>
                <w:noProof/>
                <w:webHidden/>
              </w:rPr>
              <w:fldChar w:fldCharType="end"/>
            </w:r>
          </w:hyperlink>
        </w:p>
        <w:p w14:paraId="45C5EBE2" w14:textId="2D86B5BD" w:rsidR="00E23C9C" w:rsidRDefault="00E23C9C">
          <w:pPr>
            <w:pStyle w:val="TOC2"/>
            <w:tabs>
              <w:tab w:val="right" w:leader="dot" w:pos="9350"/>
            </w:tabs>
            <w:rPr>
              <w:rFonts w:eastAsiaTheme="minorEastAsia"/>
              <w:noProof/>
              <w:kern w:val="2"/>
              <w:lang w:val="en-ZA" w:eastAsia="en-GB"/>
              <w14:ligatures w14:val="standardContextual"/>
            </w:rPr>
          </w:pPr>
          <w:hyperlink w:anchor="_Toc227923370" w:history="1">
            <w:r w:rsidRPr="00A44DEF">
              <w:rPr>
                <w:rStyle w:val="Hyperlink"/>
                <w:noProof/>
              </w:rPr>
              <w:t>9. Appendix C — Developing This Work into a Masters or PhD Thesis in Institutional Design and Governance</w:t>
            </w:r>
            <w:r>
              <w:rPr>
                <w:noProof/>
                <w:webHidden/>
              </w:rPr>
              <w:tab/>
            </w:r>
            <w:r>
              <w:rPr>
                <w:noProof/>
                <w:webHidden/>
              </w:rPr>
              <w:fldChar w:fldCharType="begin"/>
            </w:r>
            <w:r>
              <w:rPr>
                <w:noProof/>
                <w:webHidden/>
              </w:rPr>
              <w:instrText xml:space="preserve"> PAGEREF _Toc227923370 \h </w:instrText>
            </w:r>
            <w:r>
              <w:rPr>
                <w:noProof/>
                <w:webHidden/>
              </w:rPr>
            </w:r>
            <w:r>
              <w:rPr>
                <w:noProof/>
                <w:webHidden/>
              </w:rPr>
              <w:fldChar w:fldCharType="separate"/>
            </w:r>
            <w:r>
              <w:rPr>
                <w:noProof/>
                <w:webHidden/>
              </w:rPr>
              <w:t>23</w:t>
            </w:r>
            <w:r>
              <w:rPr>
                <w:noProof/>
                <w:webHidden/>
              </w:rPr>
              <w:fldChar w:fldCharType="end"/>
            </w:r>
          </w:hyperlink>
        </w:p>
        <w:p w14:paraId="54F70E06" w14:textId="510DEFAC" w:rsidR="00E23C9C" w:rsidRDefault="00E23C9C">
          <w:pPr>
            <w:pStyle w:val="TOC3"/>
            <w:tabs>
              <w:tab w:val="right" w:leader="dot" w:pos="9350"/>
            </w:tabs>
            <w:rPr>
              <w:rFonts w:eastAsiaTheme="minorEastAsia"/>
              <w:noProof/>
              <w:kern w:val="2"/>
              <w:lang w:val="en-ZA" w:eastAsia="en-GB"/>
              <w14:ligatures w14:val="standardContextual"/>
            </w:rPr>
          </w:pPr>
          <w:hyperlink w:anchor="_Toc227923371" w:history="1">
            <w:r w:rsidRPr="00A44DEF">
              <w:rPr>
                <w:rStyle w:val="Hyperlink"/>
                <w:noProof/>
              </w:rPr>
              <w:t>C.1 Fit With the Existing Academic Literature</w:t>
            </w:r>
            <w:r>
              <w:rPr>
                <w:noProof/>
                <w:webHidden/>
              </w:rPr>
              <w:tab/>
            </w:r>
            <w:r>
              <w:rPr>
                <w:noProof/>
                <w:webHidden/>
              </w:rPr>
              <w:fldChar w:fldCharType="begin"/>
            </w:r>
            <w:r>
              <w:rPr>
                <w:noProof/>
                <w:webHidden/>
              </w:rPr>
              <w:instrText xml:space="preserve"> PAGEREF _Toc227923371 \h </w:instrText>
            </w:r>
            <w:r>
              <w:rPr>
                <w:noProof/>
                <w:webHidden/>
              </w:rPr>
            </w:r>
            <w:r>
              <w:rPr>
                <w:noProof/>
                <w:webHidden/>
              </w:rPr>
              <w:fldChar w:fldCharType="separate"/>
            </w:r>
            <w:r>
              <w:rPr>
                <w:noProof/>
                <w:webHidden/>
              </w:rPr>
              <w:t>24</w:t>
            </w:r>
            <w:r>
              <w:rPr>
                <w:noProof/>
                <w:webHidden/>
              </w:rPr>
              <w:fldChar w:fldCharType="end"/>
            </w:r>
          </w:hyperlink>
        </w:p>
        <w:p w14:paraId="24E1DC9D" w14:textId="762D5BD1" w:rsidR="00E23C9C" w:rsidRDefault="00E23C9C">
          <w:pPr>
            <w:pStyle w:val="TOC3"/>
            <w:tabs>
              <w:tab w:val="right" w:leader="dot" w:pos="9350"/>
            </w:tabs>
            <w:rPr>
              <w:rFonts w:eastAsiaTheme="minorEastAsia"/>
              <w:noProof/>
              <w:kern w:val="2"/>
              <w:lang w:val="en-ZA" w:eastAsia="en-GB"/>
              <w14:ligatures w14:val="standardContextual"/>
            </w:rPr>
          </w:pPr>
          <w:hyperlink w:anchor="_Toc227923372" w:history="1">
            <w:r w:rsidRPr="00A44DEF">
              <w:rPr>
                <w:rStyle w:val="Hyperlink"/>
                <w:noProof/>
              </w:rPr>
              <w:t>C.2 Masters Thesis — Three Viable Scopes</w:t>
            </w:r>
            <w:r>
              <w:rPr>
                <w:noProof/>
                <w:webHidden/>
              </w:rPr>
              <w:tab/>
            </w:r>
            <w:r>
              <w:rPr>
                <w:noProof/>
                <w:webHidden/>
              </w:rPr>
              <w:fldChar w:fldCharType="begin"/>
            </w:r>
            <w:r>
              <w:rPr>
                <w:noProof/>
                <w:webHidden/>
              </w:rPr>
              <w:instrText xml:space="preserve"> PAGEREF _Toc227923372 \h </w:instrText>
            </w:r>
            <w:r>
              <w:rPr>
                <w:noProof/>
                <w:webHidden/>
              </w:rPr>
            </w:r>
            <w:r>
              <w:rPr>
                <w:noProof/>
                <w:webHidden/>
              </w:rPr>
              <w:fldChar w:fldCharType="separate"/>
            </w:r>
            <w:r>
              <w:rPr>
                <w:noProof/>
                <w:webHidden/>
              </w:rPr>
              <w:t>24</w:t>
            </w:r>
            <w:r>
              <w:rPr>
                <w:noProof/>
                <w:webHidden/>
              </w:rPr>
              <w:fldChar w:fldCharType="end"/>
            </w:r>
          </w:hyperlink>
        </w:p>
        <w:p w14:paraId="07D9441C" w14:textId="36DE5ADC" w:rsidR="00E23C9C" w:rsidRDefault="00E23C9C">
          <w:pPr>
            <w:pStyle w:val="TOC3"/>
            <w:tabs>
              <w:tab w:val="right" w:leader="dot" w:pos="9350"/>
            </w:tabs>
            <w:rPr>
              <w:rFonts w:eastAsiaTheme="minorEastAsia"/>
              <w:noProof/>
              <w:kern w:val="2"/>
              <w:lang w:val="en-ZA" w:eastAsia="en-GB"/>
              <w14:ligatures w14:val="standardContextual"/>
            </w:rPr>
          </w:pPr>
          <w:hyperlink w:anchor="_Toc227923373" w:history="1">
            <w:r w:rsidRPr="00A44DEF">
              <w:rPr>
                <w:rStyle w:val="Hyperlink"/>
                <w:noProof/>
              </w:rPr>
              <w:t>C.3 PhD Thesis — The Three-Paper Format</w:t>
            </w:r>
            <w:r>
              <w:rPr>
                <w:noProof/>
                <w:webHidden/>
              </w:rPr>
              <w:tab/>
            </w:r>
            <w:r>
              <w:rPr>
                <w:noProof/>
                <w:webHidden/>
              </w:rPr>
              <w:fldChar w:fldCharType="begin"/>
            </w:r>
            <w:r>
              <w:rPr>
                <w:noProof/>
                <w:webHidden/>
              </w:rPr>
              <w:instrText xml:space="preserve"> PAGEREF _Toc227923373 \h </w:instrText>
            </w:r>
            <w:r>
              <w:rPr>
                <w:noProof/>
                <w:webHidden/>
              </w:rPr>
            </w:r>
            <w:r>
              <w:rPr>
                <w:noProof/>
                <w:webHidden/>
              </w:rPr>
              <w:fldChar w:fldCharType="separate"/>
            </w:r>
            <w:r>
              <w:rPr>
                <w:noProof/>
                <w:webHidden/>
              </w:rPr>
              <w:t>25</w:t>
            </w:r>
            <w:r>
              <w:rPr>
                <w:noProof/>
                <w:webHidden/>
              </w:rPr>
              <w:fldChar w:fldCharType="end"/>
            </w:r>
          </w:hyperlink>
        </w:p>
        <w:p w14:paraId="3516AE2E" w14:textId="2A1B0A2E" w:rsidR="00E23C9C" w:rsidRDefault="00E23C9C">
          <w:pPr>
            <w:pStyle w:val="TOC3"/>
            <w:tabs>
              <w:tab w:val="right" w:leader="dot" w:pos="9350"/>
            </w:tabs>
            <w:rPr>
              <w:rFonts w:eastAsiaTheme="minorEastAsia"/>
              <w:noProof/>
              <w:kern w:val="2"/>
              <w:lang w:val="en-ZA" w:eastAsia="en-GB"/>
              <w14:ligatures w14:val="standardContextual"/>
            </w:rPr>
          </w:pPr>
          <w:hyperlink w:anchor="_Toc227923374" w:history="1">
            <w:r w:rsidRPr="00A44DEF">
              <w:rPr>
                <w:rStyle w:val="Hyperlink"/>
                <w:noProof/>
              </w:rPr>
              <w:t>C.4 Candidate Institutions and Supervisors</w:t>
            </w:r>
            <w:r>
              <w:rPr>
                <w:noProof/>
                <w:webHidden/>
              </w:rPr>
              <w:tab/>
            </w:r>
            <w:r>
              <w:rPr>
                <w:noProof/>
                <w:webHidden/>
              </w:rPr>
              <w:fldChar w:fldCharType="begin"/>
            </w:r>
            <w:r>
              <w:rPr>
                <w:noProof/>
                <w:webHidden/>
              </w:rPr>
              <w:instrText xml:space="preserve"> PAGEREF _Toc227923374 \h </w:instrText>
            </w:r>
            <w:r>
              <w:rPr>
                <w:noProof/>
                <w:webHidden/>
              </w:rPr>
            </w:r>
            <w:r>
              <w:rPr>
                <w:noProof/>
                <w:webHidden/>
              </w:rPr>
              <w:fldChar w:fldCharType="separate"/>
            </w:r>
            <w:r>
              <w:rPr>
                <w:noProof/>
                <w:webHidden/>
              </w:rPr>
              <w:t>26</w:t>
            </w:r>
            <w:r>
              <w:rPr>
                <w:noProof/>
                <w:webHidden/>
              </w:rPr>
              <w:fldChar w:fldCharType="end"/>
            </w:r>
          </w:hyperlink>
        </w:p>
        <w:p w14:paraId="4224E38B" w14:textId="567028D3" w:rsidR="00E23C9C" w:rsidRDefault="00E23C9C">
          <w:pPr>
            <w:pStyle w:val="TOC3"/>
            <w:tabs>
              <w:tab w:val="right" w:leader="dot" w:pos="9350"/>
            </w:tabs>
            <w:rPr>
              <w:rFonts w:eastAsiaTheme="minorEastAsia"/>
              <w:noProof/>
              <w:kern w:val="2"/>
              <w:lang w:val="en-ZA" w:eastAsia="en-GB"/>
              <w14:ligatures w14:val="standardContextual"/>
            </w:rPr>
          </w:pPr>
          <w:hyperlink w:anchor="_Toc227923375" w:history="1">
            <w:r w:rsidRPr="00A44DEF">
              <w:rPr>
                <w:rStyle w:val="Hyperlink"/>
                <w:noProof/>
              </w:rPr>
              <w:t>C.5 Methodological Toolkit Required</w:t>
            </w:r>
            <w:r>
              <w:rPr>
                <w:noProof/>
                <w:webHidden/>
              </w:rPr>
              <w:tab/>
            </w:r>
            <w:r>
              <w:rPr>
                <w:noProof/>
                <w:webHidden/>
              </w:rPr>
              <w:fldChar w:fldCharType="begin"/>
            </w:r>
            <w:r>
              <w:rPr>
                <w:noProof/>
                <w:webHidden/>
              </w:rPr>
              <w:instrText xml:space="preserve"> PAGEREF _Toc227923375 \h </w:instrText>
            </w:r>
            <w:r>
              <w:rPr>
                <w:noProof/>
                <w:webHidden/>
              </w:rPr>
            </w:r>
            <w:r>
              <w:rPr>
                <w:noProof/>
                <w:webHidden/>
              </w:rPr>
              <w:fldChar w:fldCharType="separate"/>
            </w:r>
            <w:r>
              <w:rPr>
                <w:noProof/>
                <w:webHidden/>
              </w:rPr>
              <w:t>28</w:t>
            </w:r>
            <w:r>
              <w:rPr>
                <w:noProof/>
                <w:webHidden/>
              </w:rPr>
              <w:fldChar w:fldCharType="end"/>
            </w:r>
          </w:hyperlink>
        </w:p>
        <w:p w14:paraId="1C3A1441" w14:textId="166FA1CE" w:rsidR="00E23C9C" w:rsidRDefault="00E23C9C">
          <w:pPr>
            <w:pStyle w:val="TOC3"/>
            <w:tabs>
              <w:tab w:val="right" w:leader="dot" w:pos="9350"/>
            </w:tabs>
            <w:rPr>
              <w:rFonts w:eastAsiaTheme="minorEastAsia"/>
              <w:noProof/>
              <w:kern w:val="2"/>
              <w:lang w:val="en-ZA" w:eastAsia="en-GB"/>
              <w14:ligatures w14:val="standardContextual"/>
            </w:rPr>
          </w:pPr>
          <w:hyperlink w:anchor="_Toc227923376" w:history="1">
            <w:r w:rsidRPr="00A44DEF">
              <w:rPr>
                <w:rStyle w:val="Hyperlink"/>
                <w:noProof/>
              </w:rPr>
              <w:t>C.6 Funding Pathways</w:t>
            </w:r>
            <w:r>
              <w:rPr>
                <w:noProof/>
                <w:webHidden/>
              </w:rPr>
              <w:tab/>
            </w:r>
            <w:r>
              <w:rPr>
                <w:noProof/>
                <w:webHidden/>
              </w:rPr>
              <w:fldChar w:fldCharType="begin"/>
            </w:r>
            <w:r>
              <w:rPr>
                <w:noProof/>
                <w:webHidden/>
              </w:rPr>
              <w:instrText xml:space="preserve"> PAGEREF _Toc227923376 \h </w:instrText>
            </w:r>
            <w:r>
              <w:rPr>
                <w:noProof/>
                <w:webHidden/>
              </w:rPr>
            </w:r>
            <w:r>
              <w:rPr>
                <w:noProof/>
                <w:webHidden/>
              </w:rPr>
              <w:fldChar w:fldCharType="separate"/>
            </w:r>
            <w:r>
              <w:rPr>
                <w:noProof/>
                <w:webHidden/>
              </w:rPr>
              <w:t>28</w:t>
            </w:r>
            <w:r>
              <w:rPr>
                <w:noProof/>
                <w:webHidden/>
              </w:rPr>
              <w:fldChar w:fldCharType="end"/>
            </w:r>
          </w:hyperlink>
        </w:p>
        <w:p w14:paraId="7B27C366" w14:textId="1799E78F" w:rsidR="00E23C9C" w:rsidRDefault="00E23C9C">
          <w:pPr>
            <w:pStyle w:val="TOC3"/>
            <w:tabs>
              <w:tab w:val="right" w:leader="dot" w:pos="9350"/>
            </w:tabs>
            <w:rPr>
              <w:rFonts w:eastAsiaTheme="minorEastAsia"/>
              <w:noProof/>
              <w:kern w:val="2"/>
              <w:lang w:val="en-ZA" w:eastAsia="en-GB"/>
              <w14:ligatures w14:val="standardContextual"/>
            </w:rPr>
          </w:pPr>
          <w:hyperlink w:anchor="_Toc227923377" w:history="1">
            <w:r w:rsidRPr="00A44DEF">
              <w:rPr>
                <w:rStyle w:val="Hyperlink"/>
                <w:noProof/>
              </w:rPr>
              <w:t>C.7 Timeline: Integrating the Degree With the Credibility Roadmap</w:t>
            </w:r>
            <w:r>
              <w:rPr>
                <w:noProof/>
                <w:webHidden/>
              </w:rPr>
              <w:tab/>
            </w:r>
            <w:r>
              <w:rPr>
                <w:noProof/>
                <w:webHidden/>
              </w:rPr>
              <w:fldChar w:fldCharType="begin"/>
            </w:r>
            <w:r>
              <w:rPr>
                <w:noProof/>
                <w:webHidden/>
              </w:rPr>
              <w:instrText xml:space="preserve"> PAGEREF _Toc227923377 \h </w:instrText>
            </w:r>
            <w:r>
              <w:rPr>
                <w:noProof/>
                <w:webHidden/>
              </w:rPr>
            </w:r>
            <w:r>
              <w:rPr>
                <w:noProof/>
                <w:webHidden/>
              </w:rPr>
              <w:fldChar w:fldCharType="separate"/>
            </w:r>
            <w:r>
              <w:rPr>
                <w:noProof/>
                <w:webHidden/>
              </w:rPr>
              <w:t>29</w:t>
            </w:r>
            <w:r>
              <w:rPr>
                <w:noProof/>
                <w:webHidden/>
              </w:rPr>
              <w:fldChar w:fldCharType="end"/>
            </w:r>
          </w:hyperlink>
        </w:p>
        <w:p w14:paraId="3F800C54" w14:textId="06C4EF0B" w:rsidR="00E23C9C" w:rsidRDefault="00E23C9C">
          <w:pPr>
            <w:pStyle w:val="TOC3"/>
            <w:tabs>
              <w:tab w:val="right" w:leader="dot" w:pos="9350"/>
            </w:tabs>
            <w:rPr>
              <w:rFonts w:eastAsiaTheme="minorEastAsia"/>
              <w:noProof/>
              <w:kern w:val="2"/>
              <w:lang w:val="en-ZA" w:eastAsia="en-GB"/>
              <w14:ligatures w14:val="standardContextual"/>
            </w:rPr>
          </w:pPr>
          <w:hyperlink w:anchor="_Toc227923378" w:history="1">
            <w:r w:rsidRPr="00A44DEF">
              <w:rPr>
                <w:rStyle w:val="Hyperlink"/>
                <w:noProof/>
              </w:rPr>
              <w:t>C.8 Risks Specific to the Thesis Route</w:t>
            </w:r>
            <w:r>
              <w:rPr>
                <w:noProof/>
                <w:webHidden/>
              </w:rPr>
              <w:tab/>
            </w:r>
            <w:r>
              <w:rPr>
                <w:noProof/>
                <w:webHidden/>
              </w:rPr>
              <w:fldChar w:fldCharType="begin"/>
            </w:r>
            <w:r>
              <w:rPr>
                <w:noProof/>
                <w:webHidden/>
              </w:rPr>
              <w:instrText xml:space="preserve"> PAGEREF _Toc227923378 \h </w:instrText>
            </w:r>
            <w:r>
              <w:rPr>
                <w:noProof/>
                <w:webHidden/>
              </w:rPr>
            </w:r>
            <w:r>
              <w:rPr>
                <w:noProof/>
                <w:webHidden/>
              </w:rPr>
              <w:fldChar w:fldCharType="separate"/>
            </w:r>
            <w:r>
              <w:rPr>
                <w:noProof/>
                <w:webHidden/>
              </w:rPr>
              <w:t>29</w:t>
            </w:r>
            <w:r>
              <w:rPr>
                <w:noProof/>
                <w:webHidden/>
              </w:rPr>
              <w:fldChar w:fldCharType="end"/>
            </w:r>
          </w:hyperlink>
        </w:p>
        <w:p w14:paraId="2E65B820" w14:textId="15421F48" w:rsidR="00E23C9C" w:rsidRDefault="00E23C9C">
          <w:pPr>
            <w:pStyle w:val="TOC3"/>
            <w:tabs>
              <w:tab w:val="right" w:leader="dot" w:pos="9350"/>
            </w:tabs>
            <w:rPr>
              <w:rFonts w:eastAsiaTheme="minorEastAsia"/>
              <w:noProof/>
              <w:kern w:val="2"/>
              <w:lang w:val="en-ZA" w:eastAsia="en-GB"/>
              <w14:ligatures w14:val="standardContextual"/>
            </w:rPr>
          </w:pPr>
          <w:hyperlink w:anchor="_Toc227923379" w:history="1">
            <w:r w:rsidRPr="00A44DEF">
              <w:rPr>
                <w:rStyle w:val="Hyperlink"/>
                <w:noProof/>
              </w:rPr>
              <w:t>C.9 Why This Path Is Worth Considering Seriously</w:t>
            </w:r>
            <w:r>
              <w:rPr>
                <w:noProof/>
                <w:webHidden/>
              </w:rPr>
              <w:tab/>
            </w:r>
            <w:r>
              <w:rPr>
                <w:noProof/>
                <w:webHidden/>
              </w:rPr>
              <w:fldChar w:fldCharType="begin"/>
            </w:r>
            <w:r>
              <w:rPr>
                <w:noProof/>
                <w:webHidden/>
              </w:rPr>
              <w:instrText xml:space="preserve"> PAGEREF _Toc227923379 \h </w:instrText>
            </w:r>
            <w:r>
              <w:rPr>
                <w:noProof/>
                <w:webHidden/>
              </w:rPr>
            </w:r>
            <w:r>
              <w:rPr>
                <w:noProof/>
                <w:webHidden/>
              </w:rPr>
              <w:fldChar w:fldCharType="separate"/>
            </w:r>
            <w:r>
              <w:rPr>
                <w:noProof/>
                <w:webHidden/>
              </w:rPr>
              <w:t>30</w:t>
            </w:r>
            <w:r>
              <w:rPr>
                <w:noProof/>
                <w:webHidden/>
              </w:rPr>
              <w:fldChar w:fldCharType="end"/>
            </w:r>
          </w:hyperlink>
        </w:p>
        <w:p w14:paraId="0F5573A7" w14:textId="11F4B96F" w:rsidR="00E23C9C" w:rsidRDefault="00E23C9C">
          <w:pPr>
            <w:pStyle w:val="TOC2"/>
            <w:tabs>
              <w:tab w:val="right" w:leader="dot" w:pos="9350"/>
            </w:tabs>
            <w:rPr>
              <w:rFonts w:eastAsiaTheme="minorEastAsia"/>
              <w:noProof/>
              <w:kern w:val="2"/>
              <w:lang w:val="en-ZA" w:eastAsia="en-GB"/>
              <w14:ligatures w14:val="standardContextual"/>
            </w:rPr>
          </w:pPr>
          <w:hyperlink w:anchor="_Toc227923380" w:history="1">
            <w:r w:rsidRPr="00A44DEF">
              <w:rPr>
                <w:rStyle w:val="Hyperlink"/>
                <w:noProof/>
              </w:rPr>
              <w:t>Closing Note</w:t>
            </w:r>
            <w:r>
              <w:rPr>
                <w:noProof/>
                <w:webHidden/>
              </w:rPr>
              <w:tab/>
            </w:r>
            <w:r>
              <w:rPr>
                <w:noProof/>
                <w:webHidden/>
              </w:rPr>
              <w:fldChar w:fldCharType="begin"/>
            </w:r>
            <w:r>
              <w:rPr>
                <w:noProof/>
                <w:webHidden/>
              </w:rPr>
              <w:instrText xml:space="preserve"> PAGEREF _Toc227923380 \h </w:instrText>
            </w:r>
            <w:r>
              <w:rPr>
                <w:noProof/>
                <w:webHidden/>
              </w:rPr>
            </w:r>
            <w:r>
              <w:rPr>
                <w:noProof/>
                <w:webHidden/>
              </w:rPr>
              <w:fldChar w:fldCharType="separate"/>
            </w:r>
            <w:r>
              <w:rPr>
                <w:noProof/>
                <w:webHidden/>
              </w:rPr>
              <w:t>31</w:t>
            </w:r>
            <w:r>
              <w:rPr>
                <w:noProof/>
                <w:webHidden/>
              </w:rPr>
              <w:fldChar w:fldCharType="end"/>
            </w:r>
          </w:hyperlink>
        </w:p>
        <w:p w14:paraId="5C4280D8" w14:textId="1AAD5D59" w:rsidR="00E23C9C" w:rsidRDefault="00E23C9C">
          <w:pPr>
            <w:pStyle w:val="TOC2"/>
            <w:tabs>
              <w:tab w:val="right" w:leader="dot" w:pos="9350"/>
            </w:tabs>
            <w:rPr>
              <w:rFonts w:eastAsiaTheme="minorEastAsia"/>
              <w:noProof/>
              <w:kern w:val="2"/>
              <w:lang w:val="en-ZA" w:eastAsia="en-GB"/>
              <w14:ligatures w14:val="standardContextual"/>
            </w:rPr>
          </w:pPr>
          <w:hyperlink w:anchor="_Toc227923381" w:history="1">
            <w:r w:rsidRPr="00A44DEF">
              <w:rPr>
                <w:rStyle w:val="Hyperlink"/>
                <w:noProof/>
              </w:rPr>
              <w:t>Document History</w:t>
            </w:r>
            <w:r>
              <w:rPr>
                <w:noProof/>
                <w:webHidden/>
              </w:rPr>
              <w:tab/>
            </w:r>
            <w:r>
              <w:rPr>
                <w:noProof/>
                <w:webHidden/>
              </w:rPr>
              <w:fldChar w:fldCharType="begin"/>
            </w:r>
            <w:r>
              <w:rPr>
                <w:noProof/>
                <w:webHidden/>
              </w:rPr>
              <w:instrText xml:space="preserve"> PAGEREF _Toc227923381 \h </w:instrText>
            </w:r>
            <w:r>
              <w:rPr>
                <w:noProof/>
                <w:webHidden/>
              </w:rPr>
            </w:r>
            <w:r>
              <w:rPr>
                <w:noProof/>
                <w:webHidden/>
              </w:rPr>
              <w:fldChar w:fldCharType="separate"/>
            </w:r>
            <w:r>
              <w:rPr>
                <w:noProof/>
                <w:webHidden/>
              </w:rPr>
              <w:t>31</w:t>
            </w:r>
            <w:r>
              <w:rPr>
                <w:noProof/>
                <w:webHidden/>
              </w:rPr>
              <w:fldChar w:fldCharType="end"/>
            </w:r>
          </w:hyperlink>
        </w:p>
        <w:p w14:paraId="302B73E6" w14:textId="7E55BAA1" w:rsidR="00485B06" w:rsidRDefault="00000000">
          <w:r>
            <w:fldChar w:fldCharType="end"/>
          </w:r>
        </w:p>
      </w:sdtContent>
    </w:sdt>
    <w:p w14:paraId="16A7BE91" w14:textId="77777777" w:rsidR="00FA6D1C" w:rsidRDefault="00FA6D1C">
      <w:pPr>
        <w:rPr>
          <w:rFonts w:asciiTheme="majorHAnsi" w:eastAsiaTheme="majorEastAsia" w:hAnsiTheme="majorHAnsi" w:cstheme="majorBidi"/>
          <w:b/>
          <w:bCs/>
          <w:color w:val="4F81BD" w:themeColor="accent1"/>
          <w:sz w:val="32"/>
          <w:szCs w:val="32"/>
        </w:rPr>
      </w:pPr>
      <w:bookmarkStart w:id="0" w:name="X796a1de2ec535b0c5d16f61cfbacc7ff61c7ea7"/>
      <w:r>
        <w:br w:type="page"/>
      </w:r>
    </w:p>
    <w:p w14:paraId="0E0A1759" w14:textId="74BD20FF" w:rsidR="00485B06" w:rsidRDefault="00000000">
      <w:pPr>
        <w:pStyle w:val="Heading1"/>
      </w:pPr>
      <w:bookmarkStart w:id="1" w:name="_Toc227923329"/>
      <w:r>
        <w:lastRenderedPageBreak/>
        <w:t>Creating Credibility for the RAARICLE™ Framework with Academia and Multilateral Organisations</w:t>
      </w:r>
      <w:bookmarkEnd w:id="1"/>
    </w:p>
    <w:p w14:paraId="342E6E2D" w14:textId="77777777" w:rsidR="00485B06" w:rsidRDefault="00000000">
      <w:pPr>
        <w:pStyle w:val="Heading2"/>
      </w:pPr>
      <w:bookmarkStart w:id="2" w:name="Xfd083520d2f1a9c7e74a3a5e00255ea5dbe00cf"/>
      <w:bookmarkStart w:id="3" w:name="_Toc227923330"/>
      <w:r>
        <w:t>A Strategy Paper on Standing, Standards and Cross-Jurisdictional Application</w:t>
      </w:r>
      <w:bookmarkEnd w:id="3"/>
    </w:p>
    <w:p w14:paraId="74457AB4" w14:textId="77777777" w:rsidR="00485B06" w:rsidRDefault="009A4A2B">
      <w:r>
        <w:rPr>
          <w:noProof/>
        </w:rPr>
        <w:pict w14:anchorId="4DC6F104">
          <v:rect id="_x0000_i1037" alt="" style="width:451.3pt;height:.05pt;mso-width-percent:0;mso-height-percent:0;mso-width-percent:0;mso-height-percent:0" o:hralign="center" o:hrstd="t" o:hr="t"/>
        </w:pict>
      </w:r>
    </w:p>
    <w:tbl>
      <w:tblPr>
        <w:tblStyle w:val="Table"/>
        <w:tblW w:w="5000" w:type="pct"/>
        <w:tblLook w:val="0020" w:firstRow="1" w:lastRow="0" w:firstColumn="0" w:lastColumn="0" w:noHBand="0" w:noVBand="0"/>
      </w:tblPr>
      <w:tblGrid>
        <w:gridCol w:w="1682"/>
        <w:gridCol w:w="7894"/>
      </w:tblGrid>
      <w:tr w:rsidR="00485B06" w14:paraId="0AAD0DD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8813ABC" w14:textId="77777777" w:rsidR="00485B06" w:rsidRDefault="00000000">
            <w:pPr>
              <w:pStyle w:val="Compact"/>
            </w:pPr>
            <w:r>
              <w:t>Field</w:t>
            </w:r>
          </w:p>
        </w:tc>
        <w:tc>
          <w:tcPr>
            <w:tcW w:w="0" w:type="auto"/>
          </w:tcPr>
          <w:p w14:paraId="00B714FE" w14:textId="77777777" w:rsidR="00485B06" w:rsidRDefault="00000000">
            <w:pPr>
              <w:pStyle w:val="Compact"/>
            </w:pPr>
            <w:r>
              <w:t>Detail</w:t>
            </w:r>
          </w:p>
        </w:tc>
      </w:tr>
      <w:tr w:rsidR="00485B06" w14:paraId="29BAFEED" w14:textId="77777777">
        <w:tc>
          <w:tcPr>
            <w:tcW w:w="0" w:type="auto"/>
          </w:tcPr>
          <w:p w14:paraId="2BF7F7F3" w14:textId="77777777" w:rsidR="00485B06" w:rsidRDefault="00000000">
            <w:pPr>
              <w:pStyle w:val="Compact"/>
            </w:pPr>
            <w:r>
              <w:rPr>
                <w:b/>
                <w:bCs/>
              </w:rPr>
              <w:t>Document Owner</w:t>
            </w:r>
          </w:p>
        </w:tc>
        <w:tc>
          <w:tcPr>
            <w:tcW w:w="0" w:type="auto"/>
          </w:tcPr>
          <w:p w14:paraId="62EFEF44" w14:textId="77777777" w:rsidR="00485B06" w:rsidRDefault="00000000">
            <w:pPr>
              <w:pStyle w:val="Compact"/>
            </w:pPr>
            <w:r>
              <w:t>Tshepo Machele</w:t>
            </w:r>
          </w:p>
        </w:tc>
      </w:tr>
      <w:tr w:rsidR="00485B06" w14:paraId="75E9EE97" w14:textId="77777777">
        <w:tc>
          <w:tcPr>
            <w:tcW w:w="0" w:type="auto"/>
          </w:tcPr>
          <w:p w14:paraId="05D28598" w14:textId="77777777" w:rsidR="00485B06" w:rsidRDefault="00000000">
            <w:pPr>
              <w:pStyle w:val="Compact"/>
            </w:pPr>
            <w:r>
              <w:rPr>
                <w:b/>
                <w:bCs/>
              </w:rPr>
              <w:t>Version</w:t>
            </w:r>
          </w:p>
        </w:tc>
        <w:tc>
          <w:tcPr>
            <w:tcW w:w="0" w:type="auto"/>
          </w:tcPr>
          <w:p w14:paraId="785BD43C" w14:textId="77777777" w:rsidR="00485B06" w:rsidRDefault="00000000">
            <w:pPr>
              <w:pStyle w:val="Compact"/>
            </w:pPr>
            <w:r>
              <w:t>0.1</w:t>
            </w:r>
          </w:p>
        </w:tc>
      </w:tr>
      <w:tr w:rsidR="00485B06" w14:paraId="451D00F4" w14:textId="77777777">
        <w:tc>
          <w:tcPr>
            <w:tcW w:w="0" w:type="auto"/>
          </w:tcPr>
          <w:p w14:paraId="2A730D2B" w14:textId="77777777" w:rsidR="00485B06" w:rsidRDefault="00000000">
            <w:pPr>
              <w:pStyle w:val="Compact"/>
            </w:pPr>
            <w:r>
              <w:rPr>
                <w:b/>
                <w:bCs/>
              </w:rPr>
              <w:t>Created Date</w:t>
            </w:r>
          </w:p>
        </w:tc>
        <w:tc>
          <w:tcPr>
            <w:tcW w:w="0" w:type="auto"/>
          </w:tcPr>
          <w:p w14:paraId="1ACCFD45" w14:textId="77777777" w:rsidR="00485B06" w:rsidRDefault="00000000">
            <w:pPr>
              <w:pStyle w:val="Compact"/>
            </w:pPr>
            <w:r>
              <w:t>2026-04-23</w:t>
            </w:r>
          </w:p>
        </w:tc>
      </w:tr>
      <w:tr w:rsidR="00485B06" w14:paraId="5BEFA99C" w14:textId="77777777">
        <w:tc>
          <w:tcPr>
            <w:tcW w:w="0" w:type="auto"/>
          </w:tcPr>
          <w:p w14:paraId="04BA7606" w14:textId="77777777" w:rsidR="00485B06" w:rsidRDefault="00000000">
            <w:pPr>
              <w:pStyle w:val="Compact"/>
            </w:pPr>
            <w:r>
              <w:rPr>
                <w:b/>
                <w:bCs/>
              </w:rPr>
              <w:t>Status</w:t>
            </w:r>
          </w:p>
        </w:tc>
        <w:tc>
          <w:tcPr>
            <w:tcW w:w="0" w:type="auto"/>
          </w:tcPr>
          <w:p w14:paraId="004E6E72" w14:textId="77777777" w:rsidR="00485B06" w:rsidRDefault="00000000">
            <w:pPr>
              <w:pStyle w:val="Compact"/>
            </w:pPr>
            <w:r>
              <w:t>Draft for internal review</w:t>
            </w:r>
          </w:p>
        </w:tc>
      </w:tr>
      <w:tr w:rsidR="00485B06" w14:paraId="4E6903A3" w14:textId="77777777">
        <w:tc>
          <w:tcPr>
            <w:tcW w:w="0" w:type="auto"/>
          </w:tcPr>
          <w:p w14:paraId="144AA73C" w14:textId="77777777" w:rsidR="00485B06" w:rsidRDefault="00000000">
            <w:pPr>
              <w:pStyle w:val="Compact"/>
            </w:pPr>
            <w:r>
              <w:rPr>
                <w:b/>
                <w:bCs/>
              </w:rPr>
              <w:t>Companion Documents</w:t>
            </w:r>
          </w:p>
        </w:tc>
        <w:tc>
          <w:tcPr>
            <w:tcW w:w="0" w:type="auto"/>
          </w:tcPr>
          <w:p w14:paraId="0EFE5755" w14:textId="77777777" w:rsidR="00485B06" w:rsidRDefault="00000000">
            <w:pPr>
              <w:pStyle w:val="Compact"/>
            </w:pPr>
            <w:r>
              <w:rPr>
                <w:rStyle w:val="VerbatimChar"/>
              </w:rPr>
              <w:t>MRD_RAARICLE_Product.md</w:t>
            </w:r>
            <w:r>
              <w:t xml:space="preserve">; </w:t>
            </w:r>
            <w:r>
              <w:rPr>
                <w:rStyle w:val="VerbatimChar"/>
              </w:rPr>
              <w:t>RAARICLE_ANALYSIS_INSTRUCTIONS.md</w:t>
            </w:r>
          </w:p>
        </w:tc>
      </w:tr>
      <w:tr w:rsidR="00485B06" w14:paraId="3B66477E" w14:textId="77777777">
        <w:tc>
          <w:tcPr>
            <w:tcW w:w="0" w:type="auto"/>
          </w:tcPr>
          <w:p w14:paraId="2DBD610D" w14:textId="77777777" w:rsidR="00485B06" w:rsidRDefault="00000000">
            <w:pPr>
              <w:pStyle w:val="Compact"/>
            </w:pPr>
            <w:r>
              <w:rPr>
                <w:b/>
                <w:bCs/>
              </w:rPr>
              <w:t>Purpose</w:t>
            </w:r>
          </w:p>
        </w:tc>
        <w:tc>
          <w:tcPr>
            <w:tcW w:w="0" w:type="auto"/>
          </w:tcPr>
          <w:p w14:paraId="55410B95" w14:textId="77777777" w:rsidR="00485B06" w:rsidRDefault="00000000">
            <w:pPr>
              <w:pStyle w:val="Compact"/>
            </w:pPr>
            <w:r>
              <w:t>Define what is required to establish the RAARICLE™ framework as academically respected and practitioner-adopted, specify best-practice diagnostic conduct, and prepare the framework for use beyond South Africa (with United States states as the illustrative test case).</w:t>
            </w:r>
          </w:p>
        </w:tc>
      </w:tr>
    </w:tbl>
    <w:p w14:paraId="5DD189FC" w14:textId="77777777" w:rsidR="00485B06" w:rsidRDefault="009A4A2B">
      <w:r>
        <w:rPr>
          <w:noProof/>
        </w:rPr>
        <w:pict w14:anchorId="54E94D52">
          <v:rect id="_x0000_i1036" alt="" style="width:451.3pt;height:.05pt;mso-width-percent:0;mso-height-percent:0;mso-width-percent:0;mso-height-percent:0" o:hralign="center" o:hrstd="t" o:hr="t"/>
        </w:pict>
      </w:r>
    </w:p>
    <w:p w14:paraId="4AA760E3" w14:textId="77777777" w:rsidR="00485B06" w:rsidRDefault="00000000">
      <w:pPr>
        <w:pStyle w:val="Heading2"/>
      </w:pPr>
      <w:bookmarkStart w:id="4" w:name="table-of-contents"/>
      <w:bookmarkStart w:id="5" w:name="_Toc227923331"/>
      <w:bookmarkEnd w:id="2"/>
      <w:r>
        <w:t>Table of Contents</w:t>
      </w:r>
      <w:bookmarkEnd w:id="5"/>
    </w:p>
    <w:p w14:paraId="123CC43A" w14:textId="77777777" w:rsidR="00485B06" w:rsidRDefault="00000000">
      <w:pPr>
        <w:pStyle w:val="Compact"/>
        <w:numPr>
          <w:ilvl w:val="0"/>
          <w:numId w:val="2"/>
        </w:numPr>
      </w:pPr>
      <w:r>
        <w:t>Executive Summary</w:t>
      </w:r>
    </w:p>
    <w:p w14:paraId="40409DCB" w14:textId="77777777" w:rsidR="00485B06" w:rsidRDefault="00000000">
      <w:pPr>
        <w:pStyle w:val="Compact"/>
        <w:numPr>
          <w:ilvl w:val="0"/>
          <w:numId w:val="2"/>
        </w:numPr>
      </w:pPr>
      <w:r>
        <w:t>Diagnostic of the Current Credibility Gap</w:t>
      </w:r>
    </w:p>
    <w:p w14:paraId="09F23B7B" w14:textId="77777777" w:rsidR="00485B06" w:rsidRDefault="00000000">
      <w:pPr>
        <w:pStyle w:val="Compact"/>
        <w:numPr>
          <w:ilvl w:val="0"/>
          <w:numId w:val="2"/>
        </w:numPr>
      </w:pPr>
      <w:r>
        <w:t>Part I — What Must Be in Place (MECE) 3.1 Pillar A: Theoretical Foundation 3.2 Pillar B: Measurement Infrastructure 3.3 Pillar C: Evidence Infrastructure 3.4 Pillar D: Validation Architecture 3.5 Pillar E: Institutional Provenance and Stewardship</w:t>
      </w:r>
    </w:p>
    <w:p w14:paraId="2CE0A325" w14:textId="77777777" w:rsidR="00485B06" w:rsidRDefault="00000000">
      <w:pPr>
        <w:pStyle w:val="Compact"/>
        <w:numPr>
          <w:ilvl w:val="0"/>
          <w:numId w:val="2"/>
        </w:numPr>
      </w:pPr>
      <w:r>
        <w:t>Part II — Best-Practice Conduct of a RAARICLE™ Diagnosis</w:t>
      </w:r>
    </w:p>
    <w:p w14:paraId="40DF8487" w14:textId="77777777" w:rsidR="00485B06" w:rsidRDefault="00000000">
      <w:pPr>
        <w:pStyle w:val="Compact"/>
        <w:numPr>
          <w:ilvl w:val="0"/>
          <w:numId w:val="2"/>
        </w:numPr>
      </w:pPr>
      <w:r>
        <w:t>Part III — Adapting RAARICLE™ Beyond South Africa: the United States States Case</w:t>
      </w:r>
    </w:p>
    <w:p w14:paraId="59EC10D3" w14:textId="77777777" w:rsidR="00485B06" w:rsidRDefault="00000000">
      <w:pPr>
        <w:pStyle w:val="Compact"/>
        <w:numPr>
          <w:ilvl w:val="0"/>
          <w:numId w:val="2"/>
        </w:numPr>
      </w:pPr>
      <w:r>
        <w:t>Part IV — Sequenced Roadmap to Credibility (2026–2030)</w:t>
      </w:r>
    </w:p>
    <w:p w14:paraId="504E4A10" w14:textId="77777777" w:rsidR="00485B06" w:rsidRDefault="00000000">
      <w:pPr>
        <w:pStyle w:val="Compact"/>
        <w:numPr>
          <w:ilvl w:val="0"/>
          <w:numId w:val="2"/>
        </w:numPr>
      </w:pPr>
      <w:r>
        <w:t>Appendix A: How Comparator Frameworks Earned Their Standing</w:t>
      </w:r>
    </w:p>
    <w:p w14:paraId="667C38BA" w14:textId="77777777" w:rsidR="00485B06" w:rsidRDefault="00000000">
      <w:pPr>
        <w:pStyle w:val="Compact"/>
        <w:numPr>
          <w:ilvl w:val="0"/>
          <w:numId w:val="2"/>
        </w:numPr>
      </w:pPr>
      <w:r>
        <w:t>Appendix B: Risks to Credibility and How to Pre-empt Them</w:t>
      </w:r>
    </w:p>
    <w:p w14:paraId="46992D82" w14:textId="77777777" w:rsidR="00485B06" w:rsidRDefault="00000000">
      <w:pPr>
        <w:pStyle w:val="Compact"/>
        <w:numPr>
          <w:ilvl w:val="0"/>
          <w:numId w:val="2"/>
        </w:numPr>
      </w:pPr>
      <w:r>
        <w:t>Appendix C: Developing This Work into a Masters or PhD Thesis in Institutional Design and Governance</w:t>
      </w:r>
    </w:p>
    <w:p w14:paraId="7586D1FA" w14:textId="77777777" w:rsidR="00FA6D1C" w:rsidRDefault="00FA6D1C">
      <w:r>
        <w:br w:type="page"/>
      </w:r>
    </w:p>
    <w:p w14:paraId="7D73AA51" w14:textId="3C4671C1" w:rsidR="00485B06" w:rsidRDefault="009A4A2B">
      <w:r>
        <w:rPr>
          <w:noProof/>
        </w:rPr>
        <w:lastRenderedPageBreak/>
        <w:pict w14:anchorId="28962C3B">
          <v:rect id="_x0000_i1035" alt="" style="width:451.3pt;height:.05pt;mso-width-percent:0;mso-height-percent:0;mso-width-percent:0;mso-height-percent:0" o:hralign="center" o:hrstd="t" o:hr="t"/>
        </w:pict>
      </w:r>
    </w:p>
    <w:p w14:paraId="5959DA50" w14:textId="77777777" w:rsidR="00485B06" w:rsidRDefault="00000000">
      <w:pPr>
        <w:pStyle w:val="Heading2"/>
      </w:pPr>
      <w:bookmarkStart w:id="6" w:name="executive-summary"/>
      <w:bookmarkStart w:id="7" w:name="_Toc227923332"/>
      <w:bookmarkEnd w:id="4"/>
      <w:r>
        <w:t>1. Executive Summary</w:t>
      </w:r>
      <w:bookmarkEnd w:id="7"/>
    </w:p>
    <w:p w14:paraId="671916B0" w14:textId="77777777" w:rsidR="00485B06" w:rsidRDefault="00000000">
      <w:pPr>
        <w:pStyle w:val="FirstParagraph"/>
      </w:pPr>
      <w:r>
        <w:t xml:space="preserve">The RAARICLE™ framework has strong intellectual architecture: eight mutually exclusive, collectively exhaustive (MECE) elements; a co-location thesis that distinguishes design from outcomes; five failure patterns that move analysis from blame to structure; and an anti-capture design across five vectors. Its weakness is not conceptual — it is </w:t>
      </w:r>
      <w:r>
        <w:rPr>
          <w:b/>
          <w:bCs/>
        </w:rPr>
        <w:t>institutional</w:t>
      </w:r>
      <w:r>
        <w:t>. The framework currently lives on a blog and in working documents. To be taken seriously by academia (Governance, Public Administration Review, African Affairs, Journal of Development Studies, the World Bank research community, IMF Fiscal Affairs Department, OECD Public Governance Directorate) and by multilateral practitioners (UNDP, World Bank GovTech, AfDB Governance Global Practice, IMF Capacity Development, GIZ, USAID, DFID/FCDO, Commonwealth Secretariat), five things must be true simultaneously.</w:t>
      </w:r>
    </w:p>
    <w:p w14:paraId="48883FCB" w14:textId="77777777" w:rsidR="00485B06" w:rsidRDefault="00000000">
      <w:pPr>
        <w:pStyle w:val="BodyText"/>
      </w:pPr>
      <w:r>
        <w:t xml:space="preserve">First, the </w:t>
      </w:r>
      <w:r>
        <w:rPr>
          <w:b/>
          <w:bCs/>
        </w:rPr>
        <w:t>theoretical claim must be defended in the open literature</w:t>
      </w:r>
      <w:r>
        <w:t xml:space="preserve"> — the MECE property and the co-location thesis must be published, contested, and refined in peer-reviewed venues. Second, the </w:t>
      </w:r>
      <w:r>
        <w:rPr>
          <w:b/>
          <w:bCs/>
        </w:rPr>
        <w:t>measurement infrastructure must be reproducible</w:t>
      </w:r>
      <w:r>
        <w:t xml:space="preserve"> — an indicator library, a scoring algorithm, a codebook, and an inter-rater reliability protocol must be public and auditable. Third, the </w:t>
      </w:r>
      <w:r>
        <w:rPr>
          <w:b/>
          <w:bCs/>
        </w:rPr>
        <w:t>evidence infrastructure must be documented</w:t>
      </w:r>
      <w:r>
        <w:t xml:space="preserve"> — a versioned indicator library, a citation chain for every score, and an open replication dataset are the minimum price of admission. Fourth, the </w:t>
      </w:r>
      <w:r>
        <w:rPr>
          <w:b/>
          <w:bCs/>
        </w:rPr>
        <w:t>validation architecture must cover four distinct tests</w:t>
      </w:r>
      <w:r>
        <w:t xml:space="preserve"> — internal coherence, inter-rater reliability, predictive validity, and practitioner utility — with pre-registered protocols and transparent reporting. Fifth, the </w:t>
      </w:r>
      <w:r>
        <w:rPr>
          <w:b/>
          <w:bCs/>
        </w:rPr>
        <w:t>institutional home must have standing</w:t>
      </w:r>
      <w:r>
        <w:t xml:space="preserve"> — an academic affiliation, an ethics review process, a governance board, and a clear intellectual property regime. Absent any one of these, the framework will be treated as advocacy, not evidence.</w:t>
      </w:r>
    </w:p>
    <w:p w14:paraId="2E043121" w14:textId="77777777" w:rsidR="00485B06" w:rsidRDefault="00000000">
      <w:pPr>
        <w:pStyle w:val="BodyText"/>
      </w:pPr>
      <w:r>
        <w:t>On conduct: a world-class RAARICLE™ diagnosis follows a ten-phase protocol — commissioning, scoping, institutional mapping, evidence collection, dual-analyst blind scoring, adjudication, root-cause classification, internal quality review, stakeholder validation, and longitudinal tracking — with mandatory conflict-of-interest disclosure and publication of the methods appendix alongside every diagnostic report.</w:t>
      </w:r>
    </w:p>
    <w:p w14:paraId="71DD856B" w14:textId="77777777" w:rsidR="00485B06" w:rsidRDefault="00000000">
      <w:pPr>
        <w:pStyle w:val="BodyText"/>
      </w:pPr>
      <w:r>
        <w:t xml:space="preserve">On international application: the framework’s eight elements are </w:t>
      </w:r>
      <w:r>
        <w:rPr>
          <w:b/>
          <w:bCs/>
        </w:rPr>
        <w:t>universal design requirements</w:t>
      </w:r>
      <w:r>
        <w:t xml:space="preserve"> for any public function in any constitutional system; what changes across jurisdictions is the </w:t>
      </w:r>
      <w:r>
        <w:rPr>
          <w:b/>
          <w:bCs/>
        </w:rPr>
        <w:t>indicator translation layer</w:t>
      </w:r>
      <w:r>
        <w:t xml:space="preserve"> (the specific legal, fiscal and administrative tests that operationalise each element) and the </w:t>
      </w:r>
      <w:r>
        <w:rPr>
          <w:b/>
          <w:bCs/>
        </w:rPr>
        <w:t>data infrastructure</w:t>
      </w:r>
      <w:r>
        <w:t xml:space="preserve"> (which public sources provide the evidence). Applied to United States states — a federal system with Dillon’s Rule, Home Rule charters, independently elected executive officers, and a fifty-state laboratory — RAARICLE™ can diagnose functions like K–12 education, Medicaid administration, water utility regulation, and housing finance without altering its theoretical structure. The translation effort is non-trivial but bounded; it is primarily a codebook exercise, not a reconceptualisation.</w:t>
      </w:r>
    </w:p>
    <w:p w14:paraId="5A54502E" w14:textId="77777777" w:rsidR="00485B06" w:rsidRDefault="00000000">
      <w:pPr>
        <w:pStyle w:val="BodyText"/>
      </w:pPr>
      <w:r>
        <w:t xml:space="preserve">The strategic recommendation is to pursue credibility deliberately rather than opportunistically: publish the methodology paper first, build one validated indicator </w:t>
      </w:r>
      <w:r>
        <w:lastRenderedPageBreak/>
        <w:t>library (water services), complete one peer-reviewed comparative study (South Africa vs one African and one OECD comparator), and secure one academic co-author from a non-South African institution before marketing RAARICLE™ to multilateral clients.</w:t>
      </w:r>
    </w:p>
    <w:p w14:paraId="6F94EDB8" w14:textId="77777777" w:rsidR="00485B06" w:rsidRDefault="009A4A2B">
      <w:r>
        <w:rPr>
          <w:noProof/>
        </w:rPr>
        <w:pict w14:anchorId="00D436AD">
          <v:rect id="_x0000_i1034" alt="" style="width:451.3pt;height:.05pt;mso-width-percent:0;mso-height-percent:0;mso-width-percent:0;mso-height-percent:0" o:hralign="center" o:hrstd="t" o:hr="t"/>
        </w:pict>
      </w:r>
    </w:p>
    <w:p w14:paraId="3F709318" w14:textId="77777777" w:rsidR="00485B06" w:rsidRDefault="00000000">
      <w:pPr>
        <w:pStyle w:val="Heading2"/>
      </w:pPr>
      <w:bookmarkStart w:id="8" w:name="X0494df290c907bc07b77257eaded6721f8ef8ec"/>
      <w:bookmarkStart w:id="9" w:name="_Toc227923333"/>
      <w:bookmarkEnd w:id="6"/>
      <w:r>
        <w:t>2. Diagnostic of the Current Credibility Gap</w:t>
      </w:r>
      <w:bookmarkEnd w:id="9"/>
    </w:p>
    <w:p w14:paraId="5CC7E518" w14:textId="77777777" w:rsidR="00485B06" w:rsidRDefault="00000000">
      <w:pPr>
        <w:pStyle w:val="FirstParagraph"/>
      </w:pPr>
      <w:r>
        <w:t>RAARICLE™ sits today in a structurally weak position regardless of the strength of its ideas. Four features of that position matter.</w:t>
      </w:r>
    </w:p>
    <w:p w14:paraId="7BACC0B4" w14:textId="77777777" w:rsidR="00485B06" w:rsidRDefault="00000000">
      <w:pPr>
        <w:pStyle w:val="BodyText"/>
      </w:pPr>
      <w:r>
        <w:rPr>
          <w:b/>
          <w:bCs/>
        </w:rPr>
        <w:t>Provenance.</w:t>
      </w:r>
      <w:r>
        <w:t xml:space="preserve"> The framework was developed through a blog-based analytical series by a single practitioner. There is no institutional co-signer — no university, no think tank, no multilateral — attesting to the methodology. Multilateral procurement and academic review both weight provenance heavily; a framework with no institutional attestation faces an automatic downgrade in trust, irrespective of content quality.</w:t>
      </w:r>
    </w:p>
    <w:p w14:paraId="2D69A451" w14:textId="77777777" w:rsidR="00485B06" w:rsidRDefault="00000000">
      <w:pPr>
        <w:pStyle w:val="BodyText"/>
      </w:pPr>
      <w:r>
        <w:rPr>
          <w:b/>
          <w:bCs/>
        </w:rPr>
        <w:t>Peer scrutiny.</w:t>
      </w:r>
      <w:r>
        <w:t xml:space="preserve"> The framework has not been exposed to hostile review. Strong ideas survive attempts to break them; weak ones do not. Until RAARICLE™ has been published in a venue that applies double-blind peer review and until at least one independent team has attempted to replicate a scoring exercise, the framework’s claims are asserted, not established.</w:t>
      </w:r>
    </w:p>
    <w:p w14:paraId="48D172B2" w14:textId="77777777" w:rsidR="00485B06" w:rsidRDefault="00000000">
      <w:pPr>
        <w:pStyle w:val="BodyText"/>
      </w:pPr>
      <w:r>
        <w:rPr>
          <w:b/>
          <w:bCs/>
        </w:rPr>
        <w:t>Measurement surface.</w:t>
      </w:r>
      <w:r>
        <w:t xml:space="preserve"> The current framework assigns 1–5 ratings through qualitative expert analysis. This is acceptable for illustrative work but fails the tests that multilateral evaluators apply: reproducibility (two analysts, same score), auditability (every score traceable to a public source), and temporal stability (the same data produces the same score when re-scored six months later).</w:t>
      </w:r>
    </w:p>
    <w:p w14:paraId="2629E424" w14:textId="77777777" w:rsidR="00485B06" w:rsidRDefault="00000000">
      <w:pPr>
        <w:pStyle w:val="BodyText"/>
      </w:pPr>
      <w:r>
        <w:rPr>
          <w:b/>
          <w:bCs/>
        </w:rPr>
        <w:t>Cross-jurisdictional reach.</w:t>
      </w:r>
      <w:r>
        <w:t xml:space="preserve"> All published RAARICLE™ diagnostics apply to South African functions. A framework that has only been applied in one country cannot plausibly claim to be a general theory of institutional design; it is, until proven otherwise, a theory of South African governance pathology. This constrains both academic reach (area-studies journals rather than general governance journals) and practitioner reach (South African practitioners rather than multilateral ones).</w:t>
      </w:r>
    </w:p>
    <w:p w14:paraId="30220BE0" w14:textId="77777777" w:rsidR="00485B06" w:rsidRDefault="00000000">
      <w:pPr>
        <w:pStyle w:val="BodyText"/>
      </w:pPr>
      <w:r>
        <w:t>These four features are fixable. The balance of this document specifies what fixing them requires.</w:t>
      </w:r>
    </w:p>
    <w:p w14:paraId="34E6F1F3" w14:textId="77777777" w:rsidR="00FA6D1C" w:rsidRDefault="00FA6D1C">
      <w:r>
        <w:br w:type="page"/>
      </w:r>
    </w:p>
    <w:p w14:paraId="252E5F34" w14:textId="50324DFE" w:rsidR="00485B06" w:rsidRDefault="009A4A2B">
      <w:r>
        <w:rPr>
          <w:noProof/>
        </w:rPr>
        <w:lastRenderedPageBreak/>
        <w:pict w14:anchorId="0B3B0926">
          <v:rect id="_x0000_i1033" alt="" style="width:451.3pt;height:.05pt;mso-width-percent:0;mso-height-percent:0;mso-width-percent:0;mso-height-percent:0" o:hralign="center" o:hrstd="t" o:hr="t"/>
        </w:pict>
      </w:r>
    </w:p>
    <w:p w14:paraId="7F0704A9" w14:textId="77777777" w:rsidR="00485B06" w:rsidRDefault="00000000">
      <w:pPr>
        <w:pStyle w:val="Heading2"/>
      </w:pPr>
      <w:bookmarkStart w:id="10" w:name="X7bddf1c96f09afc7f0d40eb37354ae011526661"/>
      <w:bookmarkStart w:id="11" w:name="_Toc227923334"/>
      <w:bookmarkEnd w:id="8"/>
      <w:r>
        <w:t>3. Part I — What Must Be in Place for Academic and Practitioner Standing</w:t>
      </w:r>
      <w:bookmarkEnd w:id="11"/>
    </w:p>
    <w:p w14:paraId="4B4ABF21" w14:textId="77777777" w:rsidR="00485B06" w:rsidRDefault="00000000">
      <w:pPr>
        <w:pStyle w:val="FirstParagraph"/>
      </w:pPr>
      <w:r>
        <w:t>The requirements below are organised into five mutually exclusive and collectively exhaustive pillars. Every item needed for credibility falls into exactly one pillar; nothing required is omitted.</w:t>
      </w:r>
    </w:p>
    <w:p w14:paraId="0D9338DF" w14:textId="77777777" w:rsidR="00485B06" w:rsidRDefault="00000000">
      <w:pPr>
        <w:pStyle w:val="Heading3"/>
      </w:pPr>
      <w:bookmarkStart w:id="12" w:name="pillar-a-theoretical-foundation"/>
      <w:bookmarkStart w:id="13" w:name="_Toc227923335"/>
      <w:r>
        <w:t>3.1 Pillar A — Theoretical Foundation</w:t>
      </w:r>
      <w:bookmarkEnd w:id="13"/>
    </w:p>
    <w:p w14:paraId="63F97B5B" w14:textId="77777777" w:rsidR="00485B06" w:rsidRDefault="00000000">
      <w:pPr>
        <w:pStyle w:val="FirstParagraph"/>
      </w:pPr>
      <w:r>
        <w:t>The credibility of a framework begins with the defensibility of its theoretical claims. For RAARICLE™, three claims must be stated precisely and defended openly.</w:t>
      </w:r>
    </w:p>
    <w:p w14:paraId="74FE42AC" w14:textId="77777777" w:rsidR="00485B06" w:rsidRDefault="00000000">
      <w:pPr>
        <w:pStyle w:val="BodyText"/>
      </w:pPr>
      <w:r>
        <w:rPr>
          <w:b/>
          <w:bCs/>
        </w:rPr>
        <w:t>A.1 The MECE claim.</w:t>
      </w:r>
      <w:r>
        <w:t xml:space="preserve"> RAARICLE™ asserts that its eight elements are mutually exclusive (no element overlaps with another) and collectively exhaustive (no governance failure exists that cannot be mapped to one or more elements). This is a strong claim and must be defended formally.</w:t>
      </w:r>
    </w:p>
    <w:p w14:paraId="5950C0E9" w14:textId="77777777" w:rsidR="00485B06" w:rsidRDefault="00000000">
      <w:pPr>
        <w:pStyle w:val="Compact"/>
        <w:numPr>
          <w:ilvl w:val="0"/>
          <w:numId w:val="3"/>
        </w:numPr>
      </w:pPr>
      <w:r>
        <w:t>Publish a taxonomy paper that defines each element with necessary and sufficient conditions.</w:t>
      </w:r>
    </w:p>
    <w:p w14:paraId="0A05913A" w14:textId="77777777" w:rsidR="00485B06" w:rsidRDefault="00000000">
      <w:pPr>
        <w:pStyle w:val="Compact"/>
        <w:numPr>
          <w:ilvl w:val="0"/>
          <w:numId w:val="3"/>
        </w:numPr>
      </w:pPr>
      <w:r>
        <w:t>Provide a derivation — why eight and not seven or nine — grounded in the literatures on public administration (Weberian bureaucracy, principal-agent theory), constitutional economics (Ostrom on polycentricity; Buchanan-Tullock on institutional choice), and institutional analysis (North on institutions as rules of the game; Acemoglu-Robinson on inclusive institutions).</w:t>
      </w:r>
    </w:p>
    <w:p w14:paraId="12A104BD" w14:textId="77777777" w:rsidR="00485B06" w:rsidRDefault="00000000">
      <w:pPr>
        <w:pStyle w:val="Compact"/>
        <w:numPr>
          <w:ilvl w:val="0"/>
          <w:numId w:val="3"/>
        </w:numPr>
      </w:pPr>
      <w:r>
        <w:t>Engage and cite competing frameworks explicitly: the World Governance Indicators (Kaufmann-Kraay), V-Dem’s institutional indices, the World Bank’s CPIA, the OECD’s Government at a Glance, the Mo Ibrahim Index, the Bertelsmann Transformation Index, Fukuyama’s state-capacity framing, and Andrews-Pritchett-Woolcock’s Problem-Driven Iterative Adaptation. A reader must be able to identify what RAARICLE™ adds that those frameworks miss.</w:t>
      </w:r>
    </w:p>
    <w:p w14:paraId="463F6FA5" w14:textId="77777777" w:rsidR="00485B06" w:rsidRDefault="00000000">
      <w:pPr>
        <w:pStyle w:val="FirstParagraph"/>
      </w:pPr>
      <w:r>
        <w:rPr>
          <w:b/>
          <w:bCs/>
        </w:rPr>
        <w:t>A.2 The co-location thesis.</w:t>
      </w:r>
      <w:r>
        <w:t xml:space="preserve"> The claim that all eight elements must be co-located in a single institutional chain (or coherently aligned across institutions with binding coordination mechanisms) is the framework’s central empirical hypothesis. This must be stated as a falsifiable proposition: </w:t>
      </w:r>
      <w:r>
        <w:rPr>
          <w:i/>
          <w:iCs/>
        </w:rPr>
        <w:t>all else equal, public functions in which the eight elements are co-located outperform functions in which they are scattered</w:t>
      </w:r>
      <w:r>
        <w:t>. Falsifiability turns advocacy into science.</w:t>
      </w:r>
    </w:p>
    <w:p w14:paraId="0AAAF47F" w14:textId="77777777" w:rsidR="00485B06" w:rsidRDefault="00000000">
      <w:pPr>
        <w:pStyle w:val="BodyText"/>
      </w:pPr>
      <w:r>
        <w:rPr>
          <w:b/>
          <w:bCs/>
        </w:rPr>
        <w:t>A.3 The five-pattern typology.</w:t>
      </w:r>
      <w:r>
        <w:t xml:space="preserve"> Fragmentation, misalignment, absence, conflation and capture are claimed to exhaust the structural failure modes. This requires a derivation showing why these five and not others, worked examples distinguishing them (the boundary between fragmentation and misalignment is not obvious), and a decision tree that an analyst can apply to classify a given diagnosis unambiguously.</w:t>
      </w:r>
    </w:p>
    <w:p w14:paraId="5B7260A9" w14:textId="77777777" w:rsidR="00485B06" w:rsidRDefault="00000000">
      <w:pPr>
        <w:pStyle w:val="BodyText"/>
      </w:pPr>
      <w:r>
        <w:rPr>
          <w:b/>
          <w:bCs/>
        </w:rPr>
        <w:t>Deliverables for Pillar A</w:t>
      </w:r>
    </w:p>
    <w:p w14:paraId="4DF319E5" w14:textId="77777777" w:rsidR="00485B06" w:rsidRDefault="00000000">
      <w:pPr>
        <w:pStyle w:val="Compact"/>
        <w:numPr>
          <w:ilvl w:val="0"/>
          <w:numId w:val="4"/>
        </w:numPr>
      </w:pPr>
      <w:r>
        <w:t xml:space="preserve">A </w:t>
      </w:r>
      <w:r w:rsidRPr="00FA6D1C">
        <w:rPr>
          <w:b/>
          <w:bCs/>
        </w:rPr>
        <w:t>foundational methodology paper</w:t>
      </w:r>
      <w:r>
        <w:t xml:space="preserve"> (target: </w:t>
      </w:r>
      <w:r>
        <w:rPr>
          <w:i/>
          <w:iCs/>
        </w:rPr>
        <w:t>Governance</w:t>
      </w:r>
      <w:r>
        <w:t xml:space="preserve"> or </w:t>
      </w:r>
      <w:r>
        <w:rPr>
          <w:i/>
          <w:iCs/>
        </w:rPr>
        <w:t>Public Administration Review</w:t>
      </w:r>
      <w:r>
        <w:t>) that states and defends the three claims.</w:t>
      </w:r>
    </w:p>
    <w:p w14:paraId="0235529E" w14:textId="77777777" w:rsidR="00485B06" w:rsidRDefault="00000000">
      <w:pPr>
        <w:pStyle w:val="Compact"/>
        <w:numPr>
          <w:ilvl w:val="0"/>
          <w:numId w:val="4"/>
        </w:numPr>
      </w:pPr>
      <w:r>
        <w:lastRenderedPageBreak/>
        <w:t xml:space="preserve">A </w:t>
      </w:r>
      <w:r w:rsidRPr="00FA6D1C">
        <w:rPr>
          <w:b/>
          <w:bCs/>
        </w:rPr>
        <w:t>companion theoretical review</w:t>
      </w:r>
      <w:r>
        <w:t xml:space="preserve"> positioning RAARICLE™ against eight to ten comparator frameworks.</w:t>
      </w:r>
    </w:p>
    <w:p w14:paraId="52AF2481" w14:textId="77777777" w:rsidR="00485B06" w:rsidRDefault="00000000">
      <w:pPr>
        <w:pStyle w:val="Compact"/>
        <w:numPr>
          <w:ilvl w:val="0"/>
          <w:numId w:val="4"/>
        </w:numPr>
      </w:pPr>
      <w:r>
        <w:t>A formal notation (element = tuple of predicates, co-location = graph property on the institutional chain) that makes the theoretical claims amenable to critique.</w:t>
      </w:r>
    </w:p>
    <w:p w14:paraId="2418500B" w14:textId="77777777" w:rsidR="00485B06" w:rsidRDefault="00000000">
      <w:pPr>
        <w:pStyle w:val="Heading3"/>
      </w:pPr>
      <w:bookmarkStart w:id="14" w:name="pillar-b-measurement-infrastructure"/>
      <w:bookmarkStart w:id="15" w:name="_Toc227923336"/>
      <w:bookmarkEnd w:id="12"/>
      <w:r>
        <w:t>3.2 Pillar B — Measurement Infrastructure</w:t>
      </w:r>
      <w:bookmarkEnd w:id="15"/>
    </w:p>
    <w:p w14:paraId="53C3850B" w14:textId="77777777" w:rsidR="00485B06" w:rsidRDefault="00000000">
      <w:pPr>
        <w:pStyle w:val="FirstParagraph"/>
      </w:pPr>
      <w:r>
        <w:t>Theory without measurement is philosophy. For RAARICLE™ to survive scrutiny, every score must be derivable by rule from observable evidence, not from the analyst’s judgement.</w:t>
      </w:r>
    </w:p>
    <w:p w14:paraId="0ED3E90A" w14:textId="77777777" w:rsidR="00485B06" w:rsidRDefault="00000000">
      <w:pPr>
        <w:pStyle w:val="BodyText"/>
      </w:pPr>
      <w:r>
        <w:rPr>
          <w:b/>
          <w:bCs/>
        </w:rPr>
        <w:t>B.1 Indicator library.</w:t>
      </w:r>
      <w:r>
        <w:t xml:space="preserve"> Each element must have three to five indicators, each of which is binary (yes/no) or ordinal with defined thresholds, each of which is tied to a public data source, and each of which has been tested for face validity (does it actually measure the element?), content validity (does the set of indicators cover the element?), and discriminant validity (does this indicator measure this element and not a different one?).</w:t>
      </w:r>
    </w:p>
    <w:p w14:paraId="729FE9A4" w14:textId="77777777" w:rsidR="00485B06" w:rsidRDefault="00000000">
      <w:pPr>
        <w:pStyle w:val="BodyText"/>
      </w:pPr>
      <w:r>
        <w:rPr>
          <w:b/>
          <w:bCs/>
        </w:rPr>
        <w:t>B.2 Scoring algorithm.</w:t>
      </w:r>
      <w:r>
        <w:t xml:space="preserve"> The mapping from indicators to element scores must be explicit and deterministic. The MVP specification of “binary indicators sum to points, numeric indicators map to thresholds, element score is normalised to 1–5” is a starting point. It requires formalisation as an algorithm, implementation as code, and publication as an open-source repository so that any analyst can reproduce scores exactly.</w:t>
      </w:r>
    </w:p>
    <w:p w14:paraId="7BD31D94" w14:textId="77777777" w:rsidR="00485B06" w:rsidRDefault="00000000">
      <w:pPr>
        <w:pStyle w:val="BodyText"/>
      </w:pPr>
      <w:r>
        <w:rPr>
          <w:b/>
          <w:bCs/>
        </w:rPr>
        <w:t>B.3 Codebook.</w:t>
      </w:r>
      <w:r>
        <w:t xml:space="preserve"> A codebook specifies, for every indicator: the precise question asked, the evidence required to answer it, the decision rule for ambiguous cases, and worked examples at each threshold. Without a codebook, inter-rater reliability is impossible to achieve because analysts are not actually measuring the same thing.</w:t>
      </w:r>
    </w:p>
    <w:p w14:paraId="6D22B145" w14:textId="77777777" w:rsidR="00485B06" w:rsidRDefault="00000000">
      <w:pPr>
        <w:pStyle w:val="BodyText"/>
      </w:pPr>
      <w:r>
        <w:rPr>
          <w:b/>
          <w:bCs/>
        </w:rPr>
        <w:t>B.4 Manual-override protocol.</w:t>
      </w:r>
      <w:r>
        <w:t xml:space="preserve"> The current framework permits manual overrides with written justification. This is correct but must be disciplined: overrides should be rare (monitored as a rate), adjudicated (reviewed by a second analyst), and reported (every diagnostic should disclose which scores were overridden and why). Unchecked overrides are the path to silent analyst bias.</w:t>
      </w:r>
    </w:p>
    <w:p w14:paraId="66F7A3AB" w14:textId="77777777" w:rsidR="00485B06" w:rsidRDefault="00000000">
      <w:pPr>
        <w:pStyle w:val="BodyText"/>
      </w:pPr>
      <w:r>
        <w:rPr>
          <w:b/>
          <w:bCs/>
        </w:rPr>
        <w:t>B.5 Weighting and interaction model.</w:t>
      </w:r>
      <w:r>
        <w:t xml:space="preserve"> The MVP uses equal weighting across elements. This is defensible as a starting point but must be explicitly labelled as a </w:t>
      </w:r>
      <w:r>
        <w:rPr>
          <w:i/>
          <w:iCs/>
        </w:rPr>
        <w:t>non-informative prior</w:t>
      </w:r>
      <w:r>
        <w:t xml:space="preserve"> and revisited once a dataset large enough for empirical weighting exists (approximately 50 diagnostics with matched outcome data, per the MRD). The eventual model should specify: (i) element weights, (ii) interaction terms (e.g., Authority × Enforcement), and (iii) threshold effects (minimum scores below which no substitution is possible).</w:t>
      </w:r>
    </w:p>
    <w:p w14:paraId="454EBDD9" w14:textId="77777777" w:rsidR="00485B06" w:rsidRDefault="00000000">
      <w:pPr>
        <w:pStyle w:val="BodyText"/>
      </w:pPr>
      <w:r>
        <w:rPr>
          <w:b/>
          <w:bCs/>
        </w:rPr>
        <w:t>Deliverables for Pillar B</w:t>
      </w:r>
    </w:p>
    <w:p w14:paraId="78D608CB" w14:textId="77777777" w:rsidR="00485B06" w:rsidRDefault="00000000">
      <w:pPr>
        <w:pStyle w:val="Compact"/>
        <w:numPr>
          <w:ilvl w:val="0"/>
          <w:numId w:val="5"/>
        </w:numPr>
      </w:pPr>
      <w:r>
        <w:t>A versioned indicator library, initially for one function (water services), with a published codebook.</w:t>
      </w:r>
    </w:p>
    <w:p w14:paraId="461C4137" w14:textId="77777777" w:rsidR="00485B06" w:rsidRDefault="00000000">
      <w:pPr>
        <w:pStyle w:val="Compact"/>
        <w:numPr>
          <w:ilvl w:val="0"/>
          <w:numId w:val="5"/>
        </w:numPr>
      </w:pPr>
      <w:r>
        <w:t>An open-source scoring algorithm (Python or R) with unit tests.</w:t>
      </w:r>
    </w:p>
    <w:p w14:paraId="44FEC35B" w14:textId="77777777" w:rsidR="00485B06" w:rsidRDefault="00000000">
      <w:pPr>
        <w:pStyle w:val="Compact"/>
        <w:numPr>
          <w:ilvl w:val="0"/>
          <w:numId w:val="5"/>
        </w:numPr>
      </w:pPr>
      <w:r>
        <w:t>A manual-override log template and auditing protocol.</w:t>
      </w:r>
    </w:p>
    <w:p w14:paraId="7C9954DE" w14:textId="77777777" w:rsidR="00485B06" w:rsidRDefault="00000000">
      <w:pPr>
        <w:pStyle w:val="Compact"/>
        <w:numPr>
          <w:ilvl w:val="0"/>
          <w:numId w:val="5"/>
        </w:numPr>
      </w:pPr>
      <w:r>
        <w:lastRenderedPageBreak/>
        <w:t>A roadmap for the empirical weighting model, conditional on dataset size.</w:t>
      </w:r>
    </w:p>
    <w:p w14:paraId="2159CE8C" w14:textId="77777777" w:rsidR="00485B06" w:rsidRDefault="00000000">
      <w:pPr>
        <w:pStyle w:val="Heading3"/>
      </w:pPr>
      <w:bookmarkStart w:id="16" w:name="pillar-c-evidence-infrastructure"/>
      <w:bookmarkStart w:id="17" w:name="_Toc227923337"/>
      <w:bookmarkEnd w:id="14"/>
      <w:r>
        <w:t>3.3 Pillar C — Evidence Infrastructure</w:t>
      </w:r>
      <w:bookmarkEnd w:id="17"/>
    </w:p>
    <w:p w14:paraId="0D559B1E" w14:textId="77777777" w:rsidR="00485B06" w:rsidRDefault="00000000">
      <w:pPr>
        <w:pStyle w:val="FirstParagraph"/>
      </w:pPr>
      <w:r>
        <w:t>Measurement requires evidence. Evidence requires infrastructure. For every score, a third party must be able to trace the claim from the published rating back to the primary document.</w:t>
      </w:r>
    </w:p>
    <w:p w14:paraId="282C819A" w14:textId="77777777" w:rsidR="00485B06" w:rsidRDefault="00000000">
      <w:pPr>
        <w:pStyle w:val="BodyText"/>
      </w:pPr>
      <w:r>
        <w:rPr>
          <w:b/>
          <w:bCs/>
        </w:rPr>
        <w:t>C.1 Citation chain standard.</w:t>
      </w:r>
      <w:r>
        <w:t xml:space="preserve"> Every indicator value in every diagnostic must cite a public document by URL (or permanent archive link), document type, date, page or section reference, and quoted extract where possible. This is a higher evidentiary bar than most consulting reports meet and is the foundation of auditability.</w:t>
      </w:r>
    </w:p>
    <w:p w14:paraId="4E74B129" w14:textId="77777777" w:rsidR="00485B06" w:rsidRDefault="00000000">
      <w:pPr>
        <w:pStyle w:val="BodyText"/>
      </w:pPr>
      <w:r>
        <w:rPr>
          <w:b/>
          <w:bCs/>
        </w:rPr>
        <w:t>C.2 Replication dataset.</w:t>
      </w:r>
      <w:r>
        <w:t xml:space="preserve"> Diagnostics should be published with a companion replication package: the raw indicator values, the scoring algorithm version, the codebook version, the citation chain file, and any analyst notes. This is the norm in empirical economics (AEA data policy, QJE replication standard) and political science (DA-RT principles); RAARICLE™ should adopt the same standard voluntarily from the beginning.</w:t>
      </w:r>
    </w:p>
    <w:p w14:paraId="6DBD3EEB" w14:textId="77777777" w:rsidR="00485B06" w:rsidRDefault="00000000">
      <w:pPr>
        <w:pStyle w:val="BodyText"/>
      </w:pPr>
      <w:r>
        <w:rPr>
          <w:b/>
          <w:bCs/>
        </w:rPr>
        <w:t>C.3 Data provenance and versioning.</w:t>
      </w:r>
      <w:r>
        <w:t xml:space="preserve"> Public data sources change. The Auditor-General reissues reports; municipalities restate financials; national departments amend annual reports. Every diagnostic must record the </w:t>
      </w:r>
      <w:r>
        <w:rPr>
          <w:i/>
          <w:iCs/>
        </w:rPr>
        <w:t>version</w:t>
      </w:r>
      <w:r>
        <w:t xml:space="preserve"> of the source document used and date of access. Re-scoring a diagnostic two years later should produce the same result if the source data is held constant, even if the sources themselves have since changed.</w:t>
      </w:r>
    </w:p>
    <w:p w14:paraId="1023B316" w14:textId="77777777" w:rsidR="00485B06" w:rsidRDefault="00000000">
      <w:pPr>
        <w:pStyle w:val="BodyText"/>
      </w:pPr>
      <w:r>
        <w:rPr>
          <w:b/>
          <w:bCs/>
        </w:rPr>
        <w:t>C.4 Open data commitments.</w:t>
      </w:r>
      <w:r>
        <w:t xml:space="preserve"> Where the framework is applied to public institutions using public data, there is no justification for keeping scores proprietary. The Observatory dashboard (Tier 2 in the MRD product architecture) should publish scores under an open licence (CC BY 4.0 for analysis; ODbL for data). This builds a moat of community adoption rather than a moat of artificial scarcity.</w:t>
      </w:r>
    </w:p>
    <w:p w14:paraId="449A1441" w14:textId="77777777" w:rsidR="00485B06" w:rsidRDefault="00000000">
      <w:pPr>
        <w:pStyle w:val="BodyText"/>
      </w:pPr>
      <w:r>
        <w:rPr>
          <w:b/>
          <w:bCs/>
        </w:rPr>
        <w:t>Deliverables for Pillar C</w:t>
      </w:r>
    </w:p>
    <w:p w14:paraId="6607E378" w14:textId="77777777" w:rsidR="00485B06" w:rsidRDefault="00000000">
      <w:pPr>
        <w:pStyle w:val="Compact"/>
        <w:numPr>
          <w:ilvl w:val="0"/>
          <w:numId w:val="6"/>
        </w:numPr>
      </w:pPr>
      <w:r>
        <w:t>A citation chain template and validation checker.</w:t>
      </w:r>
    </w:p>
    <w:p w14:paraId="57AE54F9" w14:textId="77777777" w:rsidR="00485B06" w:rsidRDefault="00000000">
      <w:pPr>
        <w:pStyle w:val="Compact"/>
        <w:numPr>
          <w:ilvl w:val="0"/>
          <w:numId w:val="6"/>
        </w:numPr>
      </w:pPr>
      <w:r>
        <w:t>A replication package template (folder structure, README, metadata schema).</w:t>
      </w:r>
    </w:p>
    <w:p w14:paraId="55FEC140" w14:textId="77777777" w:rsidR="00485B06" w:rsidRDefault="00000000">
      <w:pPr>
        <w:pStyle w:val="Compact"/>
        <w:numPr>
          <w:ilvl w:val="0"/>
          <w:numId w:val="6"/>
        </w:numPr>
      </w:pPr>
      <w:r>
        <w:t>A public data repository (GitHub or Zenodo) for published diagnostics.</w:t>
      </w:r>
    </w:p>
    <w:p w14:paraId="2948AA90" w14:textId="77777777" w:rsidR="00485B06" w:rsidRDefault="00000000">
      <w:pPr>
        <w:pStyle w:val="Compact"/>
        <w:numPr>
          <w:ilvl w:val="0"/>
          <w:numId w:val="6"/>
        </w:numPr>
      </w:pPr>
      <w:r>
        <w:t>A data licence statement for the Observatory dashboard.</w:t>
      </w:r>
    </w:p>
    <w:p w14:paraId="63C428E2" w14:textId="77777777" w:rsidR="00485B06" w:rsidRDefault="00000000">
      <w:pPr>
        <w:pStyle w:val="Heading3"/>
      </w:pPr>
      <w:bookmarkStart w:id="18" w:name="pillar-d-validation-architecture"/>
      <w:bookmarkStart w:id="19" w:name="_Toc227923338"/>
      <w:bookmarkEnd w:id="16"/>
      <w:r>
        <w:t>3.4 Pillar D — Validation Architecture</w:t>
      </w:r>
      <w:bookmarkEnd w:id="19"/>
    </w:p>
    <w:p w14:paraId="77614662" w14:textId="77777777" w:rsidR="00485B06" w:rsidRDefault="00000000">
      <w:pPr>
        <w:pStyle w:val="FirstParagraph"/>
      </w:pPr>
      <w:r>
        <w:t>Four distinct validation tests must be passed. These are independent; passing one does not imply passing another.</w:t>
      </w:r>
    </w:p>
    <w:p w14:paraId="69D60719" w14:textId="77777777" w:rsidR="00485B06" w:rsidRDefault="00000000">
      <w:pPr>
        <w:pStyle w:val="BodyText"/>
      </w:pPr>
      <w:r>
        <w:rPr>
          <w:b/>
          <w:bCs/>
        </w:rPr>
        <w:t>D.1 Internal coherence validation.</w:t>
      </w:r>
      <w:r>
        <w:t xml:space="preserve"> Does the framework’s internal logic hold under adversarial probing? Mechanism: structured expert review by five to seven governance scholars, asking each to attempt to break the MECE claim, the co-location thesis and the five-pattern typology. Document the challenges and either refine the framework or defend the position in print.</w:t>
      </w:r>
    </w:p>
    <w:p w14:paraId="52DB40B1" w14:textId="77777777" w:rsidR="00485B06" w:rsidRDefault="00000000">
      <w:pPr>
        <w:pStyle w:val="BodyText"/>
      </w:pPr>
      <w:r>
        <w:rPr>
          <w:b/>
          <w:bCs/>
        </w:rPr>
        <w:lastRenderedPageBreak/>
        <w:t>D.2 Inter-rater reliability.</w:t>
      </w:r>
      <w:r>
        <w:t xml:space="preserve"> Do two independent analysts applying the codebook to the same function produce the same scores? Standard: Cohen’s kappa ≥ 0.7 for element-level scores, or intraclass correlation coefficient (ICC) ≥ 0.75 for the 1–5 ordinal ratings. Protocol: a blind dual-scoring exercise across 10 cases with analyst adjudication of disagreements, fully documented.</w:t>
      </w:r>
    </w:p>
    <w:p w14:paraId="404DB4BF" w14:textId="77777777" w:rsidR="00485B06" w:rsidRDefault="00000000">
      <w:pPr>
        <w:pStyle w:val="BodyText"/>
      </w:pPr>
      <w:r>
        <w:rPr>
          <w:b/>
          <w:bCs/>
        </w:rPr>
        <w:t>D.3 Predictive validity.</w:t>
      </w:r>
      <w:r>
        <w:t xml:space="preserve"> Do RAARICLE™ scores at time T predict observable outcomes at time T+1 (audit outcomes, service delivery indicators, fiscal distress flags) better than (a) chance, (b) existing indicators (financial viability ratios), and (c) random scoring? This requires a longitudinal design with pre-registration of the prediction protocol. It is the single most important test for academic credibility: if the framework does not predict, it does not describe reality. The MRD targets 50 municipalities tracked across two audit cycles; this is the right scale.</w:t>
      </w:r>
    </w:p>
    <w:p w14:paraId="001BD331" w14:textId="77777777" w:rsidR="00485B06" w:rsidRDefault="00000000">
      <w:pPr>
        <w:pStyle w:val="BodyText"/>
      </w:pPr>
      <w:r>
        <w:rPr>
          <w:b/>
          <w:bCs/>
        </w:rPr>
        <w:t>D.4 Practitioner utility.</w:t>
      </w:r>
      <w:r>
        <w:t xml:space="preserve"> Do practitioners who use RAARICLE™ diagnostics make different and better decisions than those who use existing tools? Test via a pilot with matched control: three to five institutions receive RAARICLE™-guided interventions, matched against three to five comparable institutions receiving conventional interventions, with outcomes tracked over 24 months. This is the test multilateral clients will apply.</w:t>
      </w:r>
    </w:p>
    <w:p w14:paraId="46819D12" w14:textId="77777777" w:rsidR="00485B06" w:rsidRDefault="00000000">
      <w:pPr>
        <w:pStyle w:val="BodyText"/>
      </w:pPr>
      <w:r>
        <w:rPr>
          <w:b/>
          <w:bCs/>
        </w:rPr>
        <w:t>D.5 Peer-reviewed publication.</w:t>
      </w:r>
      <w:r>
        <w:t xml:space="preserve"> The validations above must be reported in peer-reviewed venues, not just as grey literature. Target publications, in sequence: (i) methodology paper (year 1), (ii) inter-rater reliability paper (year 2), (iii) predictive validation paper (year 3–4), (iv) comparative study paper including at least one non-South African jurisdiction (year 3–4). Working papers at SSRN, NBER and the World Bank Policy Research series can bridge the lag between submission and acceptance.</w:t>
      </w:r>
    </w:p>
    <w:p w14:paraId="7573A410" w14:textId="77777777" w:rsidR="00485B06" w:rsidRDefault="00000000">
      <w:pPr>
        <w:pStyle w:val="BodyText"/>
      </w:pPr>
      <w:r>
        <w:rPr>
          <w:b/>
          <w:bCs/>
        </w:rPr>
        <w:t>Deliverables for Pillar D</w:t>
      </w:r>
    </w:p>
    <w:p w14:paraId="7069F0F2" w14:textId="77777777" w:rsidR="00485B06" w:rsidRDefault="00000000">
      <w:pPr>
        <w:pStyle w:val="Compact"/>
        <w:numPr>
          <w:ilvl w:val="0"/>
          <w:numId w:val="7"/>
        </w:numPr>
      </w:pPr>
      <w:r>
        <w:t>A pre-registered validation protocol (register on OSF or AEA RCT Registry).</w:t>
      </w:r>
    </w:p>
    <w:p w14:paraId="2B4D6CC6" w14:textId="77777777" w:rsidR="00485B06" w:rsidRDefault="00000000">
      <w:pPr>
        <w:pStyle w:val="Compact"/>
        <w:numPr>
          <w:ilvl w:val="0"/>
          <w:numId w:val="7"/>
        </w:numPr>
      </w:pPr>
      <w:r>
        <w:t>A programme of four peer-reviewed papers with target venues and timelines.</w:t>
      </w:r>
    </w:p>
    <w:p w14:paraId="5452C151" w14:textId="77777777" w:rsidR="00485B06" w:rsidRDefault="00000000">
      <w:pPr>
        <w:pStyle w:val="Compact"/>
        <w:numPr>
          <w:ilvl w:val="0"/>
          <w:numId w:val="7"/>
        </w:numPr>
      </w:pPr>
      <w:r>
        <w:t>A validation report published with every major version of the indicator library.</w:t>
      </w:r>
    </w:p>
    <w:p w14:paraId="05CF3505" w14:textId="77777777" w:rsidR="00485B06" w:rsidRDefault="00000000">
      <w:pPr>
        <w:pStyle w:val="Heading3"/>
      </w:pPr>
      <w:bookmarkStart w:id="20" w:name="Xeb5b5a9a5feadcf639f2c7493a66d3503d09b97"/>
      <w:bookmarkStart w:id="21" w:name="_Toc227923339"/>
      <w:bookmarkEnd w:id="18"/>
      <w:r>
        <w:t>3.5 Pillar E — Institutional Provenance and Stewardship</w:t>
      </w:r>
      <w:bookmarkEnd w:id="21"/>
    </w:p>
    <w:p w14:paraId="7931A634" w14:textId="77777777" w:rsidR="00485B06" w:rsidRDefault="00000000">
      <w:pPr>
        <w:pStyle w:val="FirstParagraph"/>
      </w:pPr>
      <w:r>
        <w:t>Who vouches for the framework matters as much as what the framework says.</w:t>
      </w:r>
    </w:p>
    <w:p w14:paraId="00C20B3C" w14:textId="77777777" w:rsidR="00485B06" w:rsidRDefault="00000000">
      <w:pPr>
        <w:pStyle w:val="BodyText"/>
      </w:pPr>
      <w:r>
        <w:rPr>
          <w:b/>
          <w:bCs/>
        </w:rPr>
        <w:t>E.1 Academic affiliation.</w:t>
      </w:r>
      <w:r>
        <w:t xml:space="preserve"> An academic home — even a soft affiliation with one university’s school of governance or development studies — transforms the provenance of the framework from “a blog author’s model” to “a method developed in collaboration with [University]”. Candidate institutions for South Africa: Wits School of Governance, UCT Graduate School of Development Policy and Practice, Stellenbosch School of Public Leadership, and UKZN School of Social Sciences. Candidate international partners: the LSE Department of International Development, Oxford’s Blavatnik School of Government, Harvard’s Kennedy School (particularly Building State Capability), and Princeton’s School of Public and International Affairs.</w:t>
      </w:r>
    </w:p>
    <w:p w14:paraId="2F35B751" w14:textId="77777777" w:rsidR="00485B06" w:rsidRDefault="00000000">
      <w:pPr>
        <w:pStyle w:val="BodyText"/>
      </w:pPr>
      <w:r>
        <w:rPr>
          <w:b/>
          <w:bCs/>
        </w:rPr>
        <w:lastRenderedPageBreak/>
        <w:t>E.2 Advisory board.</w:t>
      </w:r>
      <w:r>
        <w:t xml:space="preserve"> A five-to-seven-person advisory board with international, multi-disciplinary, and non-South African representation. Roles: methodological challenger, practitioner user, multilateral sector expert, constitutional law expert, and statistical reviewer. An advisory board constrains and legitimises; it is a feature, not a bureaucracy.</w:t>
      </w:r>
    </w:p>
    <w:p w14:paraId="3AC672F2" w14:textId="77777777" w:rsidR="00485B06" w:rsidRDefault="00000000">
      <w:pPr>
        <w:pStyle w:val="BodyText"/>
      </w:pPr>
      <w:r>
        <w:rPr>
          <w:b/>
          <w:bCs/>
        </w:rPr>
        <w:t>E.3 Governance and ethics regime.</w:t>
      </w:r>
      <w:r>
        <w:t xml:space="preserve"> A governance document covering: intellectual property (the framework itself under a permissive licence; indicator libraries and scoring implementations under open source; commercial diagnostics under a separate engagement terms sheet), conflicts of interest (disclosed by every analyst on every diagnostic), subject-country sensitivity (diagnostics published about an institution should offer that institution a right of reply), and research ethics (any practitioner interview data collected for validation research must pass an ethics review).</w:t>
      </w:r>
    </w:p>
    <w:p w14:paraId="6A348F0E" w14:textId="77777777" w:rsidR="00485B06" w:rsidRDefault="00000000">
      <w:pPr>
        <w:pStyle w:val="BodyText"/>
      </w:pPr>
      <w:r>
        <w:rPr>
          <w:b/>
          <w:bCs/>
        </w:rPr>
        <w:t>E.4 Funding and independence.</w:t>
      </w:r>
      <w:r>
        <w:t xml:space="preserve"> Funding structure must not compromise findings. If a development finance institution funds the validation research, findings must be insulated from the funder (pre-registration; publication guarantee; no pre-publication review rights for the funder beyond fact-checking). Multilateral clients will not engage a framework whose findings they perceive to be influenced by its commercial clients.</w:t>
      </w:r>
    </w:p>
    <w:p w14:paraId="7D610C36" w14:textId="77777777" w:rsidR="00485B06" w:rsidRDefault="00000000">
      <w:pPr>
        <w:pStyle w:val="BodyText"/>
      </w:pPr>
      <w:r>
        <w:rPr>
          <w:b/>
          <w:bCs/>
        </w:rPr>
        <w:t>E.5 Stewardship entity.</w:t>
      </w:r>
      <w:r>
        <w:t xml:space="preserve"> Over the medium term (3–5 years) a stewardship entity — a non-profit, a university-hosted initiative, or a consortium — should hold the framework’s intellectual property, maintain the codebook, certify analysts, and publish the Observatory. This protects the framework from the single-point-of-failure risk inherent in individual authorship.</w:t>
      </w:r>
    </w:p>
    <w:p w14:paraId="0F1E64B0" w14:textId="77777777" w:rsidR="00485B06" w:rsidRDefault="00000000">
      <w:pPr>
        <w:pStyle w:val="BodyText"/>
      </w:pPr>
      <w:r>
        <w:rPr>
          <w:b/>
          <w:bCs/>
        </w:rPr>
        <w:t>Deliverables for Pillar E</w:t>
      </w:r>
    </w:p>
    <w:p w14:paraId="1C096B2A" w14:textId="77777777" w:rsidR="00485B06" w:rsidRDefault="00000000">
      <w:pPr>
        <w:pStyle w:val="Compact"/>
        <w:numPr>
          <w:ilvl w:val="0"/>
          <w:numId w:val="8"/>
        </w:numPr>
      </w:pPr>
      <w:r>
        <w:t>A memorandum of understanding with at least one academic institution by end of the validation phase.</w:t>
      </w:r>
    </w:p>
    <w:p w14:paraId="3060D8B7" w14:textId="77777777" w:rsidR="00485B06" w:rsidRDefault="00000000">
      <w:pPr>
        <w:pStyle w:val="Compact"/>
        <w:numPr>
          <w:ilvl w:val="0"/>
          <w:numId w:val="8"/>
        </w:numPr>
      </w:pPr>
      <w:r>
        <w:t>A constituted advisory board with published membership and terms of reference.</w:t>
      </w:r>
    </w:p>
    <w:p w14:paraId="0E66AFA3" w14:textId="77777777" w:rsidR="00485B06" w:rsidRDefault="00000000">
      <w:pPr>
        <w:pStyle w:val="Compact"/>
        <w:numPr>
          <w:ilvl w:val="0"/>
          <w:numId w:val="8"/>
        </w:numPr>
      </w:pPr>
      <w:r>
        <w:t>A governance, ethics and IP charter.</w:t>
      </w:r>
    </w:p>
    <w:p w14:paraId="146CBAD0" w14:textId="77777777" w:rsidR="00485B06" w:rsidRDefault="00000000">
      <w:pPr>
        <w:pStyle w:val="Compact"/>
        <w:numPr>
          <w:ilvl w:val="0"/>
          <w:numId w:val="8"/>
        </w:numPr>
      </w:pPr>
      <w:r>
        <w:t>A funding policy specifying acceptable and unacceptable funding structures.</w:t>
      </w:r>
    </w:p>
    <w:p w14:paraId="2A4772B0" w14:textId="77777777" w:rsidR="00485B06" w:rsidRDefault="00000000">
      <w:pPr>
        <w:pStyle w:val="Compact"/>
        <w:numPr>
          <w:ilvl w:val="0"/>
          <w:numId w:val="8"/>
        </w:numPr>
      </w:pPr>
      <w:r>
        <w:t>A three-year stewardship transition plan.</w:t>
      </w:r>
    </w:p>
    <w:p w14:paraId="12079B76" w14:textId="77777777" w:rsidR="00485B06" w:rsidRDefault="00000000">
      <w:pPr>
        <w:pStyle w:val="Heading3"/>
      </w:pPr>
      <w:bookmarkStart w:id="22" w:name="Xbc03bd14858f7509ea1dd77f1274ab862027536"/>
      <w:bookmarkStart w:id="23" w:name="_Toc227923340"/>
      <w:bookmarkEnd w:id="20"/>
      <w:r>
        <w:t>3.6 Summary Matrix: Pillars, Deliverables, and Timing</w:t>
      </w:r>
      <w:bookmarkEnd w:id="23"/>
    </w:p>
    <w:tbl>
      <w:tblPr>
        <w:tblStyle w:val="Table"/>
        <w:tblW w:w="5000" w:type="pct"/>
        <w:tblLook w:val="0020" w:firstRow="1" w:lastRow="0" w:firstColumn="0" w:lastColumn="0" w:noHBand="0" w:noVBand="0"/>
      </w:tblPr>
      <w:tblGrid>
        <w:gridCol w:w="2278"/>
        <w:gridCol w:w="2849"/>
        <w:gridCol w:w="3440"/>
        <w:gridCol w:w="1009"/>
      </w:tblGrid>
      <w:tr w:rsidR="00485B06" w14:paraId="1E9FB59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8E3C952" w14:textId="77777777" w:rsidR="00485B06" w:rsidRDefault="00000000">
            <w:pPr>
              <w:pStyle w:val="Compact"/>
            </w:pPr>
            <w:r>
              <w:t>Pillar</w:t>
            </w:r>
          </w:p>
        </w:tc>
        <w:tc>
          <w:tcPr>
            <w:tcW w:w="0" w:type="auto"/>
          </w:tcPr>
          <w:p w14:paraId="65AF2541" w14:textId="77777777" w:rsidR="00485B06" w:rsidRDefault="00000000">
            <w:pPr>
              <w:pStyle w:val="Compact"/>
            </w:pPr>
            <w:r>
              <w:t>What it establishes</w:t>
            </w:r>
          </w:p>
        </w:tc>
        <w:tc>
          <w:tcPr>
            <w:tcW w:w="0" w:type="auto"/>
          </w:tcPr>
          <w:p w14:paraId="0B351FFC" w14:textId="77777777" w:rsidR="00485B06" w:rsidRDefault="00000000">
            <w:pPr>
              <w:pStyle w:val="Compact"/>
            </w:pPr>
            <w:r>
              <w:t>Minimum deliverables</w:t>
            </w:r>
          </w:p>
        </w:tc>
        <w:tc>
          <w:tcPr>
            <w:tcW w:w="0" w:type="auto"/>
          </w:tcPr>
          <w:p w14:paraId="1018B335" w14:textId="77777777" w:rsidR="00485B06" w:rsidRDefault="00000000">
            <w:pPr>
              <w:pStyle w:val="Compact"/>
            </w:pPr>
            <w:r>
              <w:t>Timing</w:t>
            </w:r>
          </w:p>
        </w:tc>
      </w:tr>
      <w:tr w:rsidR="00485B06" w14:paraId="70662EAA" w14:textId="77777777">
        <w:tc>
          <w:tcPr>
            <w:tcW w:w="0" w:type="auto"/>
          </w:tcPr>
          <w:p w14:paraId="70076588" w14:textId="77777777" w:rsidR="00485B06" w:rsidRDefault="00000000">
            <w:pPr>
              <w:pStyle w:val="Compact"/>
            </w:pPr>
            <w:r>
              <w:t>A. Theoretical Foundation</w:t>
            </w:r>
          </w:p>
        </w:tc>
        <w:tc>
          <w:tcPr>
            <w:tcW w:w="0" w:type="auto"/>
          </w:tcPr>
          <w:p w14:paraId="66CF0B43" w14:textId="77777777" w:rsidR="00485B06" w:rsidRDefault="00000000">
            <w:pPr>
              <w:pStyle w:val="Compact"/>
            </w:pPr>
            <w:r>
              <w:t>The framework’s claims are defensible and novel</w:t>
            </w:r>
          </w:p>
        </w:tc>
        <w:tc>
          <w:tcPr>
            <w:tcW w:w="0" w:type="auto"/>
          </w:tcPr>
          <w:p w14:paraId="2FF00918" w14:textId="77777777" w:rsidR="00485B06" w:rsidRDefault="00000000">
            <w:pPr>
              <w:pStyle w:val="Compact"/>
            </w:pPr>
            <w:r>
              <w:t>Methodology paper; theoretical review</w:t>
            </w:r>
          </w:p>
        </w:tc>
        <w:tc>
          <w:tcPr>
            <w:tcW w:w="0" w:type="auto"/>
          </w:tcPr>
          <w:p w14:paraId="2699ABF2" w14:textId="77777777" w:rsidR="00485B06" w:rsidRDefault="00000000">
            <w:pPr>
              <w:pStyle w:val="Compact"/>
            </w:pPr>
            <w:r>
              <w:t>Year 1</w:t>
            </w:r>
          </w:p>
        </w:tc>
      </w:tr>
      <w:tr w:rsidR="00485B06" w14:paraId="21B4CD46" w14:textId="77777777">
        <w:tc>
          <w:tcPr>
            <w:tcW w:w="0" w:type="auto"/>
          </w:tcPr>
          <w:p w14:paraId="1B19221A" w14:textId="77777777" w:rsidR="00485B06" w:rsidRDefault="00000000">
            <w:pPr>
              <w:pStyle w:val="Compact"/>
            </w:pPr>
            <w:r>
              <w:t>B. Measurement Infrastructure</w:t>
            </w:r>
          </w:p>
        </w:tc>
        <w:tc>
          <w:tcPr>
            <w:tcW w:w="0" w:type="auto"/>
          </w:tcPr>
          <w:p w14:paraId="2E3DF9F7" w14:textId="77777777" w:rsidR="00485B06" w:rsidRDefault="00000000">
            <w:pPr>
              <w:pStyle w:val="Compact"/>
            </w:pPr>
            <w:r>
              <w:t>Scores are reproducible</w:t>
            </w:r>
          </w:p>
        </w:tc>
        <w:tc>
          <w:tcPr>
            <w:tcW w:w="0" w:type="auto"/>
          </w:tcPr>
          <w:p w14:paraId="1AAB4D41" w14:textId="77777777" w:rsidR="00485B06" w:rsidRDefault="00000000">
            <w:pPr>
              <w:pStyle w:val="Compact"/>
            </w:pPr>
            <w:r>
              <w:t>Indicator library v1; codebook; scoring algorithm</w:t>
            </w:r>
          </w:p>
        </w:tc>
        <w:tc>
          <w:tcPr>
            <w:tcW w:w="0" w:type="auto"/>
          </w:tcPr>
          <w:p w14:paraId="38BF65E5" w14:textId="77777777" w:rsidR="00485B06" w:rsidRDefault="00000000">
            <w:pPr>
              <w:pStyle w:val="Compact"/>
            </w:pPr>
            <w:r>
              <w:t>Year 1</w:t>
            </w:r>
          </w:p>
        </w:tc>
      </w:tr>
      <w:tr w:rsidR="00485B06" w14:paraId="42200BD8" w14:textId="77777777">
        <w:tc>
          <w:tcPr>
            <w:tcW w:w="0" w:type="auto"/>
          </w:tcPr>
          <w:p w14:paraId="3033AA0E" w14:textId="77777777" w:rsidR="00485B06" w:rsidRDefault="00000000">
            <w:pPr>
              <w:pStyle w:val="Compact"/>
            </w:pPr>
            <w:r>
              <w:t>C. Evidence Infrastructure</w:t>
            </w:r>
          </w:p>
        </w:tc>
        <w:tc>
          <w:tcPr>
            <w:tcW w:w="0" w:type="auto"/>
          </w:tcPr>
          <w:p w14:paraId="490FBAB2" w14:textId="77777777" w:rsidR="00485B06" w:rsidRDefault="00000000">
            <w:pPr>
              <w:pStyle w:val="Compact"/>
            </w:pPr>
            <w:r>
              <w:t>Scores are auditable</w:t>
            </w:r>
          </w:p>
        </w:tc>
        <w:tc>
          <w:tcPr>
            <w:tcW w:w="0" w:type="auto"/>
          </w:tcPr>
          <w:p w14:paraId="7B7A0FCF" w14:textId="77777777" w:rsidR="00485B06" w:rsidRDefault="00000000">
            <w:pPr>
              <w:pStyle w:val="Compact"/>
            </w:pPr>
            <w:r>
              <w:t>Citation chain standard; replication package; open data</w:t>
            </w:r>
          </w:p>
        </w:tc>
        <w:tc>
          <w:tcPr>
            <w:tcW w:w="0" w:type="auto"/>
          </w:tcPr>
          <w:p w14:paraId="14BD6D8A" w14:textId="77777777" w:rsidR="00485B06" w:rsidRDefault="00000000">
            <w:pPr>
              <w:pStyle w:val="Compact"/>
            </w:pPr>
            <w:r>
              <w:t>Year 1–2</w:t>
            </w:r>
          </w:p>
        </w:tc>
      </w:tr>
      <w:tr w:rsidR="00485B06" w14:paraId="0EE9A3FC" w14:textId="77777777">
        <w:tc>
          <w:tcPr>
            <w:tcW w:w="0" w:type="auto"/>
          </w:tcPr>
          <w:p w14:paraId="62732699" w14:textId="77777777" w:rsidR="00485B06" w:rsidRDefault="00000000">
            <w:pPr>
              <w:pStyle w:val="Compact"/>
            </w:pPr>
            <w:r>
              <w:t>D. Validation Architecture</w:t>
            </w:r>
          </w:p>
        </w:tc>
        <w:tc>
          <w:tcPr>
            <w:tcW w:w="0" w:type="auto"/>
          </w:tcPr>
          <w:p w14:paraId="769CA035" w14:textId="77777777" w:rsidR="00485B06" w:rsidRDefault="00000000">
            <w:pPr>
              <w:pStyle w:val="Compact"/>
            </w:pPr>
            <w:r>
              <w:t>The framework survives scrutiny</w:t>
            </w:r>
          </w:p>
        </w:tc>
        <w:tc>
          <w:tcPr>
            <w:tcW w:w="0" w:type="auto"/>
          </w:tcPr>
          <w:p w14:paraId="71BB0F48" w14:textId="77777777" w:rsidR="00485B06" w:rsidRDefault="00000000">
            <w:pPr>
              <w:pStyle w:val="Compact"/>
            </w:pPr>
            <w:r>
              <w:t>Four validation studies; pre-registration; peer review</w:t>
            </w:r>
          </w:p>
        </w:tc>
        <w:tc>
          <w:tcPr>
            <w:tcW w:w="0" w:type="auto"/>
          </w:tcPr>
          <w:p w14:paraId="30462AED" w14:textId="77777777" w:rsidR="00485B06" w:rsidRDefault="00000000">
            <w:pPr>
              <w:pStyle w:val="Compact"/>
            </w:pPr>
            <w:r>
              <w:t>Year 2–4</w:t>
            </w:r>
          </w:p>
        </w:tc>
      </w:tr>
      <w:tr w:rsidR="00485B06" w14:paraId="27CB6324" w14:textId="77777777">
        <w:tc>
          <w:tcPr>
            <w:tcW w:w="0" w:type="auto"/>
          </w:tcPr>
          <w:p w14:paraId="3444C4E0" w14:textId="77777777" w:rsidR="00485B06" w:rsidRDefault="00000000">
            <w:pPr>
              <w:pStyle w:val="Compact"/>
            </w:pPr>
            <w:r>
              <w:t>E. Institutional Provenance</w:t>
            </w:r>
          </w:p>
        </w:tc>
        <w:tc>
          <w:tcPr>
            <w:tcW w:w="0" w:type="auto"/>
          </w:tcPr>
          <w:p w14:paraId="4D41A668" w14:textId="77777777" w:rsidR="00485B06" w:rsidRDefault="00000000">
            <w:pPr>
              <w:pStyle w:val="Compact"/>
            </w:pPr>
            <w:r>
              <w:t>The framework has a home</w:t>
            </w:r>
          </w:p>
        </w:tc>
        <w:tc>
          <w:tcPr>
            <w:tcW w:w="0" w:type="auto"/>
          </w:tcPr>
          <w:p w14:paraId="6A99C63C" w14:textId="77777777" w:rsidR="00485B06" w:rsidRDefault="00000000">
            <w:pPr>
              <w:pStyle w:val="Compact"/>
            </w:pPr>
            <w:r>
              <w:t xml:space="preserve">Academic MOU; advisory board; ethics charter; </w:t>
            </w:r>
            <w:r>
              <w:lastRenderedPageBreak/>
              <w:t>stewardship plan</w:t>
            </w:r>
          </w:p>
        </w:tc>
        <w:tc>
          <w:tcPr>
            <w:tcW w:w="0" w:type="auto"/>
          </w:tcPr>
          <w:p w14:paraId="2856DF90" w14:textId="77777777" w:rsidR="00485B06" w:rsidRDefault="00000000">
            <w:pPr>
              <w:pStyle w:val="Compact"/>
            </w:pPr>
            <w:r>
              <w:lastRenderedPageBreak/>
              <w:t>Year 1–3</w:t>
            </w:r>
          </w:p>
        </w:tc>
      </w:tr>
    </w:tbl>
    <w:p w14:paraId="40A72F06" w14:textId="77777777" w:rsidR="00485B06" w:rsidRDefault="009A4A2B">
      <w:r>
        <w:rPr>
          <w:noProof/>
        </w:rPr>
        <w:pict w14:anchorId="2F72AAD5">
          <v:rect id="_x0000_i1032" alt="" style="width:451.3pt;height:.05pt;mso-width-percent:0;mso-height-percent:0;mso-width-percent:0;mso-height-percent:0" o:hralign="center" o:hrstd="t" o:hr="t"/>
        </w:pict>
      </w:r>
    </w:p>
    <w:p w14:paraId="68C3D5F0" w14:textId="77777777" w:rsidR="00485B06" w:rsidRDefault="00000000">
      <w:pPr>
        <w:pStyle w:val="Heading2"/>
      </w:pPr>
      <w:bookmarkStart w:id="24" w:name="Xb246b5a1829579eb5c2f5f809eaace180ae29b9"/>
      <w:bookmarkStart w:id="25" w:name="_Toc227923341"/>
      <w:bookmarkEnd w:id="10"/>
      <w:bookmarkEnd w:id="22"/>
      <w:r>
        <w:t>4. Part II — Best-Practice Conduct of a RAARICLE™ Diagnosis</w:t>
      </w:r>
      <w:bookmarkEnd w:id="25"/>
    </w:p>
    <w:p w14:paraId="3BF35372" w14:textId="77777777" w:rsidR="00485B06" w:rsidRDefault="00000000">
      <w:pPr>
        <w:pStyle w:val="FirstParagraph"/>
      </w:pPr>
      <w:r>
        <w:t>A diagnostic is a research product. It should be conducted with the same discipline applied to any empirical study: scoped, pre-registered where possible, dual-coded, quality-reviewed, and published with its methods appendix.</w:t>
      </w:r>
    </w:p>
    <w:p w14:paraId="00D50E8A" w14:textId="77777777" w:rsidR="00485B06" w:rsidRDefault="00000000">
      <w:pPr>
        <w:pStyle w:val="BodyText"/>
      </w:pPr>
      <w:r>
        <w:t xml:space="preserve">The ten-phase protocol below generalises the existing </w:t>
      </w:r>
      <w:r>
        <w:rPr>
          <w:rStyle w:val="VerbatimChar"/>
        </w:rPr>
        <w:t>RAARICLE_ANALYSIS_INSTRUCTIONS.md</w:t>
      </w:r>
      <w:r>
        <w:t xml:space="preserve"> workflow and raises it to a standard that will survive hostile review.</w:t>
      </w:r>
    </w:p>
    <w:p w14:paraId="089B7A9C" w14:textId="77777777" w:rsidR="00485B06" w:rsidRDefault="00000000">
      <w:pPr>
        <w:pStyle w:val="Heading3"/>
      </w:pPr>
      <w:bookmarkStart w:id="26" w:name="Xa545a42fce31e8651b79f5e103bbd3385b56b80"/>
      <w:bookmarkStart w:id="27" w:name="_Toc227923342"/>
      <w:r>
        <w:t>Phase 0 — Commissioning and Terms of Reference</w:t>
      </w:r>
      <w:bookmarkEnd w:id="27"/>
    </w:p>
    <w:p w14:paraId="4FBB682C" w14:textId="77777777" w:rsidR="00485B06" w:rsidRDefault="00000000">
      <w:pPr>
        <w:pStyle w:val="FirstParagraph"/>
      </w:pPr>
      <w:r>
        <w:t>Before a single data point is collected, fix in writing: the function to be diagnosed, the jurisdiction, the time window (point-in-time or longitudinal), the funder and any conditions on the funder’s role, the analyst team, conflicts of interest disclosed, the intended publication, and the institution’s right of reply. A diagnostic without a written terms of reference invites disputes later about scope, ownership and findings.</w:t>
      </w:r>
    </w:p>
    <w:p w14:paraId="6398397C" w14:textId="77777777" w:rsidR="00485B06" w:rsidRDefault="00000000">
      <w:pPr>
        <w:pStyle w:val="Heading3"/>
      </w:pPr>
      <w:bookmarkStart w:id="28" w:name="phase-1-scoping"/>
      <w:bookmarkStart w:id="29" w:name="_Toc227923343"/>
      <w:bookmarkEnd w:id="26"/>
      <w:r>
        <w:t>Phase 1 — Scoping</w:t>
      </w:r>
      <w:bookmarkEnd w:id="29"/>
    </w:p>
    <w:p w14:paraId="61E235F1" w14:textId="77777777" w:rsidR="00485B06" w:rsidRDefault="00000000">
      <w:pPr>
        <w:pStyle w:val="FirstParagraph"/>
      </w:pPr>
      <w:r>
        <w:t>Define the boundary of the function. Is “water services” the whole value chain (source, treatment, distribution, billing, wastewater) or a slice (potable water only)? Is “education” basic education only, or does it include ECD, TVET and higher education? Is the diagnostic a single entity (municipality X’s water service) or a function across entities (water services across all metros in Gauteng)? Ambiguity at this stage compounds throughout the diagnostic.</w:t>
      </w:r>
    </w:p>
    <w:p w14:paraId="3E3C4DF8" w14:textId="77777777" w:rsidR="00485B06" w:rsidRDefault="00000000">
      <w:pPr>
        <w:pStyle w:val="Heading3"/>
      </w:pPr>
      <w:bookmarkStart w:id="30" w:name="phase-2-institutional-mapping"/>
      <w:bookmarkStart w:id="31" w:name="_Toc227923344"/>
      <w:bookmarkEnd w:id="28"/>
      <w:r>
        <w:t>Phase 2 — Institutional Mapping</w:t>
      </w:r>
      <w:bookmarkEnd w:id="31"/>
    </w:p>
    <w:p w14:paraId="2A8800C1" w14:textId="77777777" w:rsidR="00485B06" w:rsidRDefault="00000000">
      <w:pPr>
        <w:pStyle w:val="FirstParagraph"/>
      </w:pPr>
      <w:r>
        <w:t>Construct the value chain and the institutional chain. Use the Step 3.1 prompt pattern from the existing analysis instructions. Outputs: a diagram showing the flow from policy to citizen; a list of every institution with its legal basis, role, and point of interface with other institutions; a count of handoff points; a flag for every identified conflation (regulator = provider), concurrency (national + provincial), or fragmentation (more than three entities in the chain).</w:t>
      </w:r>
    </w:p>
    <w:p w14:paraId="3E91C7E7" w14:textId="77777777" w:rsidR="00485B06" w:rsidRDefault="00000000">
      <w:pPr>
        <w:pStyle w:val="BodyText"/>
      </w:pPr>
      <w:r>
        <w:t>The mapping must be produced before scoring begins. Analysts who score before they map tend to project the element framework onto an oversimplified institutional picture.</w:t>
      </w:r>
    </w:p>
    <w:p w14:paraId="79AEAFF2" w14:textId="77777777" w:rsidR="00485B06" w:rsidRDefault="00000000">
      <w:pPr>
        <w:pStyle w:val="Heading3"/>
      </w:pPr>
      <w:bookmarkStart w:id="32" w:name="phase-3-evidence-collection"/>
      <w:bookmarkStart w:id="33" w:name="_Toc227923345"/>
      <w:bookmarkEnd w:id="30"/>
      <w:r>
        <w:t>Phase 3 — Evidence Collection</w:t>
      </w:r>
      <w:bookmarkEnd w:id="33"/>
    </w:p>
    <w:p w14:paraId="3DA0DE9C" w14:textId="77777777" w:rsidR="00485B06" w:rsidRDefault="00000000">
      <w:pPr>
        <w:pStyle w:val="FirstParagraph"/>
      </w:pPr>
      <w:r>
        <w:t xml:space="preserve">For each indicator in the codebook, collect the source documents, note the version and access date, and extract the specific passage that answers the indicator question. This is a librarianship phase, not an analytical one. Accept only primary sources (legislation, audit reports, annual reports, official dashboards, court judgements) or reputable secondary </w:t>
      </w:r>
      <w:r>
        <w:lastRenderedPageBreak/>
        <w:t>sources (peer-reviewed studies, Parliamentary Monitoring Group records, independent statutory body reports). Exclude opinion pieces, partisan briefings, and undated material.</w:t>
      </w:r>
    </w:p>
    <w:p w14:paraId="5F88DEB6" w14:textId="77777777" w:rsidR="00485B06" w:rsidRDefault="00000000">
      <w:pPr>
        <w:pStyle w:val="BodyText"/>
      </w:pPr>
      <w:r>
        <w:t>At this phase the analyst assembles the citation chain file that will accompany the published diagnostic.</w:t>
      </w:r>
    </w:p>
    <w:p w14:paraId="20D4D65E" w14:textId="77777777" w:rsidR="00485B06" w:rsidRDefault="00000000">
      <w:pPr>
        <w:pStyle w:val="Heading3"/>
      </w:pPr>
      <w:bookmarkStart w:id="34" w:name="phase-4-dual-analyst-blind-scoring"/>
      <w:bookmarkStart w:id="35" w:name="_Toc227923346"/>
      <w:bookmarkEnd w:id="32"/>
      <w:r>
        <w:t>Phase 4 — Dual-Analyst Blind Scoring</w:t>
      </w:r>
      <w:bookmarkEnd w:id="35"/>
    </w:p>
    <w:p w14:paraId="20309D5B" w14:textId="77777777" w:rsidR="00485B06" w:rsidRDefault="00000000">
      <w:pPr>
        <w:pStyle w:val="FirstParagraph"/>
      </w:pPr>
      <w:r>
        <w:t>Two analysts, working independently and without conversation, each apply the codebook to the collected evidence and produce element scores. This is the single most important step for credibility; without it, inter-rater reliability cannot be claimed.</w:t>
      </w:r>
    </w:p>
    <w:p w14:paraId="0411714C" w14:textId="77777777" w:rsidR="00485B06" w:rsidRDefault="00000000">
      <w:pPr>
        <w:pStyle w:val="BodyText"/>
      </w:pPr>
      <w:r>
        <w:t>Constraints: analysts must not see each other’s scores or notes; analysts must log every indicator value with evidence reference; analysts must log any instance where the codebook was unclear (codebook bugs are a feature of this phase).</w:t>
      </w:r>
    </w:p>
    <w:p w14:paraId="2C341DCB" w14:textId="77777777" w:rsidR="00485B06" w:rsidRDefault="00000000">
      <w:pPr>
        <w:pStyle w:val="Heading3"/>
      </w:pPr>
      <w:bookmarkStart w:id="36" w:name="X7b8b07046936cf89d76583335ec58fc3d72c931"/>
      <w:bookmarkStart w:id="37" w:name="_Toc227923347"/>
      <w:bookmarkEnd w:id="34"/>
      <w:r>
        <w:t>Phase 5 — Adjudication and Reliability Measurement</w:t>
      </w:r>
      <w:bookmarkEnd w:id="37"/>
    </w:p>
    <w:p w14:paraId="6667BC86" w14:textId="77777777" w:rsidR="00485B06" w:rsidRDefault="00000000">
      <w:pPr>
        <w:pStyle w:val="FirstParagraph"/>
      </w:pPr>
      <w:r>
        <w:t>Compare the two score sets. Compute inter-rater reliability (Cohen’s kappa or ICC). For any element where the two analysts disagree by more than 0.5 on the 1–5 scale, hold a structured adjudication: each analyst presents their rationale, a third analyst (or the methodology lead) decides, and the decision is documented. Codebook ambiguities identified in Phase 4 are referred to the codebook maintainer.</w:t>
      </w:r>
    </w:p>
    <w:p w14:paraId="34B86155" w14:textId="77777777" w:rsidR="00485B06" w:rsidRDefault="00000000">
      <w:pPr>
        <w:pStyle w:val="BodyText"/>
      </w:pPr>
      <w:r>
        <w:t>The final element scores are the adjudicated scores. The inter-rater reliability statistic and the list of adjudications are reported in the methods appendix of the diagnostic.</w:t>
      </w:r>
    </w:p>
    <w:p w14:paraId="207ACF00" w14:textId="77777777" w:rsidR="00485B06" w:rsidRDefault="00000000">
      <w:pPr>
        <w:pStyle w:val="Heading3"/>
      </w:pPr>
      <w:bookmarkStart w:id="38" w:name="phase-6-root-cause-classification"/>
      <w:bookmarkStart w:id="39" w:name="_Toc227923348"/>
      <w:bookmarkEnd w:id="36"/>
      <w:r>
        <w:t>Phase 6 — Root-Cause Classification</w:t>
      </w:r>
      <w:bookmarkEnd w:id="39"/>
    </w:p>
    <w:p w14:paraId="2263F3AA" w14:textId="77777777" w:rsidR="00485B06" w:rsidRDefault="00000000">
      <w:pPr>
        <w:pStyle w:val="FirstParagraph"/>
      </w:pPr>
      <w:r>
        <w:t>Using the adjudicated scores, apply the five-pattern decision tree (fragmentation, misalignment, absence, conflation, capture) to classify the dominant structural failure mode. Where more than one pattern is present, name each and state their relative priority.</w:t>
      </w:r>
    </w:p>
    <w:p w14:paraId="6F87913A" w14:textId="77777777" w:rsidR="00485B06" w:rsidRDefault="00000000">
      <w:pPr>
        <w:pStyle w:val="BodyText"/>
      </w:pPr>
      <w:r>
        <w:t>This phase forces synthesis. An analyst who cannot name the root cause has not completed the diagnosis — they have produced a table.</w:t>
      </w:r>
    </w:p>
    <w:p w14:paraId="3EDB616C" w14:textId="77777777" w:rsidR="00485B06" w:rsidRDefault="00000000">
      <w:pPr>
        <w:pStyle w:val="Heading3"/>
      </w:pPr>
      <w:bookmarkStart w:id="40" w:name="phase-7-internal-quality-review"/>
      <w:bookmarkStart w:id="41" w:name="_Toc227923349"/>
      <w:bookmarkEnd w:id="38"/>
      <w:r>
        <w:t>Phase 7 — Internal Quality Review</w:t>
      </w:r>
      <w:bookmarkEnd w:id="41"/>
    </w:p>
    <w:p w14:paraId="01352FC0" w14:textId="77777777" w:rsidR="00485B06" w:rsidRDefault="00000000">
      <w:pPr>
        <w:pStyle w:val="FirstParagraph"/>
      </w:pPr>
      <w:r>
        <w:t>Before any finding leaves the analytical team, a reviewer independent of the scoring analysts applies the quality checklist from Section 6 of the analysis instructions, augmented with the following:</w:t>
      </w:r>
    </w:p>
    <w:p w14:paraId="70757F1C" w14:textId="77777777" w:rsidR="00485B06" w:rsidRDefault="00000000">
      <w:pPr>
        <w:pStyle w:val="Compact"/>
        <w:numPr>
          <w:ilvl w:val="0"/>
          <w:numId w:val="9"/>
        </w:numPr>
      </w:pPr>
      <w:r>
        <w:t>Has every score been cited?</w:t>
      </w:r>
    </w:p>
    <w:p w14:paraId="669A5560" w14:textId="77777777" w:rsidR="00485B06" w:rsidRDefault="00000000">
      <w:pPr>
        <w:pStyle w:val="Compact"/>
        <w:numPr>
          <w:ilvl w:val="0"/>
          <w:numId w:val="9"/>
        </w:numPr>
      </w:pPr>
      <w:r>
        <w:t>Has every citation been verified as accessible?</w:t>
      </w:r>
    </w:p>
    <w:p w14:paraId="49CA2103" w14:textId="77777777" w:rsidR="00485B06" w:rsidRDefault="00000000">
      <w:pPr>
        <w:pStyle w:val="Compact"/>
        <w:numPr>
          <w:ilvl w:val="0"/>
          <w:numId w:val="9"/>
        </w:numPr>
      </w:pPr>
      <w:r>
        <w:t>Has the inter-rater reliability statistic been reported?</w:t>
      </w:r>
    </w:p>
    <w:p w14:paraId="6A614176" w14:textId="77777777" w:rsidR="00485B06" w:rsidRDefault="00000000">
      <w:pPr>
        <w:pStyle w:val="Compact"/>
        <w:numPr>
          <w:ilvl w:val="0"/>
          <w:numId w:val="9"/>
        </w:numPr>
      </w:pPr>
      <w:r>
        <w:t>Has the manual-override log been inspected?</w:t>
      </w:r>
    </w:p>
    <w:p w14:paraId="30192FBF" w14:textId="77777777" w:rsidR="00485B06" w:rsidRDefault="00000000">
      <w:pPr>
        <w:pStyle w:val="Compact"/>
        <w:numPr>
          <w:ilvl w:val="0"/>
          <w:numId w:val="9"/>
        </w:numPr>
      </w:pPr>
      <w:r>
        <w:t>Has the root-cause classification been checked against the five-pattern decision tree?</w:t>
      </w:r>
    </w:p>
    <w:p w14:paraId="51499118" w14:textId="77777777" w:rsidR="00485B06" w:rsidRDefault="00000000">
      <w:pPr>
        <w:pStyle w:val="Compact"/>
        <w:numPr>
          <w:ilvl w:val="0"/>
          <w:numId w:val="9"/>
        </w:numPr>
      </w:pPr>
      <w:r>
        <w:lastRenderedPageBreak/>
        <w:t>Has the constitutional feasibility of the proposed reform been assessed by a person with legal training?</w:t>
      </w:r>
    </w:p>
    <w:p w14:paraId="0E503657" w14:textId="77777777" w:rsidR="00485B06" w:rsidRDefault="00000000">
      <w:pPr>
        <w:pStyle w:val="FirstParagraph"/>
      </w:pPr>
      <w:r>
        <w:t>The review produces either a sign-off or a list of remediation items. No diagnostic is published without review sign-off.</w:t>
      </w:r>
    </w:p>
    <w:p w14:paraId="36415B4F" w14:textId="77777777" w:rsidR="00485B06" w:rsidRDefault="00000000">
      <w:pPr>
        <w:pStyle w:val="Heading3"/>
      </w:pPr>
      <w:bookmarkStart w:id="42" w:name="phase-8-reform-blueprint-design"/>
      <w:bookmarkStart w:id="43" w:name="_Toc227923350"/>
      <w:bookmarkEnd w:id="40"/>
      <w:r>
        <w:t>Phase 8 — Reform Blueprint Design</w:t>
      </w:r>
      <w:bookmarkEnd w:id="43"/>
    </w:p>
    <w:p w14:paraId="0458A5EB" w14:textId="77777777" w:rsidR="00485B06" w:rsidRDefault="00000000">
      <w:pPr>
        <w:pStyle w:val="FirstParagraph"/>
      </w:pPr>
      <w:r>
        <w:t>Only after the diagnosis is quality-reviewed does the team design the reform blueprint. Phase-separating diagnosis from prescription prevents the common failure mode in which an analyst reaches for a preferred reform and then selects scores that justify it.</w:t>
      </w:r>
    </w:p>
    <w:p w14:paraId="57E1CF08" w14:textId="77777777" w:rsidR="00485B06" w:rsidRDefault="00000000">
      <w:pPr>
        <w:pStyle w:val="BodyText"/>
      </w:pPr>
      <w:r>
        <w:t>The blueprint applies the Step 3.4 prompt pattern: element-by-element current and proposed state, binding design rules, anti-capture architecture across five vectors, three-phase implementation pathway, constitutional and legislative requirements. Every reform recommendation is checked against all eight elements to confirm co-location — a reform that fixes Authority without fixing Enforcement is not a reform blueprint.</w:t>
      </w:r>
    </w:p>
    <w:p w14:paraId="0CD05B9F" w14:textId="77777777" w:rsidR="00485B06" w:rsidRDefault="00000000">
      <w:pPr>
        <w:pStyle w:val="Heading3"/>
      </w:pPr>
      <w:bookmarkStart w:id="44" w:name="Xc5067b51cd88fd9db6ed9e0e120ec0a078b61d6"/>
      <w:bookmarkStart w:id="45" w:name="_Toc227923351"/>
      <w:bookmarkEnd w:id="42"/>
      <w:r>
        <w:t>Phase 9 — Stakeholder Validation and Right of Reply</w:t>
      </w:r>
      <w:bookmarkEnd w:id="45"/>
    </w:p>
    <w:p w14:paraId="3057A3F3" w14:textId="77777777" w:rsidR="00485B06" w:rsidRDefault="00000000">
      <w:pPr>
        <w:pStyle w:val="FirstParagraph"/>
      </w:pPr>
      <w:r>
        <w:t>Before public release, share the draft diagnostic and blueprint with the diagnosed institution. Accept corrections of fact; do not accept pressure to change findings. Publish a summary of the institution’s response and the team’s adjudication. This is the single most effective mechanism for defusing the objection that external analysts have misunderstood the institutional context.</w:t>
      </w:r>
    </w:p>
    <w:p w14:paraId="2D397C2B" w14:textId="77777777" w:rsidR="00485B06" w:rsidRDefault="00000000">
      <w:pPr>
        <w:pStyle w:val="BodyText"/>
      </w:pPr>
      <w:r>
        <w:t>Where the institution declines to engage, record that fact in the published methods appendix. Non-response is not a veto.</w:t>
      </w:r>
    </w:p>
    <w:p w14:paraId="115D3DC3" w14:textId="77777777" w:rsidR="00485B06" w:rsidRDefault="00000000">
      <w:pPr>
        <w:pStyle w:val="Heading3"/>
      </w:pPr>
      <w:bookmarkStart w:id="46" w:name="X066b9f469c4a1c26295e15a0f7f04e9ae800ec8"/>
      <w:bookmarkStart w:id="47" w:name="_Toc227923352"/>
      <w:bookmarkEnd w:id="44"/>
      <w:r>
        <w:t>Phase 10 — Publication and Longitudinal Tracking</w:t>
      </w:r>
      <w:bookmarkEnd w:id="47"/>
    </w:p>
    <w:p w14:paraId="411727E6" w14:textId="77777777" w:rsidR="00485B06" w:rsidRDefault="00000000">
      <w:pPr>
        <w:pStyle w:val="FirstParagraph"/>
      </w:pPr>
      <w:r>
        <w:t>Publish the diagnostic with: executive summary, full diagnostic, reform blueprint, anti-capture architecture, implementation pathway, methods appendix (including the inter-rater reliability statistic, adjudication log, and manual-override log), citation chain file, and replication package link.</w:t>
      </w:r>
    </w:p>
    <w:p w14:paraId="30627607" w14:textId="77777777" w:rsidR="00485B06" w:rsidRDefault="00000000">
      <w:pPr>
        <w:pStyle w:val="BodyText"/>
      </w:pPr>
      <w:r>
        <w:t>Commit to re-scoring on a fixed cadence (annually, aligned to the audit cycle where applicable) and to publishing the re-scores as a time series. Longitudinal tracking is where the framework begins to accumulate unique evidentiary value that no one-off study can match.</w:t>
      </w:r>
    </w:p>
    <w:p w14:paraId="4C56AB5B" w14:textId="77777777" w:rsidR="00485B06" w:rsidRDefault="00000000">
      <w:pPr>
        <w:pStyle w:val="Heading3"/>
      </w:pPr>
      <w:bookmarkStart w:id="48" w:name="summary-of-the-ten-phase-protocol"/>
      <w:bookmarkStart w:id="49" w:name="_Toc227923353"/>
      <w:bookmarkEnd w:id="46"/>
      <w:r>
        <w:t>Summary of the Ten-Phase Protocol</w:t>
      </w:r>
      <w:bookmarkEnd w:id="49"/>
    </w:p>
    <w:tbl>
      <w:tblPr>
        <w:tblStyle w:val="Table"/>
        <w:tblW w:w="5000" w:type="pct"/>
        <w:tblLook w:val="0020" w:firstRow="1" w:lastRow="0" w:firstColumn="0" w:lastColumn="0" w:noHBand="0" w:noVBand="0"/>
      </w:tblPr>
      <w:tblGrid>
        <w:gridCol w:w="2683"/>
        <w:gridCol w:w="3523"/>
        <w:gridCol w:w="3370"/>
      </w:tblGrid>
      <w:tr w:rsidR="00485B06" w14:paraId="2395137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3F8A078" w14:textId="77777777" w:rsidR="00485B06" w:rsidRDefault="00000000">
            <w:pPr>
              <w:pStyle w:val="Compact"/>
            </w:pPr>
            <w:r>
              <w:t>Phase</w:t>
            </w:r>
          </w:p>
        </w:tc>
        <w:tc>
          <w:tcPr>
            <w:tcW w:w="0" w:type="auto"/>
          </w:tcPr>
          <w:p w14:paraId="6430F056" w14:textId="77777777" w:rsidR="00485B06" w:rsidRDefault="00000000">
            <w:pPr>
              <w:pStyle w:val="Compact"/>
            </w:pPr>
            <w:r>
              <w:t>Purpose</w:t>
            </w:r>
          </w:p>
        </w:tc>
        <w:tc>
          <w:tcPr>
            <w:tcW w:w="0" w:type="auto"/>
          </w:tcPr>
          <w:p w14:paraId="4480FDCA" w14:textId="77777777" w:rsidR="00485B06" w:rsidRDefault="00000000">
            <w:pPr>
              <w:pStyle w:val="Compact"/>
            </w:pPr>
            <w:r>
              <w:t>Primary Output</w:t>
            </w:r>
          </w:p>
        </w:tc>
      </w:tr>
      <w:tr w:rsidR="00485B06" w14:paraId="012D2596" w14:textId="77777777">
        <w:tc>
          <w:tcPr>
            <w:tcW w:w="0" w:type="auto"/>
          </w:tcPr>
          <w:p w14:paraId="291870FB" w14:textId="77777777" w:rsidR="00485B06" w:rsidRDefault="00000000">
            <w:pPr>
              <w:pStyle w:val="Compact"/>
            </w:pPr>
            <w:r>
              <w:t>0. Commissioning</w:t>
            </w:r>
          </w:p>
        </w:tc>
        <w:tc>
          <w:tcPr>
            <w:tcW w:w="0" w:type="auto"/>
          </w:tcPr>
          <w:p w14:paraId="29B3223B" w14:textId="77777777" w:rsidR="00485B06" w:rsidRDefault="00000000">
            <w:pPr>
              <w:pStyle w:val="Compact"/>
            </w:pPr>
            <w:r>
              <w:t>Fix scope, funder, IP, ethics in writing</w:t>
            </w:r>
          </w:p>
        </w:tc>
        <w:tc>
          <w:tcPr>
            <w:tcW w:w="0" w:type="auto"/>
          </w:tcPr>
          <w:p w14:paraId="5834EB21" w14:textId="77777777" w:rsidR="00485B06" w:rsidRDefault="00000000">
            <w:pPr>
              <w:pStyle w:val="Compact"/>
            </w:pPr>
            <w:r>
              <w:t>Terms of reference</w:t>
            </w:r>
          </w:p>
        </w:tc>
      </w:tr>
      <w:tr w:rsidR="00485B06" w14:paraId="18AC7A2A" w14:textId="77777777">
        <w:tc>
          <w:tcPr>
            <w:tcW w:w="0" w:type="auto"/>
          </w:tcPr>
          <w:p w14:paraId="3C07A1BE" w14:textId="77777777" w:rsidR="00485B06" w:rsidRDefault="00000000">
            <w:pPr>
              <w:pStyle w:val="Compact"/>
            </w:pPr>
            <w:r>
              <w:t>1. Scoping</w:t>
            </w:r>
          </w:p>
        </w:tc>
        <w:tc>
          <w:tcPr>
            <w:tcW w:w="0" w:type="auto"/>
          </w:tcPr>
          <w:p w14:paraId="0BD4BCFC" w14:textId="77777777" w:rsidR="00485B06" w:rsidRDefault="00000000">
            <w:pPr>
              <w:pStyle w:val="Compact"/>
            </w:pPr>
            <w:r>
              <w:t>Define function boundary and time window</w:t>
            </w:r>
          </w:p>
        </w:tc>
        <w:tc>
          <w:tcPr>
            <w:tcW w:w="0" w:type="auto"/>
          </w:tcPr>
          <w:p w14:paraId="7B62CF02" w14:textId="77777777" w:rsidR="00485B06" w:rsidRDefault="00000000">
            <w:pPr>
              <w:pStyle w:val="Compact"/>
            </w:pPr>
            <w:r>
              <w:t>Scope memo</w:t>
            </w:r>
          </w:p>
        </w:tc>
      </w:tr>
      <w:tr w:rsidR="00485B06" w14:paraId="7300BAA9" w14:textId="77777777">
        <w:tc>
          <w:tcPr>
            <w:tcW w:w="0" w:type="auto"/>
          </w:tcPr>
          <w:p w14:paraId="2BD74918" w14:textId="77777777" w:rsidR="00485B06" w:rsidRDefault="00000000">
            <w:pPr>
              <w:pStyle w:val="Compact"/>
            </w:pPr>
            <w:r>
              <w:t>2. Institutional mapping</w:t>
            </w:r>
          </w:p>
        </w:tc>
        <w:tc>
          <w:tcPr>
            <w:tcW w:w="0" w:type="auto"/>
          </w:tcPr>
          <w:p w14:paraId="7D1BDB28" w14:textId="77777777" w:rsidR="00485B06" w:rsidRDefault="00000000">
            <w:pPr>
              <w:pStyle w:val="Compact"/>
            </w:pPr>
            <w:r>
              <w:t xml:space="preserve">Build value chain and </w:t>
            </w:r>
            <w:r>
              <w:lastRenderedPageBreak/>
              <w:t>institutional chain</w:t>
            </w:r>
          </w:p>
        </w:tc>
        <w:tc>
          <w:tcPr>
            <w:tcW w:w="0" w:type="auto"/>
          </w:tcPr>
          <w:p w14:paraId="30B38BA3" w14:textId="77777777" w:rsidR="00485B06" w:rsidRDefault="00000000">
            <w:pPr>
              <w:pStyle w:val="Compact"/>
            </w:pPr>
            <w:r>
              <w:lastRenderedPageBreak/>
              <w:t>Institutional map</w:t>
            </w:r>
          </w:p>
        </w:tc>
      </w:tr>
      <w:tr w:rsidR="00485B06" w14:paraId="7CE8A1E8" w14:textId="77777777">
        <w:tc>
          <w:tcPr>
            <w:tcW w:w="0" w:type="auto"/>
          </w:tcPr>
          <w:p w14:paraId="7E05EC69" w14:textId="77777777" w:rsidR="00485B06" w:rsidRDefault="00000000">
            <w:pPr>
              <w:pStyle w:val="Compact"/>
            </w:pPr>
            <w:r>
              <w:t>3. Evidence collection</w:t>
            </w:r>
          </w:p>
        </w:tc>
        <w:tc>
          <w:tcPr>
            <w:tcW w:w="0" w:type="auto"/>
          </w:tcPr>
          <w:p w14:paraId="444B847C" w14:textId="77777777" w:rsidR="00485B06" w:rsidRDefault="00000000">
            <w:pPr>
              <w:pStyle w:val="Compact"/>
            </w:pPr>
            <w:r>
              <w:t>Assemble citation chain</w:t>
            </w:r>
          </w:p>
        </w:tc>
        <w:tc>
          <w:tcPr>
            <w:tcW w:w="0" w:type="auto"/>
          </w:tcPr>
          <w:p w14:paraId="20266B21" w14:textId="77777777" w:rsidR="00485B06" w:rsidRDefault="00000000">
            <w:pPr>
              <w:pStyle w:val="Compact"/>
            </w:pPr>
            <w:r>
              <w:t>Evidence file</w:t>
            </w:r>
          </w:p>
        </w:tc>
      </w:tr>
      <w:tr w:rsidR="00485B06" w14:paraId="35055EC2" w14:textId="77777777">
        <w:tc>
          <w:tcPr>
            <w:tcW w:w="0" w:type="auto"/>
          </w:tcPr>
          <w:p w14:paraId="03984815" w14:textId="77777777" w:rsidR="00485B06" w:rsidRDefault="00000000">
            <w:pPr>
              <w:pStyle w:val="Compact"/>
            </w:pPr>
            <w:r>
              <w:t>4. Dual-analyst blind scoring</w:t>
            </w:r>
          </w:p>
        </w:tc>
        <w:tc>
          <w:tcPr>
            <w:tcW w:w="0" w:type="auto"/>
          </w:tcPr>
          <w:p w14:paraId="0411F86B" w14:textId="77777777" w:rsidR="00485B06" w:rsidRDefault="00000000">
            <w:pPr>
              <w:pStyle w:val="Compact"/>
            </w:pPr>
            <w:r>
              <w:t>Produce independent score sets</w:t>
            </w:r>
          </w:p>
        </w:tc>
        <w:tc>
          <w:tcPr>
            <w:tcW w:w="0" w:type="auto"/>
          </w:tcPr>
          <w:p w14:paraId="4073C97C" w14:textId="77777777" w:rsidR="00485B06" w:rsidRDefault="00000000">
            <w:pPr>
              <w:pStyle w:val="Compact"/>
            </w:pPr>
            <w:r>
              <w:t>Two score sheets</w:t>
            </w:r>
          </w:p>
        </w:tc>
      </w:tr>
      <w:tr w:rsidR="00485B06" w14:paraId="041B01F8" w14:textId="77777777">
        <w:tc>
          <w:tcPr>
            <w:tcW w:w="0" w:type="auto"/>
          </w:tcPr>
          <w:p w14:paraId="2A11019C" w14:textId="77777777" w:rsidR="00485B06" w:rsidRDefault="00000000">
            <w:pPr>
              <w:pStyle w:val="Compact"/>
            </w:pPr>
            <w:r>
              <w:t>5. Adjudication and reliability</w:t>
            </w:r>
          </w:p>
        </w:tc>
        <w:tc>
          <w:tcPr>
            <w:tcW w:w="0" w:type="auto"/>
          </w:tcPr>
          <w:p w14:paraId="69777BEF" w14:textId="77777777" w:rsidR="00485B06" w:rsidRDefault="00000000">
            <w:pPr>
              <w:pStyle w:val="Compact"/>
            </w:pPr>
            <w:r>
              <w:t>Compute IRR, resolve disagreements</w:t>
            </w:r>
          </w:p>
        </w:tc>
        <w:tc>
          <w:tcPr>
            <w:tcW w:w="0" w:type="auto"/>
          </w:tcPr>
          <w:p w14:paraId="27DA7DDB" w14:textId="77777777" w:rsidR="00485B06" w:rsidRDefault="00000000">
            <w:pPr>
              <w:pStyle w:val="Compact"/>
            </w:pPr>
            <w:r>
              <w:t>Adjudicated scores; IRR statistic</w:t>
            </w:r>
          </w:p>
        </w:tc>
      </w:tr>
      <w:tr w:rsidR="00485B06" w14:paraId="50D60B33" w14:textId="77777777">
        <w:tc>
          <w:tcPr>
            <w:tcW w:w="0" w:type="auto"/>
          </w:tcPr>
          <w:p w14:paraId="1B273E8B" w14:textId="77777777" w:rsidR="00485B06" w:rsidRDefault="00000000">
            <w:pPr>
              <w:pStyle w:val="Compact"/>
            </w:pPr>
            <w:r>
              <w:t>6. Root-cause classification</w:t>
            </w:r>
          </w:p>
        </w:tc>
        <w:tc>
          <w:tcPr>
            <w:tcW w:w="0" w:type="auto"/>
          </w:tcPr>
          <w:p w14:paraId="4B971DDB" w14:textId="77777777" w:rsidR="00485B06" w:rsidRDefault="00000000">
            <w:pPr>
              <w:pStyle w:val="Compact"/>
            </w:pPr>
            <w:r>
              <w:t>Name the failure pattern(s)</w:t>
            </w:r>
          </w:p>
        </w:tc>
        <w:tc>
          <w:tcPr>
            <w:tcW w:w="0" w:type="auto"/>
          </w:tcPr>
          <w:p w14:paraId="7F613FB5" w14:textId="77777777" w:rsidR="00485B06" w:rsidRDefault="00000000">
            <w:pPr>
              <w:pStyle w:val="Compact"/>
            </w:pPr>
            <w:r>
              <w:t>Diagnosis statement</w:t>
            </w:r>
          </w:p>
        </w:tc>
      </w:tr>
      <w:tr w:rsidR="00485B06" w14:paraId="67C62682" w14:textId="77777777">
        <w:tc>
          <w:tcPr>
            <w:tcW w:w="0" w:type="auto"/>
          </w:tcPr>
          <w:p w14:paraId="3E787486" w14:textId="77777777" w:rsidR="00485B06" w:rsidRDefault="00000000">
            <w:pPr>
              <w:pStyle w:val="Compact"/>
            </w:pPr>
            <w:r>
              <w:t>7. Internal quality review</w:t>
            </w:r>
          </w:p>
        </w:tc>
        <w:tc>
          <w:tcPr>
            <w:tcW w:w="0" w:type="auto"/>
          </w:tcPr>
          <w:p w14:paraId="2E1B2015" w14:textId="77777777" w:rsidR="00485B06" w:rsidRDefault="00000000">
            <w:pPr>
              <w:pStyle w:val="Compact"/>
            </w:pPr>
            <w:r>
              <w:t>Enforce standards before publication</w:t>
            </w:r>
          </w:p>
        </w:tc>
        <w:tc>
          <w:tcPr>
            <w:tcW w:w="0" w:type="auto"/>
          </w:tcPr>
          <w:p w14:paraId="61AA9294" w14:textId="77777777" w:rsidR="00485B06" w:rsidRDefault="00000000">
            <w:pPr>
              <w:pStyle w:val="Compact"/>
            </w:pPr>
            <w:r>
              <w:t>Review sign-off</w:t>
            </w:r>
          </w:p>
        </w:tc>
      </w:tr>
      <w:tr w:rsidR="00485B06" w14:paraId="4C48C331" w14:textId="77777777">
        <w:tc>
          <w:tcPr>
            <w:tcW w:w="0" w:type="auto"/>
          </w:tcPr>
          <w:p w14:paraId="37C034E6" w14:textId="77777777" w:rsidR="00485B06" w:rsidRDefault="00000000">
            <w:pPr>
              <w:pStyle w:val="Compact"/>
            </w:pPr>
            <w:r>
              <w:t>8. Reform blueprint</w:t>
            </w:r>
          </w:p>
        </w:tc>
        <w:tc>
          <w:tcPr>
            <w:tcW w:w="0" w:type="auto"/>
          </w:tcPr>
          <w:p w14:paraId="63BA3611" w14:textId="77777777" w:rsidR="00485B06" w:rsidRDefault="00000000">
            <w:pPr>
              <w:pStyle w:val="Compact"/>
            </w:pPr>
            <w:r>
              <w:t>Design co-located architecture</w:t>
            </w:r>
          </w:p>
        </w:tc>
        <w:tc>
          <w:tcPr>
            <w:tcW w:w="0" w:type="auto"/>
          </w:tcPr>
          <w:p w14:paraId="79B91432" w14:textId="77777777" w:rsidR="00485B06" w:rsidRDefault="00000000">
            <w:pPr>
              <w:pStyle w:val="Compact"/>
            </w:pPr>
            <w:r>
              <w:t>Blueprint document</w:t>
            </w:r>
          </w:p>
        </w:tc>
      </w:tr>
      <w:tr w:rsidR="00485B06" w14:paraId="41981080" w14:textId="77777777">
        <w:tc>
          <w:tcPr>
            <w:tcW w:w="0" w:type="auto"/>
          </w:tcPr>
          <w:p w14:paraId="1E750066" w14:textId="77777777" w:rsidR="00485B06" w:rsidRDefault="00000000">
            <w:pPr>
              <w:pStyle w:val="Compact"/>
            </w:pPr>
            <w:r>
              <w:t>9. Stakeholder validation</w:t>
            </w:r>
          </w:p>
        </w:tc>
        <w:tc>
          <w:tcPr>
            <w:tcW w:w="0" w:type="auto"/>
          </w:tcPr>
          <w:p w14:paraId="099D1B7B" w14:textId="77777777" w:rsidR="00485B06" w:rsidRDefault="00000000">
            <w:pPr>
              <w:pStyle w:val="Compact"/>
            </w:pPr>
            <w:r>
              <w:t>Right of reply and factual correction</w:t>
            </w:r>
          </w:p>
        </w:tc>
        <w:tc>
          <w:tcPr>
            <w:tcW w:w="0" w:type="auto"/>
          </w:tcPr>
          <w:p w14:paraId="6B33E9AA" w14:textId="77777777" w:rsidR="00485B06" w:rsidRDefault="00000000">
            <w:pPr>
              <w:pStyle w:val="Compact"/>
            </w:pPr>
            <w:r>
              <w:t>Institution response memo</w:t>
            </w:r>
          </w:p>
        </w:tc>
      </w:tr>
      <w:tr w:rsidR="00485B06" w14:paraId="4C784852" w14:textId="77777777">
        <w:tc>
          <w:tcPr>
            <w:tcW w:w="0" w:type="auto"/>
          </w:tcPr>
          <w:p w14:paraId="01BDCE01" w14:textId="77777777" w:rsidR="00485B06" w:rsidRDefault="00000000">
            <w:pPr>
              <w:pStyle w:val="Compact"/>
            </w:pPr>
            <w:r>
              <w:t>10. Publication and tracking</w:t>
            </w:r>
          </w:p>
        </w:tc>
        <w:tc>
          <w:tcPr>
            <w:tcW w:w="0" w:type="auto"/>
          </w:tcPr>
          <w:p w14:paraId="6994A51F" w14:textId="77777777" w:rsidR="00485B06" w:rsidRDefault="00000000">
            <w:pPr>
              <w:pStyle w:val="Compact"/>
            </w:pPr>
            <w:r>
              <w:t>Release and commit to re-scoring</w:t>
            </w:r>
          </w:p>
        </w:tc>
        <w:tc>
          <w:tcPr>
            <w:tcW w:w="0" w:type="auto"/>
          </w:tcPr>
          <w:p w14:paraId="068F8F47" w14:textId="77777777" w:rsidR="00485B06" w:rsidRDefault="00000000">
            <w:pPr>
              <w:pStyle w:val="Compact"/>
            </w:pPr>
            <w:r>
              <w:t>Published diagnostic + replication package</w:t>
            </w:r>
          </w:p>
        </w:tc>
      </w:tr>
    </w:tbl>
    <w:p w14:paraId="496D3E80" w14:textId="77777777" w:rsidR="00651F50" w:rsidRDefault="00651F50"/>
    <w:p w14:paraId="4644B39B" w14:textId="77777777" w:rsidR="00651F50" w:rsidRDefault="00651F50">
      <w:r>
        <w:br w:type="page"/>
      </w:r>
    </w:p>
    <w:p w14:paraId="3D7B4E1A" w14:textId="7F038CFD" w:rsidR="00485B06" w:rsidRDefault="009A4A2B">
      <w:r>
        <w:rPr>
          <w:noProof/>
        </w:rPr>
        <w:lastRenderedPageBreak/>
        <w:pict w14:anchorId="06F0C943">
          <v:rect id="_x0000_i1031" alt="" style="width:451.3pt;height:.05pt;mso-width-percent:0;mso-height-percent:0;mso-width-percent:0;mso-height-percent:0" o:hralign="center" o:hrstd="t" o:hr="t"/>
        </w:pict>
      </w:r>
    </w:p>
    <w:p w14:paraId="3E700CE5" w14:textId="77777777" w:rsidR="00485B06" w:rsidRDefault="00000000">
      <w:pPr>
        <w:pStyle w:val="Heading2"/>
      </w:pPr>
      <w:bookmarkStart w:id="50" w:name="X4ce72342442fb5c3a6a08f472450b0f766e5481"/>
      <w:bookmarkStart w:id="51" w:name="_Toc227923354"/>
      <w:bookmarkEnd w:id="24"/>
      <w:bookmarkEnd w:id="48"/>
      <w:r>
        <w:t>5. Part III — Adapting RAARICLE™ Beyond South Africa: the United States States Case</w:t>
      </w:r>
      <w:bookmarkEnd w:id="51"/>
    </w:p>
    <w:p w14:paraId="6BAB71AC" w14:textId="77777777" w:rsidR="00485B06" w:rsidRDefault="00000000">
      <w:pPr>
        <w:pStyle w:val="FirstParagraph"/>
      </w:pPr>
      <w:r>
        <w:t xml:space="preserve">The framework’s theoretical architecture is jurisdiction-agnostic. The eight elements describe requirements for any public function in any governance system; the five patterns describe universal structural failure modes. What is jurisdiction-specific is the </w:t>
      </w:r>
      <w:r>
        <w:rPr>
          <w:b/>
          <w:bCs/>
        </w:rPr>
        <w:t>indicator translation layer</w:t>
      </w:r>
      <w:r>
        <w:t xml:space="preserve"> — the concrete legal, fiscal and administrative tests that operationalise each element in a given constitutional context — and the </w:t>
      </w:r>
      <w:r>
        <w:rPr>
          <w:b/>
          <w:bCs/>
        </w:rPr>
        <w:t>data infrastructure</w:t>
      </w:r>
      <w:r>
        <w:t xml:space="preserve"> — which public sources provide the evidence.</w:t>
      </w:r>
    </w:p>
    <w:p w14:paraId="2B34D470" w14:textId="77777777" w:rsidR="00485B06" w:rsidRDefault="00000000">
      <w:pPr>
        <w:pStyle w:val="BodyText"/>
      </w:pPr>
      <w:r>
        <w:t>This section demonstrates, using United States states as the test case, that adaptation is a bounded codebook exercise rather than a reconceptualisation. The demonstration matters for academic credibility (framework generality is a claim that academic reviewers test) and for practitioner credibility (multilateral clients buy frameworks that work across their portfolio, not frameworks tied to one country).</w:t>
      </w:r>
    </w:p>
    <w:p w14:paraId="24C69765" w14:textId="77777777" w:rsidR="00485B06" w:rsidRDefault="00000000">
      <w:pPr>
        <w:pStyle w:val="Heading3"/>
      </w:pPr>
      <w:bookmarkStart w:id="52" w:name="why-us-states-are-a-useful-test-case"/>
      <w:bookmarkStart w:id="53" w:name="_Toc227923355"/>
      <w:r>
        <w:t>5.1 Why US States are a Useful Test Case</w:t>
      </w:r>
      <w:bookmarkEnd w:id="53"/>
    </w:p>
    <w:p w14:paraId="71AAB4D6" w14:textId="77777777" w:rsidR="00485B06" w:rsidRDefault="00000000">
      <w:pPr>
        <w:pStyle w:val="FirstParagraph"/>
      </w:pPr>
      <w:r>
        <w:t>US states are an unusually demanding stress test for RAARICLE™.</w:t>
      </w:r>
    </w:p>
    <w:p w14:paraId="3CE869F5" w14:textId="77777777" w:rsidR="00485B06" w:rsidRDefault="00000000">
      <w:pPr>
        <w:pStyle w:val="Compact"/>
        <w:numPr>
          <w:ilvl w:val="0"/>
          <w:numId w:val="10"/>
        </w:numPr>
      </w:pPr>
      <w:r>
        <w:rPr>
          <w:b/>
          <w:bCs/>
        </w:rPr>
        <w:t>Federalism without concurrent competences as in South Africa.</w:t>
      </w:r>
      <w:r>
        <w:t xml:space="preserve"> The US Constitution’s Tenth Amendment reserves unenumerated powers to the states, producing a different authority structure from South Africa’s Schedule 4 concurrent competences. If RAARICLE™ can diagnose in the US federal system, it can plausibly diagnose in most federal systems.</w:t>
      </w:r>
    </w:p>
    <w:p w14:paraId="3B35AB5B" w14:textId="77777777" w:rsidR="00485B06" w:rsidRDefault="00000000">
      <w:pPr>
        <w:pStyle w:val="Compact"/>
        <w:numPr>
          <w:ilvl w:val="0"/>
          <w:numId w:val="10"/>
        </w:numPr>
      </w:pPr>
      <w:r>
        <w:rPr>
          <w:b/>
          <w:bCs/>
        </w:rPr>
        <w:t>Dillon’s Rule and Home Rule variation.</w:t>
      </w:r>
      <w:r>
        <w:t xml:space="preserve"> US municipalities derive their authority from states in one of two regimes: Dillon’s Rule (municipalities have only powers expressly granted by the state) or Home Rule (municipalities have charter-granted authority subject to state limits). This produces within-country variation in Authority that South Africa does not exhibit.</w:t>
      </w:r>
    </w:p>
    <w:p w14:paraId="14FB8340" w14:textId="77777777" w:rsidR="00485B06" w:rsidRDefault="00000000">
      <w:pPr>
        <w:pStyle w:val="Compact"/>
        <w:numPr>
          <w:ilvl w:val="0"/>
          <w:numId w:val="10"/>
        </w:numPr>
      </w:pPr>
      <w:r>
        <w:rPr>
          <w:b/>
          <w:bCs/>
        </w:rPr>
        <w:t>Independently elected executive officers.</w:t>
      </w:r>
      <w:r>
        <w:t xml:space="preserve"> Many states have independently elected Attorneys General, Secretaries of State, State Treasurers, State Auditors and Public Utility Commissioners. This fragments Accountability along a dimension South Africa’s Westminster-derived system lacks.</w:t>
      </w:r>
    </w:p>
    <w:p w14:paraId="0FE6E2C7" w14:textId="77777777" w:rsidR="00485B06" w:rsidRDefault="00000000">
      <w:pPr>
        <w:pStyle w:val="Compact"/>
        <w:numPr>
          <w:ilvl w:val="0"/>
          <w:numId w:val="10"/>
        </w:numPr>
      </w:pPr>
      <w:r>
        <w:rPr>
          <w:b/>
          <w:bCs/>
        </w:rPr>
        <w:t>Fifty-state laboratory.</w:t>
      </w:r>
      <w:r>
        <w:t xml:space="preserve"> The N=50 across comparable functions allows statistical power for validation studies that a single country cannot provide. Applied research on US state governance has used this laboratory for fifty years (Elazar on political culture; Gray-Hanson-Peterson on state politics and policy; Volden-Wiseman on legislative effectiveness).</w:t>
      </w:r>
    </w:p>
    <w:p w14:paraId="2796AC6F" w14:textId="77777777" w:rsidR="00485B06" w:rsidRDefault="00000000">
      <w:pPr>
        <w:pStyle w:val="Compact"/>
        <w:numPr>
          <w:ilvl w:val="0"/>
          <w:numId w:val="10"/>
        </w:numPr>
      </w:pPr>
      <w:r>
        <w:rPr>
          <w:b/>
          <w:bCs/>
        </w:rPr>
        <w:t>Data maturity.</w:t>
      </w:r>
      <w:r>
        <w:t xml:space="preserve"> US states publish audited financials (CAFRs / ACFRs), Single Audit reports, performance reports, and Freedom of Information Act records. Data infrastructure is denser than in most African and Asian contexts.</w:t>
      </w:r>
    </w:p>
    <w:p w14:paraId="5A61E462" w14:textId="77777777" w:rsidR="00485B06" w:rsidRDefault="00000000">
      <w:pPr>
        <w:pStyle w:val="Heading3"/>
      </w:pPr>
      <w:bookmarkStart w:id="54" w:name="Xe301781b66d27567e5a5b685af4f44b457c7220"/>
      <w:bookmarkStart w:id="55" w:name="_Toc227923356"/>
      <w:bookmarkEnd w:id="52"/>
      <w:r>
        <w:lastRenderedPageBreak/>
        <w:t>5.2 Indicator Translation: Worked Example for Water Utility Governance</w:t>
      </w:r>
      <w:bookmarkEnd w:id="55"/>
    </w:p>
    <w:p w14:paraId="78835712" w14:textId="77777777" w:rsidR="00485B06" w:rsidRDefault="00000000">
      <w:pPr>
        <w:pStyle w:val="FirstParagraph"/>
      </w:pPr>
      <w:r>
        <w:t>The South African indicator library for water services (MRD Table in Section 8.1) translates to US state water utility governance as follows. The element questions are unchanged; the indicators are re-specified to the US legal and data context.</w:t>
      </w:r>
    </w:p>
    <w:tbl>
      <w:tblPr>
        <w:tblStyle w:val="Table"/>
        <w:tblW w:w="5000" w:type="pct"/>
        <w:tblLook w:val="0020" w:firstRow="1" w:lastRow="0" w:firstColumn="0" w:lastColumn="0" w:noHBand="0" w:noVBand="0"/>
      </w:tblPr>
      <w:tblGrid>
        <w:gridCol w:w="1821"/>
        <w:gridCol w:w="2251"/>
        <w:gridCol w:w="3081"/>
        <w:gridCol w:w="2423"/>
      </w:tblGrid>
      <w:tr w:rsidR="00485B06" w14:paraId="14BE8BC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1B034B7" w14:textId="77777777" w:rsidR="00485B06" w:rsidRDefault="00000000">
            <w:pPr>
              <w:pStyle w:val="Compact"/>
            </w:pPr>
            <w:r>
              <w:t>Element</w:t>
            </w:r>
          </w:p>
        </w:tc>
        <w:tc>
          <w:tcPr>
            <w:tcW w:w="0" w:type="auto"/>
          </w:tcPr>
          <w:p w14:paraId="3FE32EF7" w14:textId="77777777" w:rsidR="00485B06" w:rsidRDefault="00000000">
            <w:pPr>
              <w:pStyle w:val="Compact"/>
            </w:pPr>
            <w:r>
              <w:t>South African indicator (example)</w:t>
            </w:r>
          </w:p>
        </w:tc>
        <w:tc>
          <w:tcPr>
            <w:tcW w:w="0" w:type="auto"/>
          </w:tcPr>
          <w:p w14:paraId="098D9572" w14:textId="77777777" w:rsidR="00485B06" w:rsidRDefault="00000000">
            <w:pPr>
              <w:pStyle w:val="Compact"/>
            </w:pPr>
            <w:r>
              <w:t>US state equivalent indicator</w:t>
            </w:r>
          </w:p>
        </w:tc>
        <w:tc>
          <w:tcPr>
            <w:tcW w:w="0" w:type="auto"/>
          </w:tcPr>
          <w:p w14:paraId="17AAF67B" w14:textId="77777777" w:rsidR="00485B06" w:rsidRDefault="00000000">
            <w:pPr>
              <w:pStyle w:val="Compact"/>
            </w:pPr>
            <w:r>
              <w:t>US data source</w:t>
            </w:r>
          </w:p>
        </w:tc>
      </w:tr>
      <w:tr w:rsidR="00485B06" w14:paraId="52A21954" w14:textId="77777777">
        <w:tc>
          <w:tcPr>
            <w:tcW w:w="0" w:type="auto"/>
          </w:tcPr>
          <w:p w14:paraId="6D050285" w14:textId="77777777" w:rsidR="00485B06" w:rsidRDefault="00000000">
            <w:pPr>
              <w:pStyle w:val="Compact"/>
            </w:pPr>
            <w:r>
              <w:rPr>
                <w:b/>
                <w:bCs/>
              </w:rPr>
              <w:t>Responsibility</w:t>
            </w:r>
          </w:p>
        </w:tc>
        <w:tc>
          <w:tcPr>
            <w:tcW w:w="0" w:type="auto"/>
          </w:tcPr>
          <w:p w14:paraId="743E8F1D" w14:textId="77777777" w:rsidR="00485B06" w:rsidRDefault="00000000">
            <w:pPr>
              <w:pStyle w:val="Compact"/>
            </w:pPr>
            <w:r>
              <w:t>Is the Water Services Authority function held by the same entity as the Water Services Provider?</w:t>
            </w:r>
          </w:p>
        </w:tc>
        <w:tc>
          <w:tcPr>
            <w:tcW w:w="0" w:type="auto"/>
          </w:tcPr>
          <w:p w14:paraId="1F0553D5" w14:textId="77777777" w:rsidR="00485B06" w:rsidRDefault="00000000">
            <w:pPr>
              <w:pStyle w:val="Compact"/>
            </w:pPr>
            <w:r>
              <w:t>Is the water utility regulator separated from the utility operator (investor-owned vs. municipally owned vs. special district; state PUC oversight vs. municipal self-oversight)?</w:t>
            </w:r>
          </w:p>
        </w:tc>
        <w:tc>
          <w:tcPr>
            <w:tcW w:w="0" w:type="auto"/>
          </w:tcPr>
          <w:p w14:paraId="2A6DD571" w14:textId="77777777" w:rsidR="00485B06" w:rsidRDefault="00000000">
            <w:pPr>
              <w:pStyle w:val="Compact"/>
            </w:pPr>
            <w:r>
              <w:t>State Public Utility Commission filings; EPA SDWIS database; American Water Works Association utility surveys</w:t>
            </w:r>
          </w:p>
        </w:tc>
      </w:tr>
      <w:tr w:rsidR="00485B06" w14:paraId="50F34AA2" w14:textId="77777777">
        <w:tc>
          <w:tcPr>
            <w:tcW w:w="0" w:type="auto"/>
          </w:tcPr>
          <w:p w14:paraId="2FB29E15" w14:textId="77777777" w:rsidR="00485B06" w:rsidRDefault="00000000">
            <w:pPr>
              <w:pStyle w:val="Compact"/>
            </w:pPr>
            <w:r>
              <w:rPr>
                <w:b/>
                <w:bCs/>
              </w:rPr>
              <w:t>Accountability</w:t>
            </w:r>
          </w:p>
        </w:tc>
        <w:tc>
          <w:tcPr>
            <w:tcW w:w="0" w:type="auto"/>
          </w:tcPr>
          <w:p w14:paraId="72675B0D" w14:textId="77777777" w:rsidR="00485B06" w:rsidRDefault="00000000">
            <w:pPr>
              <w:pStyle w:val="Compact"/>
            </w:pPr>
            <w:r>
              <w:t>Is there one named individual accountable for water service outcomes in a Section 57 performance contract?</w:t>
            </w:r>
          </w:p>
        </w:tc>
        <w:tc>
          <w:tcPr>
            <w:tcW w:w="0" w:type="auto"/>
          </w:tcPr>
          <w:p w14:paraId="021CF03F" w14:textId="77777777" w:rsidR="00485B06" w:rsidRDefault="00000000">
            <w:pPr>
              <w:pStyle w:val="Compact"/>
            </w:pPr>
            <w:r>
              <w:t>Is there a named accountable officer (utility CEO, city water director) with a performance contract filed with the regulator, and are performance metrics published?</w:t>
            </w:r>
          </w:p>
        </w:tc>
        <w:tc>
          <w:tcPr>
            <w:tcW w:w="0" w:type="auto"/>
          </w:tcPr>
          <w:p w14:paraId="2B39515E" w14:textId="77777777" w:rsidR="00485B06" w:rsidRDefault="00000000">
            <w:pPr>
              <w:pStyle w:val="Compact"/>
            </w:pPr>
            <w:r>
              <w:t>Utility annual reports; state comptroller filings; Form M-1 filings for investor-owned utilities</w:t>
            </w:r>
          </w:p>
        </w:tc>
      </w:tr>
      <w:tr w:rsidR="00485B06" w14:paraId="20ED156F" w14:textId="77777777">
        <w:tc>
          <w:tcPr>
            <w:tcW w:w="0" w:type="auto"/>
          </w:tcPr>
          <w:p w14:paraId="2082FE46" w14:textId="77777777" w:rsidR="00485B06" w:rsidRDefault="00000000">
            <w:pPr>
              <w:pStyle w:val="Compact"/>
            </w:pPr>
            <w:r>
              <w:rPr>
                <w:b/>
                <w:bCs/>
              </w:rPr>
              <w:t>Authority</w:t>
            </w:r>
          </w:p>
        </w:tc>
        <w:tc>
          <w:tcPr>
            <w:tcW w:w="0" w:type="auto"/>
          </w:tcPr>
          <w:p w14:paraId="5C61799A" w14:textId="77777777" w:rsidR="00485B06" w:rsidRDefault="00000000">
            <w:pPr>
              <w:pStyle w:val="Compact"/>
            </w:pPr>
            <w:r>
              <w:t>Can the entity execute a water infrastructure decision within 30 days using only its own powers?</w:t>
            </w:r>
          </w:p>
        </w:tc>
        <w:tc>
          <w:tcPr>
            <w:tcW w:w="0" w:type="auto"/>
          </w:tcPr>
          <w:p w14:paraId="2282EF4D" w14:textId="77777777" w:rsidR="00485B06" w:rsidRDefault="00000000">
            <w:pPr>
              <w:pStyle w:val="Compact"/>
            </w:pPr>
            <w:r>
              <w:t>Can the utility issue revenue bonds, set rates, and execute capital projects without requiring state legislative approval or voter referendum for routine actions? Does it have Home Rule authority on water?</w:t>
            </w:r>
          </w:p>
        </w:tc>
        <w:tc>
          <w:tcPr>
            <w:tcW w:w="0" w:type="auto"/>
          </w:tcPr>
          <w:p w14:paraId="14231519" w14:textId="77777777" w:rsidR="00485B06" w:rsidRDefault="00000000">
            <w:pPr>
              <w:pStyle w:val="Compact"/>
            </w:pPr>
            <w:r>
              <w:t>State Constitution; municipal charter; state bond authorisation statutes; state PUC rate-case records</w:t>
            </w:r>
          </w:p>
        </w:tc>
      </w:tr>
      <w:tr w:rsidR="00485B06" w14:paraId="1F629D0E" w14:textId="77777777">
        <w:tc>
          <w:tcPr>
            <w:tcW w:w="0" w:type="auto"/>
          </w:tcPr>
          <w:p w14:paraId="425C0363" w14:textId="77777777" w:rsidR="00485B06" w:rsidRDefault="00000000">
            <w:pPr>
              <w:pStyle w:val="Compact"/>
            </w:pPr>
            <w:r>
              <w:rPr>
                <w:b/>
                <w:bCs/>
              </w:rPr>
              <w:t>Resources</w:t>
            </w:r>
          </w:p>
        </w:tc>
        <w:tc>
          <w:tcPr>
            <w:tcW w:w="0" w:type="auto"/>
          </w:tcPr>
          <w:p w14:paraId="5EFAD26B" w14:textId="77777777" w:rsidR="00485B06" w:rsidRDefault="00000000">
            <w:pPr>
              <w:pStyle w:val="Compact"/>
            </w:pPr>
            <w:r>
              <w:t>Is water services revenue ring-fenced from general municipal revenue?</w:t>
            </w:r>
          </w:p>
        </w:tc>
        <w:tc>
          <w:tcPr>
            <w:tcW w:w="0" w:type="auto"/>
          </w:tcPr>
          <w:p w14:paraId="57672A76" w14:textId="77777777" w:rsidR="00485B06" w:rsidRDefault="00000000">
            <w:pPr>
              <w:pStyle w:val="Compact"/>
            </w:pPr>
            <w:r>
              <w:t>Is the water enterprise fund legally ring-fenced (enterprise fund accounting required by GASB 34)? Can general-fund transfers occur, and are they disclosed?</w:t>
            </w:r>
          </w:p>
        </w:tc>
        <w:tc>
          <w:tcPr>
            <w:tcW w:w="0" w:type="auto"/>
          </w:tcPr>
          <w:p w14:paraId="2BD4D7AC" w14:textId="77777777" w:rsidR="00485B06" w:rsidRDefault="00000000">
            <w:pPr>
              <w:pStyle w:val="Compact"/>
            </w:pPr>
            <w:r>
              <w:t>Annual Comprehensive Financial Report (ACFR); GASB 34 enterprise fund statements; bond covenants</w:t>
            </w:r>
          </w:p>
        </w:tc>
      </w:tr>
      <w:tr w:rsidR="00485B06" w14:paraId="115CBEA5" w14:textId="77777777">
        <w:tc>
          <w:tcPr>
            <w:tcW w:w="0" w:type="auto"/>
          </w:tcPr>
          <w:p w14:paraId="252FE513" w14:textId="77777777" w:rsidR="00485B06" w:rsidRDefault="00000000">
            <w:pPr>
              <w:pStyle w:val="Compact"/>
            </w:pPr>
            <w:r>
              <w:rPr>
                <w:b/>
                <w:bCs/>
              </w:rPr>
              <w:t>Information</w:t>
            </w:r>
          </w:p>
        </w:tc>
        <w:tc>
          <w:tcPr>
            <w:tcW w:w="0" w:type="auto"/>
          </w:tcPr>
          <w:p w14:paraId="3973CC37" w14:textId="77777777" w:rsidR="00485B06" w:rsidRDefault="00000000">
            <w:pPr>
              <w:pStyle w:val="Compact"/>
            </w:pPr>
            <w:r>
              <w:t>Does the entity have real-time monitoring of water quality at treatment works?</w:t>
            </w:r>
          </w:p>
        </w:tc>
        <w:tc>
          <w:tcPr>
            <w:tcW w:w="0" w:type="auto"/>
          </w:tcPr>
          <w:p w14:paraId="2A6E2A4E" w14:textId="77777777" w:rsidR="00485B06" w:rsidRDefault="00000000">
            <w:pPr>
              <w:pStyle w:val="Compact"/>
            </w:pPr>
            <w:r>
              <w:t xml:space="preserve">Does the utility report to EPA’s Safe Drinking Water Information System (SDWIS) in real time? Is lead-and-copper </w:t>
            </w:r>
            <w:r>
              <w:lastRenderedPageBreak/>
              <w:t>monitoring data published under the Lead and Copper Rule? Are Consumer Confidence Reports compliant?</w:t>
            </w:r>
          </w:p>
        </w:tc>
        <w:tc>
          <w:tcPr>
            <w:tcW w:w="0" w:type="auto"/>
          </w:tcPr>
          <w:p w14:paraId="5F59C162" w14:textId="77777777" w:rsidR="00485B06" w:rsidRDefault="00000000">
            <w:pPr>
              <w:pStyle w:val="Compact"/>
            </w:pPr>
            <w:r>
              <w:lastRenderedPageBreak/>
              <w:t>EPA SDWIS; state primacy agency records; utility CCRs</w:t>
            </w:r>
          </w:p>
        </w:tc>
      </w:tr>
      <w:tr w:rsidR="00485B06" w14:paraId="25317266" w14:textId="77777777">
        <w:tc>
          <w:tcPr>
            <w:tcW w:w="0" w:type="auto"/>
          </w:tcPr>
          <w:p w14:paraId="2E0A84F4" w14:textId="77777777" w:rsidR="00485B06" w:rsidRDefault="00000000">
            <w:pPr>
              <w:pStyle w:val="Compact"/>
            </w:pPr>
            <w:r>
              <w:rPr>
                <w:b/>
                <w:bCs/>
              </w:rPr>
              <w:t>Capability</w:t>
            </w:r>
          </w:p>
        </w:tc>
        <w:tc>
          <w:tcPr>
            <w:tcW w:w="0" w:type="auto"/>
          </w:tcPr>
          <w:p w14:paraId="649B4347" w14:textId="77777777" w:rsidR="00485B06" w:rsidRDefault="00000000">
            <w:pPr>
              <w:pStyle w:val="Compact"/>
            </w:pPr>
            <w:r>
              <w:t>Does the WSA have a qualified civil/water engineer on staff?</w:t>
            </w:r>
          </w:p>
        </w:tc>
        <w:tc>
          <w:tcPr>
            <w:tcW w:w="0" w:type="auto"/>
          </w:tcPr>
          <w:p w14:paraId="3370F54D" w14:textId="77777777" w:rsidR="00485B06" w:rsidRDefault="00000000">
            <w:pPr>
              <w:pStyle w:val="Compact"/>
            </w:pPr>
            <w:r>
              <w:t>Does the utility employ state-licensed operators at the required classification for plant size (state operator certification programmes under the Safe Drinking Water Act)? Are certified operator vacancies reported?</w:t>
            </w:r>
          </w:p>
        </w:tc>
        <w:tc>
          <w:tcPr>
            <w:tcW w:w="0" w:type="auto"/>
          </w:tcPr>
          <w:p w14:paraId="0F7F6424" w14:textId="77777777" w:rsidR="00485B06" w:rsidRDefault="00000000">
            <w:pPr>
              <w:pStyle w:val="Compact"/>
            </w:pPr>
            <w:r>
              <w:t>State operator certification database; utility operator certificate filings</w:t>
            </w:r>
          </w:p>
        </w:tc>
      </w:tr>
      <w:tr w:rsidR="00485B06" w14:paraId="6BC8890E" w14:textId="77777777">
        <w:tc>
          <w:tcPr>
            <w:tcW w:w="0" w:type="auto"/>
          </w:tcPr>
          <w:p w14:paraId="74FE8B2B" w14:textId="77777777" w:rsidR="00485B06" w:rsidRDefault="00000000">
            <w:pPr>
              <w:pStyle w:val="Compact"/>
            </w:pPr>
            <w:r>
              <w:rPr>
                <w:b/>
                <w:bCs/>
              </w:rPr>
              <w:t>Legitimacy</w:t>
            </w:r>
          </w:p>
        </w:tc>
        <w:tc>
          <w:tcPr>
            <w:tcW w:w="0" w:type="auto"/>
          </w:tcPr>
          <w:p w14:paraId="642DE1D6" w14:textId="77777777" w:rsidR="00485B06" w:rsidRDefault="00000000">
            <w:pPr>
              <w:pStyle w:val="Compact"/>
            </w:pPr>
            <w:r>
              <w:t>Has the entity’s WSA status been formally gazetted?</w:t>
            </w:r>
          </w:p>
        </w:tc>
        <w:tc>
          <w:tcPr>
            <w:tcW w:w="0" w:type="auto"/>
          </w:tcPr>
          <w:p w14:paraId="4F3DBA44" w14:textId="77777777" w:rsidR="00485B06" w:rsidRDefault="00000000">
            <w:pPr>
              <w:pStyle w:val="Compact"/>
            </w:pPr>
            <w:r>
              <w:t>Does the utility have a valid Certificate of Convenience and Necessity (CCN) or its state equivalent? Is the service territory formally defined and recognised?</w:t>
            </w:r>
          </w:p>
        </w:tc>
        <w:tc>
          <w:tcPr>
            <w:tcW w:w="0" w:type="auto"/>
          </w:tcPr>
          <w:p w14:paraId="0E1F8F49" w14:textId="77777777" w:rsidR="00485B06" w:rsidRDefault="00000000">
            <w:pPr>
              <w:pStyle w:val="Compact"/>
            </w:pPr>
            <w:r>
              <w:t>State PUC; state water resources agency</w:t>
            </w:r>
          </w:p>
        </w:tc>
      </w:tr>
      <w:tr w:rsidR="00485B06" w14:paraId="3AF8667B" w14:textId="77777777">
        <w:tc>
          <w:tcPr>
            <w:tcW w:w="0" w:type="auto"/>
          </w:tcPr>
          <w:p w14:paraId="073EDE5E" w14:textId="77777777" w:rsidR="00485B06" w:rsidRDefault="00000000">
            <w:pPr>
              <w:pStyle w:val="Compact"/>
            </w:pPr>
            <w:r>
              <w:rPr>
                <w:b/>
                <w:bCs/>
              </w:rPr>
              <w:t>Enforcement</w:t>
            </w:r>
          </w:p>
        </w:tc>
        <w:tc>
          <w:tcPr>
            <w:tcW w:w="0" w:type="auto"/>
          </w:tcPr>
          <w:p w14:paraId="11E56E6E" w14:textId="77777777" w:rsidR="00485B06" w:rsidRDefault="00000000">
            <w:pPr>
              <w:pStyle w:val="Compact"/>
            </w:pPr>
            <w:r>
              <w:t>Are there automatic, pre-defined consequences for Blue Drop non-compliance?</w:t>
            </w:r>
          </w:p>
        </w:tc>
        <w:tc>
          <w:tcPr>
            <w:tcW w:w="0" w:type="auto"/>
          </w:tcPr>
          <w:p w14:paraId="29CA20DE" w14:textId="77777777" w:rsidR="00485B06" w:rsidRDefault="00000000">
            <w:pPr>
              <w:pStyle w:val="Compact"/>
            </w:pPr>
            <w:r>
              <w:t>Do Safe Drinking Water Act violations produce automatic administrative penalties (EPA or state primacy agency enforcement)? Are consent decrees or administrative orders issued on a pre-defined schedule for repeat violators?</w:t>
            </w:r>
          </w:p>
        </w:tc>
        <w:tc>
          <w:tcPr>
            <w:tcW w:w="0" w:type="auto"/>
          </w:tcPr>
          <w:p w14:paraId="4A5BB33F" w14:textId="77777777" w:rsidR="00485B06" w:rsidRDefault="00000000">
            <w:pPr>
              <w:pStyle w:val="Compact"/>
            </w:pPr>
            <w:r>
              <w:t>EPA ECHO enforcement database; state primacy agency enforcement records</w:t>
            </w:r>
          </w:p>
        </w:tc>
      </w:tr>
    </w:tbl>
    <w:p w14:paraId="66805A6B" w14:textId="77777777" w:rsidR="00485B06" w:rsidRDefault="00000000">
      <w:pPr>
        <w:pStyle w:val="BodyText"/>
      </w:pPr>
      <w:r>
        <w:t xml:space="preserve">The structure of the table — element, question, indicator, data source — is identical to the South African version. The </w:t>
      </w:r>
      <w:r>
        <w:rPr>
          <w:i/>
          <w:iCs/>
        </w:rPr>
        <w:t>content</w:t>
      </w:r>
      <w:r>
        <w:t xml:space="preserve"> is different in ways that reflect real institutional variation, not framework modification.</w:t>
      </w:r>
    </w:p>
    <w:p w14:paraId="65199DA0" w14:textId="77777777" w:rsidR="00485B06" w:rsidRDefault="00000000">
      <w:pPr>
        <w:pStyle w:val="Heading3"/>
      </w:pPr>
      <w:bookmarkStart w:id="56" w:name="data-source-substitution-map"/>
      <w:bookmarkStart w:id="57" w:name="_Toc227923357"/>
      <w:bookmarkEnd w:id="54"/>
      <w:r>
        <w:t>5.3 Data Source Substitution Map</w:t>
      </w:r>
      <w:bookmarkEnd w:id="57"/>
    </w:p>
    <w:p w14:paraId="22C0EC67" w14:textId="77777777" w:rsidR="00485B06" w:rsidRDefault="00000000">
      <w:pPr>
        <w:pStyle w:val="FirstParagraph"/>
      </w:pPr>
      <w:r>
        <w:t>The broader data-source substitution follows a consistent pattern. South African sources map to US equivalents at similar points in the value chain.</w:t>
      </w:r>
    </w:p>
    <w:tbl>
      <w:tblPr>
        <w:tblStyle w:val="Table"/>
        <w:tblW w:w="5000" w:type="pct"/>
        <w:tblLook w:val="0020" w:firstRow="1" w:lastRow="0" w:firstColumn="0" w:lastColumn="0" w:noHBand="0" w:noVBand="0"/>
      </w:tblPr>
      <w:tblGrid>
        <w:gridCol w:w="2601"/>
        <w:gridCol w:w="6975"/>
      </w:tblGrid>
      <w:tr w:rsidR="00485B06" w14:paraId="0B900E3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E39E6C2" w14:textId="77777777" w:rsidR="00485B06" w:rsidRDefault="00000000">
            <w:pPr>
              <w:pStyle w:val="Compact"/>
            </w:pPr>
            <w:r>
              <w:t>South African source</w:t>
            </w:r>
          </w:p>
        </w:tc>
        <w:tc>
          <w:tcPr>
            <w:tcW w:w="0" w:type="auto"/>
          </w:tcPr>
          <w:p w14:paraId="6E569B48" w14:textId="77777777" w:rsidR="00485B06" w:rsidRDefault="00000000">
            <w:pPr>
              <w:pStyle w:val="Compact"/>
            </w:pPr>
            <w:r>
              <w:t>US federal-state equivalent</w:t>
            </w:r>
          </w:p>
        </w:tc>
      </w:tr>
      <w:tr w:rsidR="00485B06" w14:paraId="6F36EC2F" w14:textId="77777777">
        <w:tc>
          <w:tcPr>
            <w:tcW w:w="0" w:type="auto"/>
          </w:tcPr>
          <w:p w14:paraId="307D635D" w14:textId="77777777" w:rsidR="00485B06" w:rsidRDefault="00000000">
            <w:pPr>
              <w:pStyle w:val="Compact"/>
            </w:pPr>
            <w:r>
              <w:t>Auditor-General (AGSA)</w:t>
            </w:r>
          </w:p>
        </w:tc>
        <w:tc>
          <w:tcPr>
            <w:tcW w:w="0" w:type="auto"/>
          </w:tcPr>
          <w:p w14:paraId="5559C066" w14:textId="77777777" w:rsidR="00485B06" w:rsidRDefault="00000000">
            <w:pPr>
              <w:pStyle w:val="Compact"/>
            </w:pPr>
            <w:r>
              <w:t>State Auditor / Comptroller; federal Single Audit Clearinghouse; GAO for federal programmes</w:t>
            </w:r>
          </w:p>
        </w:tc>
      </w:tr>
      <w:tr w:rsidR="00485B06" w14:paraId="3B386B37" w14:textId="77777777">
        <w:tc>
          <w:tcPr>
            <w:tcW w:w="0" w:type="auto"/>
          </w:tcPr>
          <w:p w14:paraId="290FACD4" w14:textId="77777777" w:rsidR="00485B06" w:rsidRDefault="00000000">
            <w:pPr>
              <w:pStyle w:val="Compact"/>
            </w:pPr>
            <w:r>
              <w:t>National Treasury MFMA data</w:t>
            </w:r>
          </w:p>
        </w:tc>
        <w:tc>
          <w:tcPr>
            <w:tcW w:w="0" w:type="auto"/>
          </w:tcPr>
          <w:p w14:paraId="59660E1E" w14:textId="77777777" w:rsidR="00485B06" w:rsidRDefault="00000000">
            <w:pPr>
              <w:pStyle w:val="Compact"/>
            </w:pPr>
            <w:r>
              <w:t>State Department of Revenue; state bond commissions; MSRB EMMA for municipal bond disclosures</w:t>
            </w:r>
          </w:p>
        </w:tc>
      </w:tr>
      <w:tr w:rsidR="00485B06" w14:paraId="1B8F53C4" w14:textId="77777777">
        <w:tc>
          <w:tcPr>
            <w:tcW w:w="0" w:type="auto"/>
          </w:tcPr>
          <w:p w14:paraId="7E760068" w14:textId="77777777" w:rsidR="00485B06" w:rsidRDefault="00000000">
            <w:pPr>
              <w:pStyle w:val="Compact"/>
            </w:pPr>
            <w:r>
              <w:lastRenderedPageBreak/>
              <w:t>DPME monitoring and evaluation</w:t>
            </w:r>
          </w:p>
        </w:tc>
        <w:tc>
          <w:tcPr>
            <w:tcW w:w="0" w:type="auto"/>
          </w:tcPr>
          <w:p w14:paraId="0FFA9769" w14:textId="77777777" w:rsidR="00485B06" w:rsidRDefault="00000000">
            <w:pPr>
              <w:pStyle w:val="Compact"/>
            </w:pPr>
            <w:r>
              <w:t>State performance management offices; federal agency PARTs/Annual Performance Reports; Pew Results First</w:t>
            </w:r>
          </w:p>
        </w:tc>
      </w:tr>
      <w:tr w:rsidR="00485B06" w14:paraId="59B12171" w14:textId="77777777">
        <w:tc>
          <w:tcPr>
            <w:tcW w:w="0" w:type="auto"/>
          </w:tcPr>
          <w:p w14:paraId="648D37A7" w14:textId="77777777" w:rsidR="00485B06" w:rsidRDefault="00000000">
            <w:pPr>
              <w:pStyle w:val="Compact"/>
            </w:pPr>
            <w:r>
              <w:t>Stats SA</w:t>
            </w:r>
          </w:p>
        </w:tc>
        <w:tc>
          <w:tcPr>
            <w:tcW w:w="0" w:type="auto"/>
          </w:tcPr>
          <w:p w14:paraId="189CFD61" w14:textId="77777777" w:rsidR="00485B06" w:rsidRDefault="00000000">
            <w:pPr>
              <w:pStyle w:val="Compact"/>
            </w:pPr>
            <w:r>
              <w:t>US Census Bureau; Bureau of Economic Analysis; Bureau of Labor Statistics; state statistical centres</w:t>
            </w:r>
          </w:p>
        </w:tc>
      </w:tr>
      <w:tr w:rsidR="00485B06" w14:paraId="69F1149D" w14:textId="77777777">
        <w:tc>
          <w:tcPr>
            <w:tcW w:w="0" w:type="auto"/>
          </w:tcPr>
          <w:p w14:paraId="7B5CD685" w14:textId="77777777" w:rsidR="00485B06" w:rsidRDefault="00000000">
            <w:pPr>
              <w:pStyle w:val="Compact"/>
            </w:pPr>
            <w:r>
              <w:t>DWS Blue/Green/No Drop</w:t>
            </w:r>
          </w:p>
        </w:tc>
        <w:tc>
          <w:tcPr>
            <w:tcW w:w="0" w:type="auto"/>
          </w:tcPr>
          <w:p w14:paraId="339EB0CA" w14:textId="77777777" w:rsidR="00485B06" w:rsidRDefault="00000000">
            <w:pPr>
              <w:pStyle w:val="Compact"/>
            </w:pPr>
            <w:r>
              <w:t>EPA SDWIS; EPA ECHO; state primacy agency reports</w:t>
            </w:r>
          </w:p>
        </w:tc>
      </w:tr>
      <w:tr w:rsidR="00485B06" w14:paraId="61389E50" w14:textId="77777777">
        <w:tc>
          <w:tcPr>
            <w:tcW w:w="0" w:type="auto"/>
          </w:tcPr>
          <w:p w14:paraId="60B0C611" w14:textId="77777777" w:rsidR="00485B06" w:rsidRDefault="00000000">
            <w:pPr>
              <w:pStyle w:val="Compact"/>
            </w:pPr>
            <w:r>
              <w:t>SAICE Infrastructure Report Card</w:t>
            </w:r>
          </w:p>
        </w:tc>
        <w:tc>
          <w:tcPr>
            <w:tcW w:w="0" w:type="auto"/>
          </w:tcPr>
          <w:p w14:paraId="78AB5DC1" w14:textId="77777777" w:rsidR="00485B06" w:rsidRDefault="00000000">
            <w:pPr>
              <w:pStyle w:val="Compact"/>
            </w:pPr>
            <w:r>
              <w:t>ASCE Infrastructure Report Card (national and state editions)</w:t>
            </w:r>
          </w:p>
        </w:tc>
      </w:tr>
      <w:tr w:rsidR="00485B06" w14:paraId="532EDFEF" w14:textId="77777777">
        <w:tc>
          <w:tcPr>
            <w:tcW w:w="0" w:type="auto"/>
          </w:tcPr>
          <w:p w14:paraId="541E3DCD" w14:textId="77777777" w:rsidR="00485B06" w:rsidRDefault="00000000">
            <w:pPr>
              <w:pStyle w:val="Compact"/>
            </w:pPr>
            <w:r>
              <w:t>Parliamentary Monitoring Group</w:t>
            </w:r>
          </w:p>
        </w:tc>
        <w:tc>
          <w:tcPr>
            <w:tcW w:w="0" w:type="auto"/>
          </w:tcPr>
          <w:p w14:paraId="2735BA0A" w14:textId="77777777" w:rsidR="00485B06" w:rsidRDefault="00000000">
            <w:pPr>
              <w:pStyle w:val="Compact"/>
            </w:pPr>
            <w:r>
              <w:t>State legislative research bureaus; National Conference of State Legislatures (NCSL); Committee reports on state legislature websites</w:t>
            </w:r>
          </w:p>
        </w:tc>
      </w:tr>
      <w:tr w:rsidR="00485B06" w14:paraId="62E11DBC" w14:textId="77777777">
        <w:tc>
          <w:tcPr>
            <w:tcW w:w="0" w:type="auto"/>
          </w:tcPr>
          <w:p w14:paraId="4851A68B" w14:textId="77777777" w:rsidR="00485B06" w:rsidRDefault="00000000">
            <w:pPr>
              <w:pStyle w:val="Compact"/>
            </w:pPr>
            <w:r>
              <w:t>SALGA</w:t>
            </w:r>
          </w:p>
        </w:tc>
        <w:tc>
          <w:tcPr>
            <w:tcW w:w="0" w:type="auto"/>
          </w:tcPr>
          <w:p w14:paraId="7F6F10B6" w14:textId="77777777" w:rsidR="00485B06" w:rsidRDefault="00000000">
            <w:pPr>
              <w:pStyle w:val="Compact"/>
            </w:pPr>
            <w:r>
              <w:t>National League of Cities; National Association of Counties; International City/County Management Association (ICMA)</w:t>
            </w:r>
          </w:p>
        </w:tc>
      </w:tr>
      <w:tr w:rsidR="00485B06" w14:paraId="221BBF47" w14:textId="77777777">
        <w:tc>
          <w:tcPr>
            <w:tcW w:w="0" w:type="auto"/>
          </w:tcPr>
          <w:p w14:paraId="713EACA8" w14:textId="77777777" w:rsidR="00485B06" w:rsidRDefault="00000000">
            <w:pPr>
              <w:pStyle w:val="Compact"/>
            </w:pPr>
            <w:r>
              <w:t>NERSA</w:t>
            </w:r>
          </w:p>
        </w:tc>
        <w:tc>
          <w:tcPr>
            <w:tcW w:w="0" w:type="auto"/>
          </w:tcPr>
          <w:p w14:paraId="0C729070" w14:textId="77777777" w:rsidR="00485B06" w:rsidRDefault="00000000">
            <w:pPr>
              <w:pStyle w:val="Compact"/>
            </w:pPr>
            <w:r>
              <w:t>State Public Utility Commissions; FERC for interstate regulation</w:t>
            </w:r>
          </w:p>
        </w:tc>
      </w:tr>
      <w:tr w:rsidR="00485B06" w14:paraId="3F91258C" w14:textId="77777777">
        <w:tc>
          <w:tcPr>
            <w:tcW w:w="0" w:type="auto"/>
          </w:tcPr>
          <w:p w14:paraId="1D85CF2D" w14:textId="77777777" w:rsidR="00485B06" w:rsidRDefault="00000000">
            <w:pPr>
              <w:pStyle w:val="Compact"/>
            </w:pPr>
            <w:r>
              <w:t>District Health Barometer</w:t>
            </w:r>
          </w:p>
        </w:tc>
        <w:tc>
          <w:tcPr>
            <w:tcW w:w="0" w:type="auto"/>
          </w:tcPr>
          <w:p w14:paraId="3169B6A8" w14:textId="77777777" w:rsidR="00485B06" w:rsidRDefault="00000000">
            <w:pPr>
              <w:pStyle w:val="Compact"/>
            </w:pPr>
            <w:r>
              <w:t>CMS State Medicaid dashboards; CDC state health profiles; Commonwealth Fund state scorecards</w:t>
            </w:r>
          </w:p>
        </w:tc>
      </w:tr>
    </w:tbl>
    <w:p w14:paraId="3E5A2F85" w14:textId="77777777" w:rsidR="00485B06" w:rsidRDefault="00000000">
      <w:pPr>
        <w:pStyle w:val="Heading3"/>
      </w:pPr>
      <w:bookmarkStart w:id="58" w:name="X30e08aff218ada7106f3e3673f04a1deddc42fc"/>
      <w:bookmarkStart w:id="59" w:name="_Toc227923358"/>
      <w:bookmarkEnd w:id="56"/>
      <w:r>
        <w:t>5.4 Constitutional and Legal-Regime Adaptations</w:t>
      </w:r>
      <w:bookmarkEnd w:id="59"/>
    </w:p>
    <w:p w14:paraId="24DDDBFB" w14:textId="77777777" w:rsidR="00485B06" w:rsidRDefault="00000000">
      <w:pPr>
        <w:pStyle w:val="FirstParagraph"/>
      </w:pPr>
      <w:r>
        <w:t>Three adaptations of the framework’s diagnostic logic are required for US application, each of which is mechanical rather than theoretical.</w:t>
      </w:r>
    </w:p>
    <w:p w14:paraId="6E4CFDC7" w14:textId="77777777" w:rsidR="00485B06" w:rsidRDefault="00000000">
      <w:pPr>
        <w:pStyle w:val="BodyText"/>
      </w:pPr>
      <w:r>
        <w:rPr>
          <w:b/>
          <w:bCs/>
        </w:rPr>
        <w:t>The 30-day authority test.</w:t>
      </w:r>
      <w:r>
        <w:t xml:space="preserve"> In South Africa, the 30-day test asks whether a municipality can execute a decision within 30 days using only its own powers. In the US, the equivalent test must account for: (i) whether the utility or agency operates under Dillon’s Rule or Home Rule; (ii) whether rate changes require state PUC approval (for regulated investor-owned utilities) or council approval alone (for municipal utilities); and (iii) whether capital expenditures above a threshold require a public vote. The test becomes: </w:t>
      </w:r>
      <w:r>
        <w:rPr>
          <w:i/>
          <w:iCs/>
        </w:rPr>
        <w:t>Can the entity execute a decision within 30 days given its legal regime, and if not, is the delay structural (PUC rate-case cycle) or discretionary (internal approval layers)?</w:t>
      </w:r>
    </w:p>
    <w:p w14:paraId="1AB0B414" w14:textId="77777777" w:rsidR="00485B06" w:rsidRDefault="00000000">
      <w:pPr>
        <w:pStyle w:val="BodyText"/>
      </w:pPr>
      <w:r>
        <w:rPr>
          <w:b/>
          <w:bCs/>
        </w:rPr>
        <w:t>Resource ring-fencing.</w:t>
      </w:r>
      <w:r>
        <w:t xml:space="preserve"> The South African test is whether revenue is ring-fenced from general municipal revenue. In the US, GASB 34 already requires enterprise fund accounting for fee-funded services, so the surface-level test is usually passed. The deeper test — has the ring-fence been breached by general-fund transfers, deferred capital maintenance, or below-cost rate-setting for political reasons — requires inspection of transfer schedules and rate-case testimony. The element is the same; the indicator is more subtle.</w:t>
      </w:r>
    </w:p>
    <w:p w14:paraId="07F9359E" w14:textId="77777777" w:rsidR="00485B06" w:rsidRDefault="00000000">
      <w:pPr>
        <w:pStyle w:val="BodyText"/>
      </w:pPr>
      <w:r>
        <w:rPr>
          <w:b/>
          <w:bCs/>
        </w:rPr>
        <w:t>Anti-capture architecture.</w:t>
      </w:r>
      <w:r>
        <w:t xml:space="preserve"> The five capture vectors (political, commercial, labour, regulatory, information) all operate in US states but take different forms. Political capture runs through primary elections and gubernatorial appointment rather than cadre deployment. Commercial capture involves federal procurement law (FAR) and state analogues. Labour capture involves collective bargaining agreements protected by state public-sector labour law (which varies sharply between, say, Wisconsin and New York). Regulatory capture has a US-specific literature (Stigler; Laffont-Tirole; Carpenter-Moss). </w:t>
      </w:r>
      <w:r>
        <w:lastRenderedPageBreak/>
        <w:t>Information capture includes FOIA-exemption engineering and the increasing use of private emails and messaging apps by officials. The framework’s five vectors remain valid; the indicators adapt to the US mechanisms.</w:t>
      </w:r>
    </w:p>
    <w:p w14:paraId="7E8A9369" w14:textId="77777777" w:rsidR="00485B06" w:rsidRDefault="00000000">
      <w:pPr>
        <w:pStyle w:val="Heading3"/>
      </w:pPr>
      <w:bookmarkStart w:id="60" w:name="X9b1bbade5bc682cc5d63c55eae3455dfa4ddaeb"/>
      <w:bookmarkStart w:id="61" w:name="_Toc227923359"/>
      <w:bookmarkEnd w:id="58"/>
      <w:r>
        <w:t>5.5 Illustrative Case Outline: Diagnosing Drinking Water Governance in Michigan</w:t>
      </w:r>
      <w:bookmarkEnd w:id="61"/>
    </w:p>
    <w:p w14:paraId="25461902" w14:textId="77777777" w:rsidR="00485B06" w:rsidRDefault="00000000">
      <w:pPr>
        <w:pStyle w:val="FirstParagraph"/>
      </w:pPr>
      <w:r>
        <w:t>A US-state pilot diagnostic could begin with Michigan drinking water governance, using the Flint water crisis as the well-documented failure case that tests the framework’s explanatory reach outside South Africa.</w:t>
      </w:r>
    </w:p>
    <w:p w14:paraId="0D3A30EE" w14:textId="77777777" w:rsidR="00485B06" w:rsidRDefault="00000000">
      <w:pPr>
        <w:pStyle w:val="Compact"/>
        <w:numPr>
          <w:ilvl w:val="0"/>
          <w:numId w:val="11"/>
        </w:numPr>
      </w:pPr>
      <w:r>
        <w:rPr>
          <w:b/>
          <w:bCs/>
        </w:rPr>
        <w:t>Responsibility:</w:t>
      </w:r>
      <w:r>
        <w:t xml:space="preserve"> Fragmented across the City of Flint (operator), the Michigan Department of Environmental Quality (primacy agency), and the emergency manager regime imposed under Public Act 436. RAARICLE™ score: 2.</w:t>
      </w:r>
    </w:p>
    <w:p w14:paraId="0C73CDB7" w14:textId="77777777" w:rsidR="00485B06" w:rsidRDefault="00000000">
      <w:pPr>
        <w:pStyle w:val="Compact"/>
        <w:numPr>
          <w:ilvl w:val="0"/>
          <w:numId w:val="11"/>
        </w:numPr>
      </w:pPr>
      <w:r>
        <w:rPr>
          <w:b/>
          <w:bCs/>
        </w:rPr>
        <w:t>Accountability:</w:t>
      </w:r>
      <w:r>
        <w:t xml:space="preserve"> Formally with the emergency manager, but democratic accountability was suspended during the emergency-management period — a structural Accountability failure. Score: 1.</w:t>
      </w:r>
    </w:p>
    <w:p w14:paraId="51A7A23F" w14:textId="77777777" w:rsidR="00485B06" w:rsidRDefault="00000000">
      <w:pPr>
        <w:pStyle w:val="Compact"/>
        <w:numPr>
          <w:ilvl w:val="0"/>
          <w:numId w:val="11"/>
        </w:numPr>
      </w:pPr>
      <w:r>
        <w:rPr>
          <w:b/>
          <w:bCs/>
        </w:rPr>
        <w:t>Authority:</w:t>
      </w:r>
      <w:r>
        <w:t xml:space="preserve"> The emergency manager possessed strong formal authority, but the authority to switch water sources bypassed the routine engineering governance of the utility. Authority was present but misaligned from the engineering capability needed to exercise it. Score: 2.</w:t>
      </w:r>
    </w:p>
    <w:p w14:paraId="270830A4" w14:textId="77777777" w:rsidR="00485B06" w:rsidRDefault="00000000">
      <w:pPr>
        <w:pStyle w:val="Compact"/>
        <w:numPr>
          <w:ilvl w:val="0"/>
          <w:numId w:val="11"/>
        </w:numPr>
      </w:pPr>
      <w:r>
        <w:rPr>
          <w:b/>
          <w:bCs/>
        </w:rPr>
        <w:t>Resources:</w:t>
      </w:r>
      <w:r>
        <w:t xml:space="preserve"> State cost-saving imperatives drove the source-water switch. Resources were insufficient to implement corrosion control simultaneously. Score: 2.</w:t>
      </w:r>
    </w:p>
    <w:p w14:paraId="003ED0AF" w14:textId="77777777" w:rsidR="00485B06" w:rsidRDefault="00000000">
      <w:pPr>
        <w:pStyle w:val="Compact"/>
        <w:numPr>
          <w:ilvl w:val="0"/>
          <w:numId w:val="11"/>
        </w:numPr>
      </w:pPr>
      <w:r>
        <w:rPr>
          <w:b/>
          <w:bCs/>
        </w:rPr>
        <w:t>Information:</w:t>
      </w:r>
      <w:r>
        <w:t xml:space="preserve"> MDEQ misread the Lead and Copper Rule; sample invalidation practices masked true exposure. Information was generated but filtered. Score: 1.</w:t>
      </w:r>
    </w:p>
    <w:p w14:paraId="04D87988" w14:textId="77777777" w:rsidR="00485B06" w:rsidRDefault="00000000">
      <w:pPr>
        <w:pStyle w:val="Compact"/>
        <w:numPr>
          <w:ilvl w:val="0"/>
          <w:numId w:val="11"/>
        </w:numPr>
      </w:pPr>
      <w:r>
        <w:rPr>
          <w:b/>
          <w:bCs/>
        </w:rPr>
        <w:t>Capability:</w:t>
      </w:r>
      <w:r>
        <w:t xml:space="preserve"> Gaps in corrosion control expertise at MDEQ and the utility were determinative. Score: 2.</w:t>
      </w:r>
    </w:p>
    <w:p w14:paraId="7FBB1379" w14:textId="77777777" w:rsidR="00485B06" w:rsidRDefault="00000000">
      <w:pPr>
        <w:pStyle w:val="Compact"/>
        <w:numPr>
          <w:ilvl w:val="0"/>
          <w:numId w:val="11"/>
        </w:numPr>
      </w:pPr>
      <w:r>
        <w:rPr>
          <w:b/>
          <w:bCs/>
        </w:rPr>
        <w:t>Legitimacy:</w:t>
      </w:r>
      <w:r>
        <w:t xml:space="preserve"> The emergency-management regime’s democratic legitimacy was contested locally even where its legal validity was not. Score: 2.</w:t>
      </w:r>
    </w:p>
    <w:p w14:paraId="46E6F297" w14:textId="77777777" w:rsidR="00485B06" w:rsidRDefault="00000000">
      <w:pPr>
        <w:pStyle w:val="Compact"/>
        <w:numPr>
          <w:ilvl w:val="0"/>
          <w:numId w:val="11"/>
        </w:numPr>
      </w:pPr>
      <w:r>
        <w:rPr>
          <w:b/>
          <w:bCs/>
        </w:rPr>
        <w:t>Enforcement:</w:t>
      </w:r>
      <w:r>
        <w:t xml:space="preserve"> EPA delayed escalation; MDEQ underenforced; consequences for officials followed only post-crisis, not pre-crisis. Score: 1.</w:t>
      </w:r>
    </w:p>
    <w:p w14:paraId="24F5787A" w14:textId="77777777" w:rsidR="00485B06" w:rsidRDefault="00000000">
      <w:pPr>
        <w:pStyle w:val="FirstParagraph"/>
      </w:pPr>
      <w:r>
        <w:rPr>
          <w:b/>
          <w:bCs/>
        </w:rPr>
        <w:t>Structural root cause:</w:t>
      </w:r>
      <w:r>
        <w:t xml:space="preserve"> A combination of misalignment (authority displaced from the normal governance chain by emergency management) and information capture (regulatory data filtered to support a predetermined conclusion). This is a classification the framework produces; it is falsifiable by the documentary record assembled in the Snyder-era state and federal investigations, the class-action proceedings, and the Flint Water Advisory Task Force report.</w:t>
      </w:r>
    </w:p>
    <w:p w14:paraId="781BB031" w14:textId="77777777" w:rsidR="00485B06" w:rsidRDefault="00000000">
      <w:pPr>
        <w:pStyle w:val="BodyText"/>
      </w:pPr>
      <w:r>
        <w:t>The point is not that RAARICLE™ “explains Flint” in a way that prior work does not. The point is that the framework’s diagnostic categories apply to the Flint record without modification, that the scores are traceable to public documents, and that the root-cause classification is consistent with the conclusions reached by independent reviews. This is the necessary demonstration of cross-jurisdictional generality.</w:t>
      </w:r>
    </w:p>
    <w:p w14:paraId="594339C4" w14:textId="77777777" w:rsidR="00485B06" w:rsidRDefault="00000000">
      <w:pPr>
        <w:pStyle w:val="Heading3"/>
      </w:pPr>
      <w:bookmarkStart w:id="62" w:name="Xd55cca7e779777d3b6df3793f7ed34e417517bd"/>
      <w:bookmarkStart w:id="63" w:name="_Toc227923360"/>
      <w:bookmarkEnd w:id="60"/>
      <w:r>
        <w:lastRenderedPageBreak/>
        <w:t>5.6 Candidate US Functions for a Pilot Programme</w:t>
      </w:r>
      <w:bookmarkEnd w:id="63"/>
    </w:p>
    <w:p w14:paraId="030BF8B0" w14:textId="77777777" w:rsidR="00485B06" w:rsidRDefault="00000000">
      <w:pPr>
        <w:pStyle w:val="FirstParagraph"/>
      </w:pPr>
      <w:r>
        <w:t>A deliberate US pilot should target functions with (i) high data maturity, (ii) cross-state variation that enables comparison, and (iii) active governance reform debates that create demand for diagnostic analysis.</w:t>
      </w:r>
    </w:p>
    <w:tbl>
      <w:tblPr>
        <w:tblStyle w:val="Table"/>
        <w:tblW w:w="5000" w:type="pct"/>
        <w:tblLook w:val="0020" w:firstRow="1" w:lastRow="0" w:firstColumn="0" w:lastColumn="0" w:noHBand="0" w:noVBand="0"/>
      </w:tblPr>
      <w:tblGrid>
        <w:gridCol w:w="2491"/>
        <w:gridCol w:w="4085"/>
        <w:gridCol w:w="3000"/>
      </w:tblGrid>
      <w:tr w:rsidR="00485B06" w14:paraId="6962015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D501B4D" w14:textId="77777777" w:rsidR="00485B06" w:rsidRDefault="00000000">
            <w:pPr>
              <w:pStyle w:val="Compact"/>
            </w:pPr>
            <w:r>
              <w:t>Function</w:t>
            </w:r>
          </w:p>
        </w:tc>
        <w:tc>
          <w:tcPr>
            <w:tcW w:w="0" w:type="auto"/>
          </w:tcPr>
          <w:p w14:paraId="05344EFE" w14:textId="77777777" w:rsidR="00485B06" w:rsidRDefault="00000000">
            <w:pPr>
              <w:pStyle w:val="Compact"/>
            </w:pPr>
            <w:r>
              <w:t>Why it’s a good pilot</w:t>
            </w:r>
          </w:p>
        </w:tc>
        <w:tc>
          <w:tcPr>
            <w:tcW w:w="0" w:type="auto"/>
          </w:tcPr>
          <w:p w14:paraId="42C70D9C" w14:textId="77777777" w:rsidR="00485B06" w:rsidRDefault="00000000">
            <w:pPr>
              <w:pStyle w:val="Compact"/>
            </w:pPr>
            <w:r>
              <w:t>Candidate data partners</w:t>
            </w:r>
          </w:p>
        </w:tc>
      </w:tr>
      <w:tr w:rsidR="00485B06" w14:paraId="566174E9" w14:textId="77777777">
        <w:tc>
          <w:tcPr>
            <w:tcW w:w="0" w:type="auto"/>
          </w:tcPr>
          <w:p w14:paraId="6FDB8255" w14:textId="77777777" w:rsidR="00485B06" w:rsidRDefault="00000000">
            <w:pPr>
              <w:pStyle w:val="Compact"/>
            </w:pPr>
            <w:r>
              <w:t>K–12 education</w:t>
            </w:r>
          </w:p>
        </w:tc>
        <w:tc>
          <w:tcPr>
            <w:tcW w:w="0" w:type="auto"/>
          </w:tcPr>
          <w:p w14:paraId="5323FB80" w14:textId="77777777" w:rsidR="00485B06" w:rsidRDefault="00000000">
            <w:pPr>
              <w:pStyle w:val="Compact"/>
            </w:pPr>
            <w:r>
              <w:t>N=50 states × strong federal data; NAEP; EdStats; cross-state variation in governance models</w:t>
            </w:r>
          </w:p>
        </w:tc>
        <w:tc>
          <w:tcPr>
            <w:tcW w:w="0" w:type="auto"/>
          </w:tcPr>
          <w:p w14:paraId="26744AAC" w14:textId="77777777" w:rsidR="00485B06" w:rsidRDefault="00000000">
            <w:pPr>
              <w:pStyle w:val="Compact"/>
            </w:pPr>
            <w:r>
              <w:t>RAND; Urban Institute; Education Commission of the States</w:t>
            </w:r>
          </w:p>
        </w:tc>
      </w:tr>
      <w:tr w:rsidR="00485B06" w14:paraId="7AC88268" w14:textId="77777777">
        <w:tc>
          <w:tcPr>
            <w:tcW w:w="0" w:type="auto"/>
          </w:tcPr>
          <w:p w14:paraId="73CEF2F8" w14:textId="77777777" w:rsidR="00485B06" w:rsidRDefault="00000000">
            <w:pPr>
              <w:pStyle w:val="Compact"/>
            </w:pPr>
            <w:r>
              <w:t>Medicaid administration</w:t>
            </w:r>
          </w:p>
        </w:tc>
        <w:tc>
          <w:tcPr>
            <w:tcW w:w="0" w:type="auto"/>
          </w:tcPr>
          <w:p w14:paraId="654C1C9C" w14:textId="77777777" w:rsidR="00485B06" w:rsidRDefault="00000000">
            <w:pPr>
              <w:pStyle w:val="Compact"/>
            </w:pPr>
            <w:r>
              <w:t>Federal-state programme with sharp governance variation (expansion vs non-expansion; managed care vs FFS)</w:t>
            </w:r>
          </w:p>
        </w:tc>
        <w:tc>
          <w:tcPr>
            <w:tcW w:w="0" w:type="auto"/>
          </w:tcPr>
          <w:p w14:paraId="33F28AED" w14:textId="77777777" w:rsidR="00485B06" w:rsidRDefault="00000000">
            <w:pPr>
              <w:pStyle w:val="Compact"/>
            </w:pPr>
            <w:r>
              <w:t>Commonwealth Fund; Kaiser Family Foundation; MACPAC</w:t>
            </w:r>
          </w:p>
        </w:tc>
      </w:tr>
      <w:tr w:rsidR="00485B06" w14:paraId="48835E93" w14:textId="77777777">
        <w:tc>
          <w:tcPr>
            <w:tcW w:w="0" w:type="auto"/>
          </w:tcPr>
          <w:p w14:paraId="793FC797" w14:textId="77777777" w:rsidR="00485B06" w:rsidRDefault="00000000">
            <w:pPr>
              <w:pStyle w:val="Compact"/>
            </w:pPr>
            <w:r>
              <w:t>Drinking water utilities</w:t>
            </w:r>
          </w:p>
        </w:tc>
        <w:tc>
          <w:tcPr>
            <w:tcW w:w="0" w:type="auto"/>
          </w:tcPr>
          <w:p w14:paraId="1ED8D6C8" w14:textId="77777777" w:rsidR="00485B06" w:rsidRDefault="00000000">
            <w:pPr>
              <w:pStyle w:val="Compact"/>
            </w:pPr>
            <w:r>
              <w:t>EPA SDWIS and ECHO provide structured data; post-Flint attention sustains demand</w:t>
            </w:r>
          </w:p>
        </w:tc>
        <w:tc>
          <w:tcPr>
            <w:tcW w:w="0" w:type="auto"/>
          </w:tcPr>
          <w:p w14:paraId="7FB471EC" w14:textId="77777777" w:rsidR="00485B06" w:rsidRDefault="00000000">
            <w:pPr>
              <w:pStyle w:val="Compact"/>
            </w:pPr>
            <w:r>
              <w:t>EPA; AWWA; Pacific Institute</w:t>
            </w:r>
          </w:p>
        </w:tc>
      </w:tr>
      <w:tr w:rsidR="00485B06" w14:paraId="43FA5CC0" w14:textId="77777777">
        <w:tc>
          <w:tcPr>
            <w:tcW w:w="0" w:type="auto"/>
          </w:tcPr>
          <w:p w14:paraId="72D00032" w14:textId="77777777" w:rsidR="00485B06" w:rsidRDefault="00000000">
            <w:pPr>
              <w:pStyle w:val="Compact"/>
            </w:pPr>
            <w:r>
              <w:t>Unemployment insurance administration</w:t>
            </w:r>
          </w:p>
        </w:tc>
        <w:tc>
          <w:tcPr>
            <w:tcW w:w="0" w:type="auto"/>
          </w:tcPr>
          <w:p w14:paraId="30A4735A" w14:textId="77777777" w:rsidR="00485B06" w:rsidRDefault="00000000">
            <w:pPr>
              <w:pStyle w:val="Compact"/>
            </w:pPr>
            <w:r>
              <w:t>Pandemic exposure of state UI systems created structural-reform demand</w:t>
            </w:r>
          </w:p>
        </w:tc>
        <w:tc>
          <w:tcPr>
            <w:tcW w:w="0" w:type="auto"/>
          </w:tcPr>
          <w:p w14:paraId="2FEA20D5" w14:textId="77777777" w:rsidR="00485B06" w:rsidRDefault="00000000">
            <w:pPr>
              <w:pStyle w:val="Compact"/>
            </w:pPr>
            <w:r>
              <w:t>Century Foundation; Brookings; state-level policy centres</w:t>
            </w:r>
          </w:p>
        </w:tc>
      </w:tr>
      <w:tr w:rsidR="00485B06" w14:paraId="747B68B8" w14:textId="77777777">
        <w:tc>
          <w:tcPr>
            <w:tcW w:w="0" w:type="auto"/>
          </w:tcPr>
          <w:p w14:paraId="76C515A0" w14:textId="77777777" w:rsidR="00485B06" w:rsidRDefault="00000000">
            <w:pPr>
              <w:pStyle w:val="Compact"/>
            </w:pPr>
            <w:r>
              <w:t>State DOT project delivery</w:t>
            </w:r>
          </w:p>
        </w:tc>
        <w:tc>
          <w:tcPr>
            <w:tcW w:w="0" w:type="auto"/>
          </w:tcPr>
          <w:p w14:paraId="01DBA034" w14:textId="77777777" w:rsidR="00485B06" w:rsidRDefault="00000000">
            <w:pPr>
              <w:pStyle w:val="Compact"/>
            </w:pPr>
            <w:r>
              <w:t>ASCE Report Card; FHWA data; comparable across states</w:t>
            </w:r>
          </w:p>
        </w:tc>
        <w:tc>
          <w:tcPr>
            <w:tcW w:w="0" w:type="auto"/>
          </w:tcPr>
          <w:p w14:paraId="619D8EC8" w14:textId="77777777" w:rsidR="00485B06" w:rsidRDefault="00000000">
            <w:pPr>
              <w:pStyle w:val="Compact"/>
            </w:pPr>
            <w:r>
              <w:t>ASCE; Eno Transportation Center; TRB</w:t>
            </w:r>
          </w:p>
        </w:tc>
      </w:tr>
    </w:tbl>
    <w:p w14:paraId="3D6D586D" w14:textId="77777777" w:rsidR="00485B06" w:rsidRDefault="00000000">
      <w:pPr>
        <w:pStyle w:val="Heading3"/>
      </w:pPr>
      <w:bookmarkStart w:id="64" w:name="X543eaada00271f659b2ea10bb30865e89ce3eed"/>
      <w:bookmarkStart w:id="65" w:name="_Toc227923361"/>
      <w:bookmarkEnd w:id="62"/>
      <w:r>
        <w:t>5.7 What an International Expansion Does for Credibility</w:t>
      </w:r>
      <w:bookmarkEnd w:id="65"/>
    </w:p>
    <w:p w14:paraId="26E6118F" w14:textId="77777777" w:rsidR="00485B06" w:rsidRDefault="00000000">
      <w:pPr>
        <w:pStyle w:val="FirstParagraph"/>
      </w:pPr>
      <w:r>
        <w:t>Successful adaptation to the United States produces four credibility benefits.</w:t>
      </w:r>
    </w:p>
    <w:p w14:paraId="633C6B1F" w14:textId="77777777" w:rsidR="00485B06" w:rsidRDefault="00000000">
      <w:pPr>
        <w:pStyle w:val="Compact"/>
        <w:numPr>
          <w:ilvl w:val="0"/>
          <w:numId w:val="12"/>
        </w:numPr>
      </w:pPr>
      <w:r>
        <w:rPr>
          <w:b/>
          <w:bCs/>
        </w:rPr>
        <w:t>Generality is demonstrated, not asserted.</w:t>
      </w:r>
      <w:r>
        <w:t xml:space="preserve"> Reviewers who suspect the framework is a theory of South African pathology are answered by a working US application.</w:t>
      </w:r>
    </w:p>
    <w:p w14:paraId="1FE66BBD" w14:textId="77777777" w:rsidR="00485B06" w:rsidRDefault="00000000">
      <w:pPr>
        <w:pStyle w:val="Compact"/>
        <w:numPr>
          <w:ilvl w:val="0"/>
          <w:numId w:val="12"/>
        </w:numPr>
      </w:pPr>
      <w:r>
        <w:rPr>
          <w:b/>
          <w:bCs/>
        </w:rPr>
        <w:t>Access to additional publication venues.</w:t>
      </w:r>
      <w:r>
        <w:t xml:space="preserve"> US-state-politics journals (State Politics &amp; Policy Quarterly, Publius: The Journal of Federalism) and US public-administration journals (American Review of Public Administration, Public Administration Review) become available to an international application.</w:t>
      </w:r>
    </w:p>
    <w:p w14:paraId="65C00594" w14:textId="77777777" w:rsidR="00485B06" w:rsidRDefault="00000000">
      <w:pPr>
        <w:pStyle w:val="Compact"/>
        <w:numPr>
          <w:ilvl w:val="0"/>
          <w:numId w:val="12"/>
        </w:numPr>
      </w:pPr>
      <w:r>
        <w:rPr>
          <w:b/>
          <w:bCs/>
        </w:rPr>
        <w:t>Access to US research partners.</w:t>
      </w:r>
      <w:r>
        <w:t xml:space="preserve"> Nonprofit research institutions (Pew, Urban, Brookings, RAND) and US university faculty become plausible collaborators once there is a working US case to point to.</w:t>
      </w:r>
    </w:p>
    <w:p w14:paraId="12A2E964" w14:textId="77777777" w:rsidR="00485B06" w:rsidRDefault="00000000">
      <w:pPr>
        <w:pStyle w:val="Compact"/>
        <w:numPr>
          <w:ilvl w:val="0"/>
          <w:numId w:val="12"/>
        </w:numPr>
      </w:pPr>
      <w:r>
        <w:rPr>
          <w:b/>
          <w:bCs/>
        </w:rPr>
        <w:t>Market expansion.</w:t>
      </w:r>
      <w:r>
        <w:t xml:space="preserve"> US states, large cities and federal oversight bodies (GAO; federal Inspectors General) become potential diagnostic clients.</w:t>
      </w:r>
    </w:p>
    <w:p w14:paraId="0EE06704" w14:textId="77777777" w:rsidR="00485B06" w:rsidRDefault="00000000">
      <w:pPr>
        <w:pStyle w:val="FirstParagraph"/>
      </w:pPr>
      <w:r>
        <w:t>A parallel adaptation exercise for European (UK nations and regions; German Länder), Latin American (Brazilian states and large municipios) and Asian (Indian states) systems should follow the US pilot. Each requires its own indicator translation layer; each expands the framework’s credible reach.</w:t>
      </w:r>
    </w:p>
    <w:p w14:paraId="51DCB515" w14:textId="77777777" w:rsidR="00485B06" w:rsidRDefault="009A4A2B">
      <w:r>
        <w:rPr>
          <w:noProof/>
        </w:rPr>
        <w:pict w14:anchorId="68879260">
          <v:rect id="_x0000_i1030" alt="" style="width:451.3pt;height:.05pt;mso-width-percent:0;mso-height-percent:0;mso-width-percent:0;mso-height-percent:0" o:hralign="center" o:hrstd="t" o:hr="t"/>
        </w:pict>
      </w:r>
    </w:p>
    <w:p w14:paraId="1B1BBC0D" w14:textId="77777777" w:rsidR="00485B06" w:rsidRDefault="00000000">
      <w:pPr>
        <w:pStyle w:val="Heading2"/>
      </w:pPr>
      <w:bookmarkStart w:id="66" w:name="X8923336abaac1397c9ff5a9555cb27f2fe7eb39"/>
      <w:bookmarkStart w:id="67" w:name="_Toc227923362"/>
      <w:bookmarkEnd w:id="50"/>
      <w:bookmarkEnd w:id="64"/>
      <w:r>
        <w:lastRenderedPageBreak/>
        <w:t>6. Part IV — Sequenced Roadmap to Credibility (2026–2030)</w:t>
      </w:r>
      <w:bookmarkEnd w:id="67"/>
    </w:p>
    <w:p w14:paraId="1209F4E6" w14:textId="77777777" w:rsidR="00485B06" w:rsidRDefault="00000000">
      <w:pPr>
        <w:pStyle w:val="FirstParagraph"/>
      </w:pPr>
      <w:r>
        <w:t>Credibility is earned in order. Steps out of sequence do not compound.</w:t>
      </w:r>
    </w:p>
    <w:p w14:paraId="2304DB8C" w14:textId="77777777" w:rsidR="00485B06" w:rsidRDefault="00000000">
      <w:pPr>
        <w:pStyle w:val="Heading3"/>
      </w:pPr>
      <w:bookmarkStart w:id="68" w:name="year-1-2026-foundation"/>
      <w:bookmarkStart w:id="69" w:name="_Toc227923363"/>
      <w:r>
        <w:t>Year 1 (2026) — Foundation</w:t>
      </w:r>
      <w:bookmarkEnd w:id="69"/>
    </w:p>
    <w:p w14:paraId="0C6741FC" w14:textId="77777777" w:rsidR="00485B06" w:rsidRDefault="00000000">
      <w:pPr>
        <w:pStyle w:val="Compact"/>
        <w:numPr>
          <w:ilvl w:val="0"/>
          <w:numId w:val="13"/>
        </w:numPr>
      </w:pPr>
      <w:r>
        <w:t>Publish the foundational methodology paper as an SSRN working paper.</w:t>
      </w:r>
    </w:p>
    <w:p w14:paraId="705B15E5" w14:textId="77777777" w:rsidR="00485B06" w:rsidRDefault="00000000">
      <w:pPr>
        <w:pStyle w:val="Compact"/>
        <w:numPr>
          <w:ilvl w:val="0"/>
          <w:numId w:val="13"/>
        </w:numPr>
      </w:pPr>
      <w:r>
        <w:t>Formalise the water-services indicator library v1 and publish the codebook.</w:t>
      </w:r>
    </w:p>
    <w:p w14:paraId="7163D89E" w14:textId="77777777" w:rsidR="00485B06" w:rsidRDefault="00000000">
      <w:pPr>
        <w:pStyle w:val="Compact"/>
        <w:numPr>
          <w:ilvl w:val="0"/>
          <w:numId w:val="13"/>
        </w:numPr>
      </w:pPr>
      <w:r>
        <w:t>Release the open-source scoring algorithm.</w:t>
      </w:r>
    </w:p>
    <w:p w14:paraId="1E7A0AEE" w14:textId="77777777" w:rsidR="00485B06" w:rsidRDefault="00000000">
      <w:pPr>
        <w:pStyle w:val="Compact"/>
        <w:numPr>
          <w:ilvl w:val="0"/>
          <w:numId w:val="13"/>
        </w:numPr>
      </w:pPr>
      <w:r>
        <w:t>Sign an MOU with one South African academic institution.</w:t>
      </w:r>
    </w:p>
    <w:p w14:paraId="4B0204BB" w14:textId="77777777" w:rsidR="00485B06" w:rsidRDefault="00000000">
      <w:pPr>
        <w:pStyle w:val="Compact"/>
        <w:numPr>
          <w:ilvl w:val="0"/>
          <w:numId w:val="13"/>
        </w:numPr>
      </w:pPr>
      <w:r>
        <w:t>Constitute the advisory board with at least two non-South African members.</w:t>
      </w:r>
    </w:p>
    <w:p w14:paraId="277C6396" w14:textId="77777777" w:rsidR="00485B06" w:rsidRDefault="00000000">
      <w:pPr>
        <w:pStyle w:val="Compact"/>
        <w:numPr>
          <w:ilvl w:val="0"/>
          <w:numId w:val="13"/>
        </w:numPr>
      </w:pPr>
      <w:r>
        <w:t>Complete the ten-municipality inter-rater reliability pilot.</w:t>
      </w:r>
    </w:p>
    <w:p w14:paraId="6A052950" w14:textId="77777777" w:rsidR="00485B06" w:rsidRDefault="00000000">
      <w:pPr>
        <w:pStyle w:val="Heading3"/>
      </w:pPr>
      <w:bookmarkStart w:id="70" w:name="year-2-2027-validation"/>
      <w:bookmarkStart w:id="71" w:name="_Toc227923364"/>
      <w:bookmarkEnd w:id="68"/>
      <w:r>
        <w:t>Year 2 (2027) — Validation</w:t>
      </w:r>
      <w:bookmarkEnd w:id="71"/>
    </w:p>
    <w:p w14:paraId="630EC843" w14:textId="77777777" w:rsidR="00485B06" w:rsidRDefault="00000000">
      <w:pPr>
        <w:pStyle w:val="Compact"/>
        <w:numPr>
          <w:ilvl w:val="0"/>
          <w:numId w:val="14"/>
        </w:numPr>
      </w:pPr>
      <w:r>
        <w:t xml:space="preserve">Publish the inter-rater reliability study as a working paper; submit to </w:t>
      </w:r>
      <w:r>
        <w:rPr>
          <w:i/>
          <w:iCs/>
        </w:rPr>
        <w:t>Governance</w:t>
      </w:r>
      <w:r>
        <w:t>.</w:t>
      </w:r>
    </w:p>
    <w:p w14:paraId="4925A940" w14:textId="77777777" w:rsidR="00485B06" w:rsidRDefault="00000000">
      <w:pPr>
        <w:pStyle w:val="Compact"/>
        <w:numPr>
          <w:ilvl w:val="0"/>
          <w:numId w:val="14"/>
        </w:numPr>
      </w:pPr>
      <w:r>
        <w:t>Expand the indicator library to three additional functions (education, electricity, healthcare).</w:t>
      </w:r>
    </w:p>
    <w:p w14:paraId="44DAE034" w14:textId="77777777" w:rsidR="00485B06" w:rsidRDefault="00000000">
      <w:pPr>
        <w:pStyle w:val="Compact"/>
        <w:numPr>
          <w:ilvl w:val="0"/>
          <w:numId w:val="14"/>
        </w:numPr>
      </w:pPr>
      <w:r>
        <w:t>Begin the predictive validation study (50 municipalities tracked against audit outcomes).</w:t>
      </w:r>
    </w:p>
    <w:p w14:paraId="1BD81092" w14:textId="77777777" w:rsidR="00485B06" w:rsidRDefault="00000000">
      <w:pPr>
        <w:pStyle w:val="Compact"/>
        <w:numPr>
          <w:ilvl w:val="0"/>
          <w:numId w:val="14"/>
        </w:numPr>
      </w:pPr>
      <w:r>
        <w:t>Publish the first five public diagnostic reports with full replication packages.</w:t>
      </w:r>
    </w:p>
    <w:p w14:paraId="4B00772C" w14:textId="77777777" w:rsidR="00485B06" w:rsidRDefault="00000000">
      <w:pPr>
        <w:pStyle w:val="Compact"/>
        <w:numPr>
          <w:ilvl w:val="0"/>
          <w:numId w:val="14"/>
        </w:numPr>
      </w:pPr>
      <w:r>
        <w:t>Launch the Observatory dashboard alpha.</w:t>
      </w:r>
    </w:p>
    <w:p w14:paraId="6BE8AD6C" w14:textId="77777777" w:rsidR="00485B06" w:rsidRDefault="00000000">
      <w:pPr>
        <w:pStyle w:val="Compact"/>
        <w:numPr>
          <w:ilvl w:val="0"/>
          <w:numId w:val="14"/>
        </w:numPr>
      </w:pPr>
      <w:r>
        <w:t>Begin the US indicator translation for one pilot function (drinking water).</w:t>
      </w:r>
    </w:p>
    <w:p w14:paraId="5851EB4A" w14:textId="77777777" w:rsidR="00485B06" w:rsidRDefault="00000000">
      <w:pPr>
        <w:pStyle w:val="Heading3"/>
      </w:pPr>
      <w:bookmarkStart w:id="72" w:name="year-3-2028-publication"/>
      <w:bookmarkStart w:id="73" w:name="_Toc227923365"/>
      <w:bookmarkEnd w:id="70"/>
      <w:r>
        <w:t>Year 3 (2028) — Publication</w:t>
      </w:r>
      <w:bookmarkEnd w:id="73"/>
    </w:p>
    <w:p w14:paraId="59BC54AA" w14:textId="77777777" w:rsidR="00485B06" w:rsidRDefault="00000000">
      <w:pPr>
        <w:pStyle w:val="Compact"/>
        <w:numPr>
          <w:ilvl w:val="0"/>
          <w:numId w:val="15"/>
        </w:numPr>
      </w:pPr>
      <w:r>
        <w:t>Methodology paper accepted in a peer-reviewed governance journal.</w:t>
      </w:r>
    </w:p>
    <w:p w14:paraId="2908F558" w14:textId="77777777" w:rsidR="00485B06" w:rsidRDefault="00000000">
      <w:pPr>
        <w:pStyle w:val="Compact"/>
        <w:numPr>
          <w:ilvl w:val="0"/>
          <w:numId w:val="15"/>
        </w:numPr>
      </w:pPr>
      <w:r>
        <w:t>Submit the comparative-country paper (South Africa + one African comparator + one OECD comparator).</w:t>
      </w:r>
    </w:p>
    <w:p w14:paraId="57B906E9" w14:textId="77777777" w:rsidR="00485B06" w:rsidRDefault="00000000">
      <w:pPr>
        <w:pStyle w:val="Compact"/>
        <w:numPr>
          <w:ilvl w:val="0"/>
          <w:numId w:val="15"/>
        </w:numPr>
      </w:pPr>
      <w:r>
        <w:t>Complete the US pilot for drinking water utility governance across five states.</w:t>
      </w:r>
    </w:p>
    <w:p w14:paraId="704AFF98" w14:textId="77777777" w:rsidR="00485B06" w:rsidRDefault="00000000">
      <w:pPr>
        <w:pStyle w:val="Compact"/>
        <w:numPr>
          <w:ilvl w:val="0"/>
          <w:numId w:val="15"/>
        </w:numPr>
      </w:pPr>
      <w:r>
        <w:t>Secure a multilateral engagement (World Bank, UNDP, AfDB or equivalent) using the framework.</w:t>
      </w:r>
    </w:p>
    <w:p w14:paraId="083C5A17" w14:textId="77777777" w:rsidR="00485B06" w:rsidRDefault="00000000">
      <w:pPr>
        <w:pStyle w:val="Compact"/>
        <w:numPr>
          <w:ilvl w:val="0"/>
          <w:numId w:val="15"/>
        </w:numPr>
      </w:pPr>
      <w:r>
        <w:t>Constitute the stewardship entity.</w:t>
      </w:r>
    </w:p>
    <w:p w14:paraId="0E58DF2D" w14:textId="77777777" w:rsidR="00485B06" w:rsidRDefault="00000000">
      <w:pPr>
        <w:pStyle w:val="Heading3"/>
      </w:pPr>
      <w:bookmarkStart w:id="74" w:name="year-4-2029-consolidation"/>
      <w:bookmarkStart w:id="75" w:name="_Toc227923366"/>
      <w:bookmarkEnd w:id="72"/>
      <w:r>
        <w:t>Year 4 (2029) — Consolidation</w:t>
      </w:r>
      <w:bookmarkEnd w:id="75"/>
    </w:p>
    <w:p w14:paraId="02768B62" w14:textId="77777777" w:rsidR="00485B06" w:rsidRDefault="00000000">
      <w:pPr>
        <w:pStyle w:val="Compact"/>
        <w:numPr>
          <w:ilvl w:val="0"/>
          <w:numId w:val="16"/>
        </w:numPr>
      </w:pPr>
      <w:r>
        <w:t>Publish the predictive validation results.</w:t>
      </w:r>
    </w:p>
    <w:p w14:paraId="18CDCD66" w14:textId="77777777" w:rsidR="00485B06" w:rsidRDefault="00000000">
      <w:pPr>
        <w:pStyle w:val="Compact"/>
        <w:numPr>
          <w:ilvl w:val="0"/>
          <w:numId w:val="16"/>
        </w:numPr>
      </w:pPr>
      <w:r>
        <w:t>Publish the comparative-country study.</w:t>
      </w:r>
    </w:p>
    <w:p w14:paraId="2A4D8EA3" w14:textId="77777777" w:rsidR="00485B06" w:rsidRDefault="00000000">
      <w:pPr>
        <w:pStyle w:val="Compact"/>
        <w:numPr>
          <w:ilvl w:val="0"/>
          <w:numId w:val="16"/>
        </w:numPr>
      </w:pPr>
      <w:r>
        <w:t>Expand US coverage to a second function.</w:t>
      </w:r>
    </w:p>
    <w:p w14:paraId="7C65BFC1" w14:textId="77777777" w:rsidR="00485B06" w:rsidRDefault="00000000">
      <w:pPr>
        <w:pStyle w:val="Compact"/>
        <w:numPr>
          <w:ilvl w:val="0"/>
          <w:numId w:val="16"/>
        </w:numPr>
      </w:pPr>
      <w:r>
        <w:t>Establish a formal analyst certification programme.</w:t>
      </w:r>
    </w:p>
    <w:p w14:paraId="667A4652" w14:textId="77777777" w:rsidR="00485B06" w:rsidRDefault="00000000">
      <w:pPr>
        <w:pStyle w:val="Heading3"/>
      </w:pPr>
      <w:bookmarkStart w:id="76" w:name="year-5-2030-standing"/>
      <w:bookmarkStart w:id="77" w:name="_Toc227923367"/>
      <w:bookmarkEnd w:id="74"/>
      <w:r>
        <w:t>Year 5 (2030) — Standing</w:t>
      </w:r>
      <w:bookmarkEnd w:id="77"/>
    </w:p>
    <w:p w14:paraId="7BE8B7B0" w14:textId="77777777" w:rsidR="00485B06" w:rsidRDefault="00000000">
      <w:pPr>
        <w:pStyle w:val="Compact"/>
        <w:numPr>
          <w:ilvl w:val="0"/>
          <w:numId w:val="17"/>
        </w:numPr>
      </w:pPr>
      <w:r>
        <w:t>RAARICLE™ cited in multilateral governance assessment reports.</w:t>
      </w:r>
    </w:p>
    <w:p w14:paraId="29DBDD77" w14:textId="77777777" w:rsidR="00485B06" w:rsidRDefault="00000000">
      <w:pPr>
        <w:pStyle w:val="Compact"/>
        <w:numPr>
          <w:ilvl w:val="0"/>
          <w:numId w:val="17"/>
        </w:numPr>
      </w:pPr>
      <w:r>
        <w:t>Used in at least three national-level public-sector reform programmes outside South Africa.</w:t>
      </w:r>
    </w:p>
    <w:p w14:paraId="72CBE1BD" w14:textId="77777777" w:rsidR="00485B06" w:rsidRDefault="00000000">
      <w:pPr>
        <w:pStyle w:val="Compact"/>
        <w:numPr>
          <w:ilvl w:val="0"/>
          <w:numId w:val="17"/>
        </w:numPr>
      </w:pPr>
      <w:r>
        <w:t>Taught in at least one graduate programme as a methods module.</w:t>
      </w:r>
    </w:p>
    <w:p w14:paraId="12A002C1" w14:textId="77777777" w:rsidR="00485B06" w:rsidRDefault="00000000">
      <w:pPr>
        <w:pStyle w:val="Compact"/>
        <w:numPr>
          <w:ilvl w:val="0"/>
          <w:numId w:val="17"/>
        </w:numPr>
      </w:pPr>
      <w:r>
        <w:t>Observatory data used in peer-reviewed research by external teams.</w:t>
      </w:r>
    </w:p>
    <w:p w14:paraId="1F965997" w14:textId="77777777" w:rsidR="00485B06" w:rsidRDefault="00000000">
      <w:pPr>
        <w:pStyle w:val="FirstParagraph"/>
      </w:pPr>
      <w:r>
        <w:lastRenderedPageBreak/>
        <w:t>Credibility at this point ceases to be an active pursuit and becomes an operating condition.</w:t>
      </w:r>
    </w:p>
    <w:p w14:paraId="65F7C786" w14:textId="77777777" w:rsidR="00485B06" w:rsidRDefault="009A4A2B">
      <w:r>
        <w:rPr>
          <w:noProof/>
        </w:rPr>
        <w:pict w14:anchorId="4D35CEB0">
          <v:rect id="_x0000_i1029" alt="" style="width:451.3pt;height:.05pt;mso-width-percent:0;mso-height-percent:0;mso-width-percent:0;mso-height-percent:0" o:hralign="center" o:hrstd="t" o:hr="t"/>
        </w:pict>
      </w:r>
    </w:p>
    <w:p w14:paraId="6DAE5F6E" w14:textId="77777777" w:rsidR="00485B06" w:rsidRDefault="00000000">
      <w:pPr>
        <w:pStyle w:val="Heading2"/>
      </w:pPr>
      <w:bookmarkStart w:id="78" w:name="X5cdff9a989fe94ef2efd516fc8010b37aca7901"/>
      <w:bookmarkStart w:id="79" w:name="_Toc227923368"/>
      <w:bookmarkEnd w:id="66"/>
      <w:bookmarkEnd w:id="76"/>
      <w:r>
        <w:t>7. Appendix A — How Comparator Frameworks Earned Their Standing</w:t>
      </w:r>
      <w:bookmarkEnd w:id="79"/>
    </w:p>
    <w:p w14:paraId="558FF38C" w14:textId="77777777" w:rsidR="00485B06" w:rsidRDefault="00000000">
      <w:pPr>
        <w:pStyle w:val="FirstParagraph"/>
      </w:pPr>
      <w:r>
        <w:t>A brief audit of how competing frameworks acquired academic and practitioner credibility clarifies what RAARICLE™ must replicate.</w:t>
      </w:r>
    </w:p>
    <w:tbl>
      <w:tblPr>
        <w:tblStyle w:val="Table"/>
        <w:tblW w:w="5000" w:type="pct"/>
        <w:tblLook w:val="0020" w:firstRow="1" w:lastRow="0" w:firstColumn="0" w:lastColumn="0" w:noHBand="0" w:noVBand="0"/>
      </w:tblPr>
      <w:tblGrid>
        <w:gridCol w:w="3050"/>
        <w:gridCol w:w="6526"/>
      </w:tblGrid>
      <w:tr w:rsidR="00485B06" w14:paraId="49BF77F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E7F33FA" w14:textId="77777777" w:rsidR="00485B06" w:rsidRDefault="00000000">
            <w:pPr>
              <w:pStyle w:val="Compact"/>
            </w:pPr>
            <w:r>
              <w:t>Framework</w:t>
            </w:r>
          </w:p>
        </w:tc>
        <w:tc>
          <w:tcPr>
            <w:tcW w:w="0" w:type="auto"/>
          </w:tcPr>
          <w:p w14:paraId="40F9C9CC" w14:textId="77777777" w:rsidR="00485B06" w:rsidRDefault="00000000">
            <w:pPr>
              <w:pStyle w:val="Compact"/>
            </w:pPr>
            <w:r>
              <w:t>Credibility path</w:t>
            </w:r>
          </w:p>
        </w:tc>
      </w:tr>
      <w:tr w:rsidR="00485B06" w14:paraId="0976BB69" w14:textId="77777777">
        <w:tc>
          <w:tcPr>
            <w:tcW w:w="0" w:type="auto"/>
          </w:tcPr>
          <w:p w14:paraId="516B1FCB" w14:textId="77777777" w:rsidR="00485B06" w:rsidRDefault="00000000">
            <w:pPr>
              <w:pStyle w:val="Compact"/>
            </w:pPr>
            <w:r>
              <w:rPr>
                <w:b/>
                <w:bCs/>
              </w:rPr>
              <w:t>World Governance Indicators (WGI)</w:t>
            </w:r>
          </w:p>
        </w:tc>
        <w:tc>
          <w:tcPr>
            <w:tcW w:w="0" w:type="auto"/>
          </w:tcPr>
          <w:p w14:paraId="15AF8464" w14:textId="77777777" w:rsidR="00485B06" w:rsidRDefault="00000000">
            <w:pPr>
              <w:pStyle w:val="Compact"/>
            </w:pPr>
            <w:r>
              <w:t>Kaufmann-Kraay-Mastruzzi methodology papers in Policy Research Working Paper series; replicable data release; transparent aggregation method; decades of peer-reviewed critique and response</w:t>
            </w:r>
          </w:p>
        </w:tc>
      </w:tr>
      <w:tr w:rsidR="00485B06" w14:paraId="6F280E7E" w14:textId="77777777">
        <w:tc>
          <w:tcPr>
            <w:tcW w:w="0" w:type="auto"/>
          </w:tcPr>
          <w:p w14:paraId="2B005EC6" w14:textId="77777777" w:rsidR="00485B06" w:rsidRDefault="00000000">
            <w:pPr>
              <w:pStyle w:val="Compact"/>
            </w:pPr>
            <w:r>
              <w:rPr>
                <w:b/>
                <w:bCs/>
              </w:rPr>
              <w:t>V-Dem</w:t>
            </w:r>
          </w:p>
        </w:tc>
        <w:tc>
          <w:tcPr>
            <w:tcW w:w="0" w:type="auto"/>
          </w:tcPr>
          <w:p w14:paraId="48408B2D" w14:textId="77777777" w:rsidR="00485B06" w:rsidRDefault="00000000">
            <w:pPr>
              <w:pStyle w:val="Compact"/>
            </w:pPr>
            <w:r>
              <w:t>University of Gothenburg institutional home; multi-country expert panels with documented selection protocol; open datasets at V-Dem.net; dozens of peer-reviewed methodology papers; high-quality interface</w:t>
            </w:r>
          </w:p>
        </w:tc>
      </w:tr>
      <w:tr w:rsidR="00485B06" w14:paraId="320ED818" w14:textId="77777777">
        <w:tc>
          <w:tcPr>
            <w:tcW w:w="0" w:type="auto"/>
          </w:tcPr>
          <w:p w14:paraId="6EC0ED1C" w14:textId="77777777" w:rsidR="00485B06" w:rsidRDefault="00000000">
            <w:pPr>
              <w:pStyle w:val="Compact"/>
            </w:pPr>
            <w:r>
              <w:rPr>
                <w:b/>
                <w:bCs/>
              </w:rPr>
              <w:t>Mo Ibrahim Index</w:t>
            </w:r>
          </w:p>
        </w:tc>
        <w:tc>
          <w:tcPr>
            <w:tcW w:w="0" w:type="auto"/>
          </w:tcPr>
          <w:p w14:paraId="7A55363E" w14:textId="77777777" w:rsidR="00485B06" w:rsidRDefault="00000000">
            <w:pPr>
              <w:pStyle w:val="Compact"/>
            </w:pPr>
            <w:r>
              <w:t>Foundation-backed with independent academic review board; transparent methodology; annual release with public data; cross-country comparability</w:t>
            </w:r>
          </w:p>
        </w:tc>
      </w:tr>
      <w:tr w:rsidR="00485B06" w14:paraId="11AFF41D" w14:textId="77777777">
        <w:tc>
          <w:tcPr>
            <w:tcW w:w="0" w:type="auto"/>
          </w:tcPr>
          <w:p w14:paraId="7E84D606" w14:textId="77777777" w:rsidR="00485B06" w:rsidRDefault="00000000">
            <w:pPr>
              <w:pStyle w:val="Compact"/>
            </w:pPr>
            <w:r>
              <w:rPr>
                <w:b/>
                <w:bCs/>
              </w:rPr>
              <w:t>Bertelsmann Transformation Index</w:t>
            </w:r>
          </w:p>
        </w:tc>
        <w:tc>
          <w:tcPr>
            <w:tcW w:w="0" w:type="auto"/>
          </w:tcPr>
          <w:p w14:paraId="4913A50E" w14:textId="77777777" w:rsidR="00485B06" w:rsidRDefault="00000000">
            <w:pPr>
              <w:pStyle w:val="Compact"/>
            </w:pPr>
            <w:r>
              <w:t>Foundation-backed with country-expert panels; published methodology; decades of continuous release</w:t>
            </w:r>
          </w:p>
        </w:tc>
      </w:tr>
      <w:tr w:rsidR="00485B06" w14:paraId="59688306" w14:textId="77777777">
        <w:tc>
          <w:tcPr>
            <w:tcW w:w="0" w:type="auto"/>
          </w:tcPr>
          <w:p w14:paraId="2634B0D6" w14:textId="77777777" w:rsidR="00485B06" w:rsidRDefault="00000000">
            <w:pPr>
              <w:pStyle w:val="Compact"/>
            </w:pPr>
            <w:r>
              <w:rPr>
                <w:b/>
                <w:bCs/>
              </w:rPr>
              <w:t>World Bank CPIA</w:t>
            </w:r>
          </w:p>
        </w:tc>
        <w:tc>
          <w:tcPr>
            <w:tcW w:w="0" w:type="auto"/>
          </w:tcPr>
          <w:p w14:paraId="4E70D357" w14:textId="77777777" w:rsidR="00485B06" w:rsidRDefault="00000000">
            <w:pPr>
              <w:pStyle w:val="Compact"/>
            </w:pPr>
            <w:r>
              <w:t>Internal World Bank assessment with published methodology; used to allocate IDA resources; subject to ongoing external critique that is responded to publicly</w:t>
            </w:r>
          </w:p>
        </w:tc>
      </w:tr>
      <w:tr w:rsidR="00485B06" w14:paraId="6ED3FBC0" w14:textId="77777777">
        <w:tc>
          <w:tcPr>
            <w:tcW w:w="0" w:type="auto"/>
          </w:tcPr>
          <w:p w14:paraId="197775E4" w14:textId="77777777" w:rsidR="00485B06" w:rsidRDefault="00000000">
            <w:pPr>
              <w:pStyle w:val="Compact"/>
            </w:pPr>
            <w:r>
              <w:rPr>
                <w:b/>
                <w:bCs/>
              </w:rPr>
              <w:t>Government at a Glance (OECD)</w:t>
            </w:r>
          </w:p>
        </w:tc>
        <w:tc>
          <w:tcPr>
            <w:tcW w:w="0" w:type="auto"/>
          </w:tcPr>
          <w:p w14:paraId="16F27735" w14:textId="77777777" w:rsidR="00485B06" w:rsidRDefault="00000000">
            <w:pPr>
              <w:pStyle w:val="Compact"/>
            </w:pPr>
            <w:r>
              <w:t>OECD institutional home; government-agreed methodology; biennial release; public data</w:t>
            </w:r>
          </w:p>
        </w:tc>
      </w:tr>
      <w:tr w:rsidR="00485B06" w14:paraId="03B8DE17" w14:textId="77777777">
        <w:tc>
          <w:tcPr>
            <w:tcW w:w="0" w:type="auto"/>
          </w:tcPr>
          <w:p w14:paraId="556DEA3D" w14:textId="77777777" w:rsidR="00485B06" w:rsidRDefault="00000000">
            <w:pPr>
              <w:pStyle w:val="Compact"/>
            </w:pPr>
            <w:r>
              <w:rPr>
                <w:b/>
                <w:bCs/>
              </w:rPr>
              <w:t>PEFA (Public Expenditure and Financial Accountability)</w:t>
            </w:r>
          </w:p>
        </w:tc>
        <w:tc>
          <w:tcPr>
            <w:tcW w:w="0" w:type="auto"/>
          </w:tcPr>
          <w:p w14:paraId="74BFF8CE" w14:textId="77777777" w:rsidR="00485B06" w:rsidRDefault="00000000">
            <w:pPr>
              <w:pStyle w:val="Compact"/>
            </w:pPr>
            <w:r>
              <w:t>Multilateral consortium (World Bank, EU, DFID etc.) as stewardship entity; published methodology; certified assessor programme; cross-country comparability</w:t>
            </w:r>
          </w:p>
        </w:tc>
      </w:tr>
    </w:tbl>
    <w:p w14:paraId="662CD75E" w14:textId="77777777" w:rsidR="00485B06" w:rsidRDefault="00000000">
      <w:pPr>
        <w:pStyle w:val="BodyText"/>
      </w:pPr>
      <w:r>
        <w:t>The pattern is unmistakable: institutional home, published methodology, replicable data, peer review, public release on a fixed cadence. RAARICLE™ must travel the same road.</w:t>
      </w:r>
    </w:p>
    <w:p w14:paraId="4039FEA2" w14:textId="77777777" w:rsidR="005755E1" w:rsidRDefault="005755E1">
      <w:r>
        <w:br w:type="page"/>
      </w:r>
    </w:p>
    <w:p w14:paraId="614F2822" w14:textId="6293192F" w:rsidR="00485B06" w:rsidRDefault="009A4A2B">
      <w:r>
        <w:rPr>
          <w:noProof/>
        </w:rPr>
        <w:lastRenderedPageBreak/>
        <w:pict w14:anchorId="33DDE8A8">
          <v:rect id="_x0000_i1028" alt="" style="width:451.3pt;height:.05pt;mso-width-percent:0;mso-height-percent:0;mso-width-percent:0;mso-height-percent:0" o:hralign="center" o:hrstd="t" o:hr="t"/>
        </w:pict>
      </w:r>
    </w:p>
    <w:p w14:paraId="34C38B46" w14:textId="77777777" w:rsidR="00485B06" w:rsidRDefault="00000000">
      <w:pPr>
        <w:pStyle w:val="Heading2"/>
      </w:pPr>
      <w:bookmarkStart w:id="80" w:name="Xc9744bcd58ba8e4943d6c6bdfa76b6ff7c08b93"/>
      <w:bookmarkStart w:id="81" w:name="_Toc227923369"/>
      <w:bookmarkEnd w:id="78"/>
      <w:r>
        <w:t>8. Appendix B — Risks to Credibility and How to Pre-empt Them</w:t>
      </w:r>
      <w:bookmarkEnd w:id="81"/>
    </w:p>
    <w:tbl>
      <w:tblPr>
        <w:tblStyle w:val="Table"/>
        <w:tblW w:w="5000" w:type="pct"/>
        <w:tblLook w:val="0020" w:firstRow="1" w:lastRow="0" w:firstColumn="0" w:lastColumn="0" w:noHBand="0" w:noVBand="0"/>
      </w:tblPr>
      <w:tblGrid>
        <w:gridCol w:w="2384"/>
        <w:gridCol w:w="2782"/>
        <w:gridCol w:w="4410"/>
      </w:tblGrid>
      <w:tr w:rsidR="00485B06" w14:paraId="37F497D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CC2DDFC" w14:textId="77777777" w:rsidR="00485B06" w:rsidRDefault="00000000">
            <w:pPr>
              <w:pStyle w:val="Compact"/>
            </w:pPr>
            <w:r>
              <w:t>Risk</w:t>
            </w:r>
          </w:p>
        </w:tc>
        <w:tc>
          <w:tcPr>
            <w:tcW w:w="0" w:type="auto"/>
          </w:tcPr>
          <w:p w14:paraId="6ACAF96A" w14:textId="77777777" w:rsidR="00485B06" w:rsidRDefault="00000000">
            <w:pPr>
              <w:pStyle w:val="Compact"/>
            </w:pPr>
            <w:r>
              <w:t>Mechanism</w:t>
            </w:r>
          </w:p>
        </w:tc>
        <w:tc>
          <w:tcPr>
            <w:tcW w:w="0" w:type="auto"/>
          </w:tcPr>
          <w:p w14:paraId="07CF54CB" w14:textId="77777777" w:rsidR="00485B06" w:rsidRDefault="00000000">
            <w:pPr>
              <w:pStyle w:val="Compact"/>
            </w:pPr>
            <w:r>
              <w:t>Pre-emption</w:t>
            </w:r>
          </w:p>
        </w:tc>
      </w:tr>
      <w:tr w:rsidR="00485B06" w14:paraId="28D99F26" w14:textId="77777777">
        <w:tc>
          <w:tcPr>
            <w:tcW w:w="0" w:type="auto"/>
          </w:tcPr>
          <w:p w14:paraId="3D71A709" w14:textId="77777777" w:rsidR="00485B06" w:rsidRDefault="00000000">
            <w:pPr>
              <w:pStyle w:val="Compact"/>
            </w:pPr>
            <w:r>
              <w:t>“It’s a South African tool”</w:t>
            </w:r>
          </w:p>
        </w:tc>
        <w:tc>
          <w:tcPr>
            <w:tcW w:w="0" w:type="auto"/>
          </w:tcPr>
          <w:p w14:paraId="4C21EA3F" w14:textId="77777777" w:rsidR="00485B06" w:rsidRDefault="00000000">
            <w:pPr>
              <w:pStyle w:val="Compact"/>
            </w:pPr>
            <w:r>
              <w:t>All diagnostics are South African; reviewers generalise</w:t>
            </w:r>
          </w:p>
        </w:tc>
        <w:tc>
          <w:tcPr>
            <w:tcW w:w="0" w:type="auto"/>
          </w:tcPr>
          <w:p w14:paraId="4C2454E4" w14:textId="77777777" w:rsidR="00485B06" w:rsidRDefault="00000000">
            <w:pPr>
              <w:pStyle w:val="Compact"/>
            </w:pPr>
            <w:r>
              <w:t>Complete the US pilot early; publish a comparative paper</w:t>
            </w:r>
          </w:p>
        </w:tc>
      </w:tr>
      <w:tr w:rsidR="00485B06" w14:paraId="37461201" w14:textId="77777777">
        <w:tc>
          <w:tcPr>
            <w:tcW w:w="0" w:type="auto"/>
          </w:tcPr>
          <w:p w14:paraId="3FBB32FF" w14:textId="77777777" w:rsidR="00485B06" w:rsidRDefault="00000000">
            <w:pPr>
              <w:pStyle w:val="Compact"/>
            </w:pPr>
            <w:r>
              <w:t>“It’s a blog-authored framework”</w:t>
            </w:r>
          </w:p>
        </w:tc>
        <w:tc>
          <w:tcPr>
            <w:tcW w:w="0" w:type="auto"/>
          </w:tcPr>
          <w:p w14:paraId="0BA03157" w14:textId="77777777" w:rsidR="00485B06" w:rsidRDefault="00000000">
            <w:pPr>
              <w:pStyle w:val="Compact"/>
            </w:pPr>
            <w:r>
              <w:t>No institutional signatory</w:t>
            </w:r>
          </w:p>
        </w:tc>
        <w:tc>
          <w:tcPr>
            <w:tcW w:w="0" w:type="auto"/>
          </w:tcPr>
          <w:p w14:paraId="1B917BC6" w14:textId="77777777" w:rsidR="00485B06" w:rsidRDefault="00000000">
            <w:pPr>
              <w:pStyle w:val="Compact"/>
            </w:pPr>
            <w:r>
              <w:t>Sign the academic MOU; publish with at least one non-Tshepo co-author</w:t>
            </w:r>
          </w:p>
        </w:tc>
      </w:tr>
      <w:tr w:rsidR="00485B06" w14:paraId="6F7A4B50" w14:textId="77777777">
        <w:tc>
          <w:tcPr>
            <w:tcW w:w="0" w:type="auto"/>
          </w:tcPr>
          <w:p w14:paraId="162D7740" w14:textId="77777777" w:rsidR="00485B06" w:rsidRDefault="00000000">
            <w:pPr>
              <w:pStyle w:val="Compact"/>
            </w:pPr>
            <w:r>
              <w:t>“Scores are subjective”</w:t>
            </w:r>
          </w:p>
        </w:tc>
        <w:tc>
          <w:tcPr>
            <w:tcW w:w="0" w:type="auto"/>
          </w:tcPr>
          <w:p w14:paraId="69447F48" w14:textId="77777777" w:rsidR="00485B06" w:rsidRDefault="00000000">
            <w:pPr>
              <w:pStyle w:val="Compact"/>
            </w:pPr>
            <w:r>
              <w:t>Qualitative assignment without documented codebook</w:t>
            </w:r>
          </w:p>
        </w:tc>
        <w:tc>
          <w:tcPr>
            <w:tcW w:w="0" w:type="auto"/>
          </w:tcPr>
          <w:p w14:paraId="03D3CD5E" w14:textId="77777777" w:rsidR="00485B06" w:rsidRDefault="00000000">
            <w:pPr>
              <w:pStyle w:val="Compact"/>
            </w:pPr>
            <w:r>
              <w:t>Publish the codebook; demonstrate IRR ≥ 0.7</w:t>
            </w:r>
          </w:p>
        </w:tc>
      </w:tr>
      <w:tr w:rsidR="00485B06" w14:paraId="78D4AA20" w14:textId="77777777">
        <w:tc>
          <w:tcPr>
            <w:tcW w:w="0" w:type="auto"/>
          </w:tcPr>
          <w:p w14:paraId="41A836CC" w14:textId="77777777" w:rsidR="00485B06" w:rsidRDefault="00000000">
            <w:pPr>
              <w:pStyle w:val="Compact"/>
            </w:pPr>
            <w:r>
              <w:t>“It’s not falsifiable”</w:t>
            </w:r>
          </w:p>
        </w:tc>
        <w:tc>
          <w:tcPr>
            <w:tcW w:w="0" w:type="auto"/>
          </w:tcPr>
          <w:p w14:paraId="6D4AF7D0" w14:textId="77777777" w:rsidR="00485B06" w:rsidRDefault="00000000">
            <w:pPr>
              <w:pStyle w:val="Compact"/>
            </w:pPr>
            <w:r>
              <w:t>Co-location thesis stated as claim rather than hypothesis</w:t>
            </w:r>
          </w:p>
        </w:tc>
        <w:tc>
          <w:tcPr>
            <w:tcW w:w="0" w:type="auto"/>
          </w:tcPr>
          <w:p w14:paraId="7011E03E" w14:textId="77777777" w:rsidR="00485B06" w:rsidRDefault="00000000">
            <w:pPr>
              <w:pStyle w:val="Compact"/>
            </w:pPr>
            <w:r>
              <w:t>State the thesis as a falsifiable proposition; pre-register the predictive validation protocol</w:t>
            </w:r>
          </w:p>
        </w:tc>
      </w:tr>
      <w:tr w:rsidR="00485B06" w14:paraId="377085B1" w14:textId="77777777">
        <w:tc>
          <w:tcPr>
            <w:tcW w:w="0" w:type="auto"/>
          </w:tcPr>
          <w:p w14:paraId="118F745B" w14:textId="77777777" w:rsidR="00485B06" w:rsidRDefault="00000000">
            <w:pPr>
              <w:pStyle w:val="Compact"/>
            </w:pPr>
            <w:r>
              <w:t>“It competes with WGI/Mo Ibrahim/V-Dem”</w:t>
            </w:r>
          </w:p>
        </w:tc>
        <w:tc>
          <w:tcPr>
            <w:tcW w:w="0" w:type="auto"/>
          </w:tcPr>
          <w:p w14:paraId="476F7BBC" w14:textId="77777777" w:rsidR="00485B06" w:rsidRDefault="00000000">
            <w:pPr>
              <w:pStyle w:val="Compact"/>
            </w:pPr>
            <w:r>
              <w:t>Reviewers see substitution rather than complement</w:t>
            </w:r>
          </w:p>
        </w:tc>
        <w:tc>
          <w:tcPr>
            <w:tcW w:w="0" w:type="auto"/>
          </w:tcPr>
          <w:p w14:paraId="1AEAA960" w14:textId="77777777" w:rsidR="00485B06" w:rsidRDefault="00000000">
            <w:pPr>
              <w:pStyle w:val="Compact"/>
            </w:pPr>
            <w:r>
              <w:t xml:space="preserve">Position RAARICLE™ as measuring </w:t>
            </w:r>
            <w:r>
              <w:rPr>
                <w:i/>
                <w:iCs/>
              </w:rPr>
              <w:t>design</w:t>
            </w:r>
            <w:r>
              <w:t xml:space="preserve">, not </w:t>
            </w:r>
            <w:r>
              <w:rPr>
                <w:i/>
                <w:iCs/>
              </w:rPr>
              <w:t>outcome</w:t>
            </w:r>
            <w:r>
              <w:t>; cite and build on the existing indices rather than dismissing them</w:t>
            </w:r>
          </w:p>
        </w:tc>
      </w:tr>
      <w:tr w:rsidR="00485B06" w14:paraId="3FC131F7" w14:textId="77777777">
        <w:tc>
          <w:tcPr>
            <w:tcW w:w="0" w:type="auto"/>
          </w:tcPr>
          <w:p w14:paraId="72C5AB84" w14:textId="77777777" w:rsidR="00485B06" w:rsidRDefault="00000000">
            <w:pPr>
              <w:pStyle w:val="Compact"/>
            </w:pPr>
            <w:r>
              <w:t>“It’s a commercial tool dressed as research”</w:t>
            </w:r>
          </w:p>
        </w:tc>
        <w:tc>
          <w:tcPr>
            <w:tcW w:w="0" w:type="auto"/>
          </w:tcPr>
          <w:p w14:paraId="2451ED74" w14:textId="77777777" w:rsidR="00485B06" w:rsidRDefault="00000000">
            <w:pPr>
              <w:pStyle w:val="Compact"/>
            </w:pPr>
            <w:r>
              <w:t>Paid diagnostics may bias findings</w:t>
            </w:r>
          </w:p>
        </w:tc>
        <w:tc>
          <w:tcPr>
            <w:tcW w:w="0" w:type="auto"/>
          </w:tcPr>
          <w:p w14:paraId="760F3069" w14:textId="77777777" w:rsidR="00485B06" w:rsidRDefault="00000000">
            <w:pPr>
              <w:pStyle w:val="Compact"/>
            </w:pPr>
            <w:r>
              <w:t>Publish the funding policy; insulate validation research from client engagements; pre-register findings</w:t>
            </w:r>
          </w:p>
        </w:tc>
      </w:tr>
      <w:tr w:rsidR="00485B06" w14:paraId="66A06B08" w14:textId="77777777">
        <w:tc>
          <w:tcPr>
            <w:tcW w:w="0" w:type="auto"/>
          </w:tcPr>
          <w:p w14:paraId="71A6BA4D" w14:textId="77777777" w:rsidR="00485B06" w:rsidRDefault="00000000">
            <w:pPr>
              <w:pStyle w:val="Compact"/>
            </w:pPr>
            <w:r>
              <w:t>“It oversimplifies political reality”</w:t>
            </w:r>
          </w:p>
        </w:tc>
        <w:tc>
          <w:tcPr>
            <w:tcW w:w="0" w:type="auto"/>
          </w:tcPr>
          <w:p w14:paraId="2446198E" w14:textId="77777777" w:rsidR="00485B06" w:rsidRDefault="00000000">
            <w:pPr>
              <w:pStyle w:val="Compact"/>
            </w:pPr>
            <w:r>
              <w:t>Eight elements reduce rich political dynamics to a scoreable grid</w:t>
            </w:r>
          </w:p>
        </w:tc>
        <w:tc>
          <w:tcPr>
            <w:tcW w:w="0" w:type="auto"/>
          </w:tcPr>
          <w:p w14:paraId="304F208C" w14:textId="77777777" w:rsidR="00485B06" w:rsidRDefault="00000000">
            <w:pPr>
              <w:pStyle w:val="Compact"/>
            </w:pPr>
            <w:r>
              <w:t>Acknowledge the reduction explicitly in every paper; treat the framework as a diagnostic heuristic, not a complete theory of politics</w:t>
            </w:r>
          </w:p>
        </w:tc>
      </w:tr>
      <w:tr w:rsidR="00485B06" w14:paraId="591B133C" w14:textId="77777777">
        <w:tc>
          <w:tcPr>
            <w:tcW w:w="0" w:type="auto"/>
          </w:tcPr>
          <w:p w14:paraId="3336F962" w14:textId="77777777" w:rsidR="00485B06" w:rsidRDefault="00000000">
            <w:pPr>
              <w:pStyle w:val="Compact"/>
            </w:pPr>
            <w:r>
              <w:t>“It will be captured by its clients”</w:t>
            </w:r>
          </w:p>
        </w:tc>
        <w:tc>
          <w:tcPr>
            <w:tcW w:w="0" w:type="auto"/>
          </w:tcPr>
          <w:p w14:paraId="5F09F885" w14:textId="77777777" w:rsidR="00485B06" w:rsidRDefault="00000000">
            <w:pPr>
              <w:pStyle w:val="Compact"/>
            </w:pPr>
            <w:r>
              <w:t>Multilateral engagements create pressure to soften findings</w:t>
            </w:r>
          </w:p>
        </w:tc>
        <w:tc>
          <w:tcPr>
            <w:tcW w:w="0" w:type="auto"/>
          </w:tcPr>
          <w:p w14:paraId="1C8FF0F1" w14:textId="77777777" w:rsidR="00485B06" w:rsidRDefault="00000000">
            <w:pPr>
              <w:pStyle w:val="Compact"/>
            </w:pPr>
            <w:r>
              <w:t>Establish the advisory board and stewardship entity; publish diagnostics even when unwelcome to clients</w:t>
            </w:r>
          </w:p>
        </w:tc>
      </w:tr>
    </w:tbl>
    <w:p w14:paraId="7EBDBBC9" w14:textId="77777777" w:rsidR="00485B06" w:rsidRDefault="009A4A2B">
      <w:r>
        <w:rPr>
          <w:noProof/>
        </w:rPr>
        <w:pict w14:anchorId="6180BFFB">
          <v:rect id="_x0000_i1027" alt="" style="width:451.3pt;height:.05pt;mso-width-percent:0;mso-height-percent:0;mso-width-percent:0;mso-height-percent:0" o:hralign="center" o:hrstd="t" o:hr="t"/>
        </w:pict>
      </w:r>
    </w:p>
    <w:p w14:paraId="4FDA09CD" w14:textId="77777777" w:rsidR="00485B06" w:rsidRDefault="00000000">
      <w:pPr>
        <w:pStyle w:val="Heading2"/>
      </w:pPr>
      <w:bookmarkStart w:id="82" w:name="Xaf3becf6d295a7af21deacfe28c31c6c3c8715f"/>
      <w:bookmarkStart w:id="83" w:name="_Toc227923370"/>
      <w:bookmarkEnd w:id="80"/>
      <w:r>
        <w:t>9. Appendix C — Developing This Work into a Masters or PhD Thesis in Institutional Design and Governance</w:t>
      </w:r>
      <w:bookmarkEnd w:id="83"/>
    </w:p>
    <w:p w14:paraId="7AB6DA01" w14:textId="77777777" w:rsidR="00485B06" w:rsidRDefault="00000000">
      <w:pPr>
        <w:pStyle w:val="FirstParagraph"/>
      </w:pPr>
      <w:r>
        <w:t>The credibility programme described in this document has an underappreciated secondary property: it is structured almost exactly as a research degree. The theoretical foundation is a literature review and conceptual paper; the measurement infrastructure is a methods chapter; the validation architecture is an empirical chapter or set of chapters; the comparative international application is a cross-case analysis. Converting the RAARICLE™ programme into a Masters or PhD thesis therefore does double duty: it advances the framework’s credibility and it earns a formal academic credential that itself resolves the provenance gap identified in Section 2.</w:t>
      </w:r>
    </w:p>
    <w:p w14:paraId="53D66514" w14:textId="77777777" w:rsidR="00485B06" w:rsidRDefault="00000000">
      <w:pPr>
        <w:pStyle w:val="BodyText"/>
      </w:pPr>
      <w:r>
        <w:lastRenderedPageBreak/>
        <w:t>This appendix specifies how that conversion would work, at both Masters and doctoral levels.</w:t>
      </w:r>
    </w:p>
    <w:p w14:paraId="62F08EC0" w14:textId="77777777" w:rsidR="00485B06" w:rsidRDefault="00000000">
      <w:pPr>
        <w:pStyle w:val="Heading3"/>
      </w:pPr>
      <w:bookmarkStart w:id="84" w:name="Xebf3f7422b97f24ea0c7c95bfc13f116abd06ba"/>
      <w:bookmarkStart w:id="85" w:name="_Toc227923371"/>
      <w:r>
        <w:t>C.1 Fit With the Existing Academic Literature</w:t>
      </w:r>
      <w:bookmarkEnd w:id="85"/>
    </w:p>
    <w:p w14:paraId="41A13776" w14:textId="77777777" w:rsidR="00485B06" w:rsidRDefault="00000000">
      <w:pPr>
        <w:pStyle w:val="FirstParagraph"/>
      </w:pPr>
      <w:r>
        <w:t>The research programme sits at the intersection of four established literatures, each of which provides the prior art a thesis must engage.</w:t>
      </w:r>
    </w:p>
    <w:tbl>
      <w:tblPr>
        <w:tblStyle w:val="Table"/>
        <w:tblW w:w="5000" w:type="pct"/>
        <w:tblLook w:val="0020" w:firstRow="1" w:lastRow="0" w:firstColumn="0" w:lastColumn="0" w:noHBand="0" w:noVBand="0"/>
      </w:tblPr>
      <w:tblGrid>
        <w:gridCol w:w="1930"/>
        <w:gridCol w:w="3858"/>
        <w:gridCol w:w="3788"/>
      </w:tblGrid>
      <w:tr w:rsidR="00485B06" w14:paraId="5D95D83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0D9904B" w14:textId="77777777" w:rsidR="00485B06" w:rsidRDefault="00000000">
            <w:pPr>
              <w:pStyle w:val="Compact"/>
            </w:pPr>
            <w:r>
              <w:t>Literature</w:t>
            </w:r>
          </w:p>
        </w:tc>
        <w:tc>
          <w:tcPr>
            <w:tcW w:w="0" w:type="auto"/>
          </w:tcPr>
          <w:p w14:paraId="158172B4" w14:textId="77777777" w:rsidR="00485B06" w:rsidRDefault="00000000">
            <w:pPr>
              <w:pStyle w:val="Compact"/>
            </w:pPr>
            <w:r>
              <w:t>Key scholars and works</w:t>
            </w:r>
          </w:p>
        </w:tc>
        <w:tc>
          <w:tcPr>
            <w:tcW w:w="0" w:type="auto"/>
          </w:tcPr>
          <w:p w14:paraId="221A149F" w14:textId="77777777" w:rsidR="00485B06" w:rsidRDefault="00000000">
            <w:pPr>
              <w:pStyle w:val="Compact"/>
            </w:pPr>
            <w:r>
              <w:t>RAARICLE™’s contribution</w:t>
            </w:r>
          </w:p>
        </w:tc>
      </w:tr>
      <w:tr w:rsidR="00485B06" w14:paraId="05365157" w14:textId="77777777">
        <w:tc>
          <w:tcPr>
            <w:tcW w:w="0" w:type="auto"/>
          </w:tcPr>
          <w:p w14:paraId="5893FE75" w14:textId="77777777" w:rsidR="00485B06" w:rsidRDefault="00000000">
            <w:pPr>
              <w:pStyle w:val="Compact"/>
            </w:pPr>
            <w:r>
              <w:t>Institutional analysis and development</w:t>
            </w:r>
          </w:p>
        </w:tc>
        <w:tc>
          <w:tcPr>
            <w:tcW w:w="0" w:type="auto"/>
          </w:tcPr>
          <w:p w14:paraId="4095B7DA" w14:textId="77777777" w:rsidR="00485B06" w:rsidRDefault="00000000">
            <w:pPr>
              <w:pStyle w:val="Compact"/>
            </w:pPr>
            <w:r>
              <w:t>Elinor Ostrom (Governing the Commons; IAD Framework); Douglass North (Institutions, Institutional Change and Economic Performance); Acemoglu &amp; Robinson (Why Nations Fail)</w:t>
            </w:r>
          </w:p>
        </w:tc>
        <w:tc>
          <w:tcPr>
            <w:tcW w:w="0" w:type="auto"/>
          </w:tcPr>
          <w:p w14:paraId="4ABB0EDF" w14:textId="77777777" w:rsidR="00485B06" w:rsidRDefault="00000000">
            <w:pPr>
              <w:pStyle w:val="Compact"/>
            </w:pPr>
            <w:r>
              <w:t>A sub-national, function-level operationalisation of institutional design that IAD describes at the commons level and North/Acemoglu describe at the national level</w:t>
            </w:r>
          </w:p>
        </w:tc>
      </w:tr>
      <w:tr w:rsidR="00485B06" w14:paraId="2EB758D0" w14:textId="77777777">
        <w:tc>
          <w:tcPr>
            <w:tcW w:w="0" w:type="auto"/>
          </w:tcPr>
          <w:p w14:paraId="0FDB1F4B" w14:textId="77777777" w:rsidR="00485B06" w:rsidRDefault="00000000">
            <w:pPr>
              <w:pStyle w:val="Compact"/>
            </w:pPr>
            <w:r>
              <w:t>State capacity and public-sector reform</w:t>
            </w:r>
          </w:p>
        </w:tc>
        <w:tc>
          <w:tcPr>
            <w:tcW w:w="0" w:type="auto"/>
          </w:tcPr>
          <w:p w14:paraId="644C4BEC" w14:textId="77777777" w:rsidR="00485B06" w:rsidRDefault="00000000">
            <w:pPr>
              <w:pStyle w:val="Compact"/>
            </w:pPr>
            <w:r>
              <w:t>Francis Fukuyama (State-Building; Political Order); Matt Andrews, Lant Pritchett &amp; Michael Woolcock (Building State Capability, PDIA); Sue Unsworth (political settlements)</w:t>
            </w:r>
          </w:p>
        </w:tc>
        <w:tc>
          <w:tcPr>
            <w:tcW w:w="0" w:type="auto"/>
          </w:tcPr>
          <w:p w14:paraId="5E09881B" w14:textId="77777777" w:rsidR="00485B06" w:rsidRDefault="00000000">
            <w:pPr>
              <w:pStyle w:val="Compact"/>
            </w:pPr>
            <w:r>
              <w:t xml:space="preserve">A design-side diagnostic that complements PDIA’s problem-driven adaptation by identifying </w:t>
            </w:r>
            <w:r>
              <w:rPr>
                <w:i/>
                <w:iCs/>
              </w:rPr>
              <w:t>which</w:t>
            </w:r>
            <w:r>
              <w:t xml:space="preserve"> structural misalignment produces the problem</w:t>
            </w:r>
          </w:p>
        </w:tc>
      </w:tr>
      <w:tr w:rsidR="00485B06" w14:paraId="7795D733" w14:textId="77777777">
        <w:tc>
          <w:tcPr>
            <w:tcW w:w="0" w:type="auto"/>
          </w:tcPr>
          <w:p w14:paraId="4AD6F7B5" w14:textId="77777777" w:rsidR="00485B06" w:rsidRDefault="00000000">
            <w:pPr>
              <w:pStyle w:val="Compact"/>
            </w:pPr>
            <w:r>
              <w:t>Measurement of governance</w:t>
            </w:r>
          </w:p>
        </w:tc>
        <w:tc>
          <w:tcPr>
            <w:tcW w:w="0" w:type="auto"/>
          </w:tcPr>
          <w:p w14:paraId="33E9B3EB" w14:textId="77777777" w:rsidR="00485B06" w:rsidRDefault="00000000">
            <w:pPr>
              <w:pStyle w:val="Compact"/>
            </w:pPr>
            <w:r>
              <w:t>Kaufmann, Kraay &amp; Mastruzzi (World Governance Indicators); V-Dem methodology papers (Coppedge et al.); Marcus Melo &amp; Carlos Pereira (Making Brazil Work)</w:t>
            </w:r>
          </w:p>
        </w:tc>
        <w:tc>
          <w:tcPr>
            <w:tcW w:w="0" w:type="auto"/>
          </w:tcPr>
          <w:p w14:paraId="27A81E0E" w14:textId="77777777" w:rsidR="00485B06" w:rsidRDefault="00000000">
            <w:pPr>
              <w:pStyle w:val="Compact"/>
            </w:pPr>
            <w:r>
              <w:t>A shift from perception-based and outcome-based measurement to design-based measurement with observable indicators</w:t>
            </w:r>
          </w:p>
        </w:tc>
      </w:tr>
      <w:tr w:rsidR="00485B06" w14:paraId="2DE4D397" w14:textId="77777777">
        <w:tc>
          <w:tcPr>
            <w:tcW w:w="0" w:type="auto"/>
          </w:tcPr>
          <w:p w14:paraId="4A6DB0BE" w14:textId="77777777" w:rsidR="00485B06" w:rsidRDefault="00000000">
            <w:pPr>
              <w:pStyle w:val="Compact"/>
            </w:pPr>
            <w:r>
              <w:t>Federalism and multi-level governance</w:t>
            </w:r>
          </w:p>
        </w:tc>
        <w:tc>
          <w:tcPr>
            <w:tcW w:w="0" w:type="auto"/>
          </w:tcPr>
          <w:p w14:paraId="6D22548B" w14:textId="77777777" w:rsidR="00485B06" w:rsidRDefault="00000000">
            <w:pPr>
              <w:pStyle w:val="Compact"/>
            </w:pPr>
            <w:r>
              <w:t>Daniel Elazar (American Federalism); Jonathan Rodden (Hamilton’s Paradox); Ronald Watts (Comparing Federal Systems); Alberto Diaz-Cayeros (Federalism, Fiscal Authority and Centralization)</w:t>
            </w:r>
          </w:p>
        </w:tc>
        <w:tc>
          <w:tcPr>
            <w:tcW w:w="0" w:type="auto"/>
          </w:tcPr>
          <w:p w14:paraId="59124B6F" w14:textId="77777777" w:rsidR="00485B06" w:rsidRDefault="00000000">
            <w:pPr>
              <w:pStyle w:val="Compact"/>
            </w:pPr>
            <w:r>
              <w:t>A diagnostic that makes inter-sphere misalignment observable and scoreable rather than narratively described</w:t>
            </w:r>
          </w:p>
        </w:tc>
      </w:tr>
    </w:tbl>
    <w:p w14:paraId="3E9621C5" w14:textId="77777777" w:rsidR="00485B06" w:rsidRDefault="00000000">
      <w:pPr>
        <w:pStyle w:val="BodyText"/>
      </w:pPr>
      <w:r>
        <w:t xml:space="preserve">A thesis must position RAARICLE™ explicitly against each of these literatures — not merely cite them. The argument should be that the co-location thesis is a </w:t>
      </w:r>
      <w:r>
        <w:rPr>
          <w:i/>
          <w:iCs/>
        </w:rPr>
        <w:t>bridge construct</w:t>
      </w:r>
      <w:r>
        <w:t>: it connects the macro institutionalism of North/Acemoglu to the commons-level granularity of Ostrom, at the meso level of the public function, which is the level at which service delivery actually succeeds or fails.</w:t>
      </w:r>
    </w:p>
    <w:p w14:paraId="209A5B35" w14:textId="77777777" w:rsidR="00485B06" w:rsidRDefault="00000000">
      <w:pPr>
        <w:pStyle w:val="Heading3"/>
      </w:pPr>
      <w:bookmarkStart w:id="86" w:name="c.2-masters-thesis-three-viable-scopes"/>
      <w:bookmarkStart w:id="87" w:name="_Toc227923372"/>
      <w:bookmarkEnd w:id="84"/>
      <w:r>
        <w:t>C.2 Masters Thesis — Three Viable Scopes</w:t>
      </w:r>
      <w:bookmarkEnd w:id="87"/>
    </w:p>
    <w:p w14:paraId="5CA9D585" w14:textId="77777777" w:rsidR="00485B06" w:rsidRDefault="00000000">
      <w:pPr>
        <w:pStyle w:val="FirstParagraph"/>
      </w:pPr>
      <w:r>
        <w:t>A Masters thesis is typically 20,000–40,000 words, defended in 12–24 months, and must demonstrate original analysis rather than original theory. Three scopes are viable; each is sufficient on its own and should not be combined.</w:t>
      </w:r>
    </w:p>
    <w:p w14:paraId="7A714447" w14:textId="77777777" w:rsidR="00485B06" w:rsidRDefault="00000000">
      <w:pPr>
        <w:pStyle w:val="BodyText"/>
      </w:pPr>
      <w:r>
        <w:rPr>
          <w:b/>
          <w:bCs/>
        </w:rPr>
        <w:lastRenderedPageBreak/>
        <w:t>Scope M1 — Inter-rater reliability study for one function.</w:t>
      </w:r>
      <w:r>
        <w:t xml:space="preserve"> Apply the water-services indicator library to 10 South African municipalities with two independent coders. Compute Cohen’s kappa and intraclass correlation. Diagnose codebook ambiguities. Produce a revised codebook v2 with test-retest data. Contribution: the first empirical demonstration that RAARICLE™ can be applied reproducibly. Methods: psychometrics; content analysis; structured expert interviews to resolve ambiguities. This is the </w:t>
      </w:r>
      <w:r>
        <w:rPr>
          <w:b/>
          <w:bCs/>
        </w:rPr>
        <w:t>lowest-risk, highest-yield</w:t>
      </w:r>
      <w:r>
        <w:t xml:space="preserve"> Masters scope because it directly produces Pillar B and D.2 deliverables.</w:t>
      </w:r>
    </w:p>
    <w:p w14:paraId="66554663" w14:textId="77777777" w:rsidR="00485B06" w:rsidRDefault="00000000">
      <w:pPr>
        <w:pStyle w:val="BodyText"/>
      </w:pPr>
      <w:r>
        <w:rPr>
          <w:b/>
          <w:bCs/>
        </w:rPr>
        <w:t>Scope M2 — Comparative case study of two municipalities.</w:t>
      </w:r>
      <w:r>
        <w:t xml:space="preserve"> Select a matched pair (one chronically failing, one comparable peer that performs better) and apply the full ten-phase RAARICLE™ protocol to each. Use process tracing to identify the structural differences that produce the outcome divergence. Contribution: a theory-building case comparison that tests whether the co-location thesis holds in observed variation. Methods: qualitative comparative analysis (Ragin); Bayesian process tracing (Bennett &amp; Checkel); document analysis; elite interviews. This scope suits a candidate with qualitative methods strength and institutional access to at least one municipality.</w:t>
      </w:r>
    </w:p>
    <w:p w14:paraId="707A21B3" w14:textId="77777777" w:rsidR="00485B06" w:rsidRDefault="00000000">
      <w:pPr>
        <w:pStyle w:val="BodyText"/>
      </w:pPr>
      <w:r>
        <w:rPr>
          <w:b/>
          <w:bCs/>
        </w:rPr>
        <w:t>Scope M3 — Theoretical positioning paper.</w:t>
      </w:r>
      <w:r>
        <w:t xml:space="preserve"> A review and critique chapter that positions RAARICLE™ against WGI, V-Dem, Mo Ibrahim, CPIA, PEFA and the PDIA research programme, arguing the conceptual space that a design-based meso-level framework occupies. Contribution: clarifies the framework’s theoretical novelty and sharpens its falsifiability claims. Methods: systematic literature review; conceptual analysis. This is the </w:t>
      </w:r>
      <w:r>
        <w:rPr>
          <w:b/>
          <w:bCs/>
        </w:rPr>
        <w:t>lowest-resource, most-portable</w:t>
      </w:r>
      <w:r>
        <w:t xml:space="preserve"> scope but produces the thinnest empirical contribution. Appropriate where access to empirical data is constrained or the candidate’s programme privileges conceptual work.</w:t>
      </w:r>
    </w:p>
    <w:p w14:paraId="186BB2C9" w14:textId="77777777" w:rsidR="00485B06" w:rsidRDefault="00000000">
      <w:pPr>
        <w:pStyle w:val="BodyText"/>
      </w:pPr>
      <w:r>
        <w:t xml:space="preserve">Across all three scopes, the RAARICLE™ framework becomes the thesis’s </w:t>
      </w:r>
      <w:r>
        <w:rPr>
          <w:i/>
          <w:iCs/>
        </w:rPr>
        <w:t>object</w:t>
      </w:r>
      <w:r>
        <w:t xml:space="preserve"> of analysis, not merely its tool. This framing is important: a Masters examiner will not accept a thesis that applies a framework uncritically. The candidate must be willing to say, in defence, where the framework is weakest and what the thesis has not resolved.</w:t>
      </w:r>
    </w:p>
    <w:p w14:paraId="76B68BED" w14:textId="77777777" w:rsidR="00485B06" w:rsidRDefault="00000000">
      <w:pPr>
        <w:pStyle w:val="Heading3"/>
      </w:pPr>
      <w:bookmarkStart w:id="88" w:name="c.3-phd-thesis-the-three-paper-format"/>
      <w:bookmarkStart w:id="89" w:name="_Toc227923373"/>
      <w:bookmarkEnd w:id="86"/>
      <w:r>
        <w:t>C.3 PhD Thesis — The Three-Paper Format</w:t>
      </w:r>
      <w:bookmarkEnd w:id="89"/>
    </w:p>
    <w:p w14:paraId="54230B2B" w14:textId="77777777" w:rsidR="00485B06" w:rsidRDefault="00000000">
      <w:pPr>
        <w:pStyle w:val="FirstParagraph"/>
      </w:pPr>
      <w:r>
        <w:t>A PhD in public policy, political science or development studies is now commonly structured as three journal-ready papers plus a framing introduction and conclusion (the “three-paper” or “sandwich” thesis), typically 80,000–100,000 words, defended in 3–5 years. The RAARICLE™ research programme maps naturally onto this format.</w:t>
      </w:r>
    </w:p>
    <w:p w14:paraId="5F704510" w14:textId="77777777" w:rsidR="00485B06" w:rsidRDefault="00000000">
      <w:pPr>
        <w:pStyle w:val="BodyText"/>
      </w:pPr>
      <w:r>
        <w:rPr>
          <w:b/>
          <w:bCs/>
        </w:rPr>
        <w:t>Paper 1 — Theoretical contribution: “Co-location as an Institutional Design Principle.”</w:t>
      </w:r>
      <w:r>
        <w:t xml:space="preserve"> A conceptual paper that formalises the MECE claim and the co-location thesis, derives the eight elements from first principles with reference to Ostromian institutional analysis and Weberian bureaucratic theory, states the co-location thesis as a falsifiable proposition, and positions the framework against the competing literatures. Target venue: </w:t>
      </w:r>
      <w:r>
        <w:rPr>
          <w:i/>
          <w:iCs/>
        </w:rPr>
        <w:t>Governance</w:t>
      </w:r>
      <w:r>
        <w:t xml:space="preserve"> or </w:t>
      </w:r>
      <w:r>
        <w:rPr>
          <w:i/>
          <w:iCs/>
        </w:rPr>
        <w:t>Public Administration Review</w:t>
      </w:r>
      <w:r>
        <w:t>. This paper earns the doctoral candidate the right to use RAARICLE™ as their own contribution rather than an imported tool.</w:t>
      </w:r>
    </w:p>
    <w:p w14:paraId="164F202A" w14:textId="77777777" w:rsidR="00C359CB" w:rsidRDefault="00C359CB">
      <w:pPr>
        <w:rPr>
          <w:b/>
          <w:bCs/>
        </w:rPr>
      </w:pPr>
      <w:r>
        <w:rPr>
          <w:b/>
          <w:bCs/>
        </w:rPr>
        <w:br w:type="page"/>
      </w:r>
    </w:p>
    <w:p w14:paraId="71166BD9" w14:textId="58858BC0" w:rsidR="00485B06" w:rsidRDefault="00000000">
      <w:pPr>
        <w:pStyle w:val="BodyText"/>
      </w:pPr>
      <w:r>
        <w:rPr>
          <w:b/>
          <w:bCs/>
        </w:rPr>
        <w:lastRenderedPageBreak/>
        <w:t>Paper 2 — Measurement contribution: “Operationalising Institutional Design: An Indicator Library and Reliability Study for Water Services Governance.”</w:t>
      </w:r>
      <w:r>
        <w:t xml:space="preserve"> A methods paper that publishes the indicator library, the codebook, the scoring algorithm, and the results of an inter-rater reliability study across 20–30 cases with three independent coders. Reports Cohen’s kappa, intraclass correlation, and codebook stability metrics. Target venue: </w:t>
      </w:r>
      <w:r>
        <w:rPr>
          <w:i/>
          <w:iCs/>
        </w:rPr>
        <w:t>Journal of Politics</w:t>
      </w:r>
      <w:r>
        <w:t xml:space="preserve"> Methods section, </w:t>
      </w:r>
      <w:r>
        <w:rPr>
          <w:i/>
          <w:iCs/>
        </w:rPr>
        <w:t>Political Analysis</w:t>
      </w:r>
      <w:r>
        <w:t xml:space="preserve">, or </w:t>
      </w:r>
      <w:r>
        <w:rPr>
          <w:i/>
          <w:iCs/>
        </w:rPr>
        <w:t>Public Administration Review</w:t>
      </w:r>
      <w:r>
        <w:t>. This paper earns the right to the claim that RAARICLE™ is measurable, not merely theoretical.</w:t>
      </w:r>
    </w:p>
    <w:p w14:paraId="04345966" w14:textId="77777777" w:rsidR="00485B06" w:rsidRDefault="00000000">
      <w:pPr>
        <w:pStyle w:val="BodyText"/>
      </w:pPr>
      <w:r>
        <w:rPr>
          <w:b/>
          <w:bCs/>
        </w:rPr>
        <w:t>Paper 3 — Empirical contribution (one of two options).</w:t>
      </w:r>
    </w:p>
    <w:p w14:paraId="67565161" w14:textId="77777777" w:rsidR="00485B06" w:rsidRDefault="00000000">
      <w:pPr>
        <w:numPr>
          <w:ilvl w:val="0"/>
          <w:numId w:val="18"/>
        </w:numPr>
      </w:pPr>
      <w:r>
        <w:rPr>
          <w:b/>
          <w:bCs/>
        </w:rPr>
        <w:t>Option 3A — Predictive validity paper.</w:t>
      </w:r>
      <w:r>
        <w:t xml:space="preserve"> Score 50–100 municipalities on a single function at time T, then track observable outcomes (audit results, service delivery indicators, fiscal distress) at time T+2. Test whether RAARICLE™ element scores predict outcomes better than financial viability ratios and prior audit outcomes. Pre-register the prediction protocol on OSF. Target venue: </w:t>
      </w:r>
      <w:r>
        <w:rPr>
          <w:i/>
          <w:iCs/>
        </w:rPr>
        <w:t>Journal of Development Economics</w:t>
      </w:r>
      <w:r>
        <w:t xml:space="preserve">, </w:t>
      </w:r>
      <w:r>
        <w:rPr>
          <w:i/>
          <w:iCs/>
        </w:rPr>
        <w:t>World Development</w:t>
      </w:r>
      <w:r>
        <w:t xml:space="preserve">, or </w:t>
      </w:r>
      <w:r>
        <w:rPr>
          <w:i/>
          <w:iCs/>
        </w:rPr>
        <w:t>American Journal of Political Science</w:t>
      </w:r>
      <w:r>
        <w:t>.</w:t>
      </w:r>
    </w:p>
    <w:p w14:paraId="757CE055" w14:textId="77777777" w:rsidR="00485B06" w:rsidRDefault="00000000">
      <w:pPr>
        <w:numPr>
          <w:ilvl w:val="0"/>
          <w:numId w:val="18"/>
        </w:numPr>
      </w:pPr>
      <w:r>
        <w:rPr>
          <w:b/>
          <w:bCs/>
        </w:rPr>
        <w:t>Option 3B — Cross-jurisdictional comparative paper.</w:t>
      </w:r>
      <w:r>
        <w:t xml:space="preserve"> Apply the framework to one function (e.g. drinking water utility regulation) across two or three jurisdictions with different constitutional architectures — South Africa, one other African case, and one US state or OECD comparator. Test whether the framework’s categories travel, document the indicator translation exercise, and produce a comparative diagnostic matrix. Target venue: </w:t>
      </w:r>
      <w:r>
        <w:rPr>
          <w:i/>
          <w:iCs/>
        </w:rPr>
        <w:t>Governance</w:t>
      </w:r>
      <w:r>
        <w:t xml:space="preserve">, </w:t>
      </w:r>
      <w:r>
        <w:rPr>
          <w:i/>
          <w:iCs/>
        </w:rPr>
        <w:t>Publius: The Journal of Federalism</w:t>
      </w:r>
      <w:r>
        <w:t xml:space="preserve">, or </w:t>
      </w:r>
      <w:r>
        <w:rPr>
          <w:i/>
          <w:iCs/>
        </w:rPr>
        <w:t>Regulation &amp; Governance</w:t>
      </w:r>
      <w:r>
        <w:t>.</w:t>
      </w:r>
    </w:p>
    <w:p w14:paraId="52B724DF" w14:textId="77777777" w:rsidR="00485B06" w:rsidRDefault="00000000">
      <w:pPr>
        <w:pStyle w:val="FirstParagraph"/>
      </w:pPr>
      <w:r>
        <w:t>Option 3A offers stronger causal-inference payoff and is more publishable in economics-leaning journals. Option 3B offers broader geographic reach and positions the candidate for multilateral-track careers. A candidate choosing Option 3B implicitly commits to the US/international adaptation work described in Part III of this document.</w:t>
      </w:r>
    </w:p>
    <w:p w14:paraId="570E72ED" w14:textId="77777777" w:rsidR="00485B06" w:rsidRDefault="00000000">
      <w:pPr>
        <w:pStyle w:val="BodyText"/>
      </w:pPr>
      <w:r>
        <w:rPr>
          <w:b/>
          <w:bCs/>
        </w:rPr>
        <w:t>Framing chapters.</w:t>
      </w:r>
      <w:r>
        <w:t xml:space="preserve"> The introduction situates the three papers in the combined research question — </w:t>
      </w:r>
      <w:r>
        <w:rPr>
          <w:i/>
          <w:iCs/>
        </w:rPr>
        <w:t>“under what conditions does institutional design explain public-function performance, and can design be measured, travelled, and reformed?”</w:t>
      </w:r>
      <w:r>
        <w:t xml:space="preserve"> — and the conclusion synthesises findings into an integrated argument about design-based governance assessment, identifying the remaining research frontier.</w:t>
      </w:r>
    </w:p>
    <w:p w14:paraId="605BC7DC" w14:textId="77777777" w:rsidR="00485B06" w:rsidRDefault="00000000">
      <w:pPr>
        <w:pStyle w:val="Heading3"/>
      </w:pPr>
      <w:bookmarkStart w:id="90" w:name="X6e7f8b25a98772f8d7dcf12bae873f539a342ed"/>
      <w:bookmarkStart w:id="91" w:name="_Toc227923374"/>
      <w:bookmarkEnd w:id="88"/>
      <w:r>
        <w:t>C.4 Candidate Institutions and Supervisors</w:t>
      </w:r>
      <w:bookmarkEnd w:id="91"/>
    </w:p>
    <w:p w14:paraId="3C0F33FD" w14:textId="77777777" w:rsidR="00485B06" w:rsidRDefault="00000000">
      <w:pPr>
        <w:pStyle w:val="FirstParagraph"/>
      </w:pPr>
      <w:r>
        <w:t>The choice of institution matters disproportionately for a thesis on institutional design. Four categories of programme are well-matched to this research; the candidate should target at least one in each category when applying.</w:t>
      </w:r>
    </w:p>
    <w:p w14:paraId="2E4A4E6C" w14:textId="77777777" w:rsidR="00485B06" w:rsidRDefault="00000000">
      <w:pPr>
        <w:pStyle w:val="BodyText"/>
      </w:pPr>
      <w:r>
        <w:rPr>
          <w:b/>
          <w:bCs/>
        </w:rPr>
        <w:t>South African institutions (strong local access, lower cost, important for home-country credibility):</w:t>
      </w:r>
    </w:p>
    <w:p w14:paraId="73AF5315" w14:textId="77777777" w:rsidR="00485B06" w:rsidRDefault="00000000">
      <w:pPr>
        <w:pStyle w:val="Compact"/>
        <w:numPr>
          <w:ilvl w:val="0"/>
          <w:numId w:val="19"/>
        </w:numPr>
      </w:pPr>
      <w:r>
        <w:rPr>
          <w:b/>
          <w:bCs/>
        </w:rPr>
        <w:t>Wits School of Governance (PhD in Governance)</w:t>
      </w:r>
      <w:r>
        <w:t xml:space="preserve"> — Alex van den Heever on social policy governance; Ivor Chipkin on state capture and institutional failure. </w:t>
      </w:r>
      <w:r>
        <w:lastRenderedPageBreak/>
        <w:t>Strong empirical access and a doctoral cohort focused on South African governance problems.</w:t>
      </w:r>
    </w:p>
    <w:p w14:paraId="28134245" w14:textId="77777777" w:rsidR="00485B06" w:rsidRDefault="00000000">
      <w:pPr>
        <w:pStyle w:val="Compact"/>
        <w:numPr>
          <w:ilvl w:val="0"/>
          <w:numId w:val="19"/>
        </w:numPr>
      </w:pPr>
      <w:r>
        <w:rPr>
          <w:b/>
          <w:bCs/>
        </w:rPr>
        <w:t>University of Cape Town, Graduate School of Development Policy and Practice</w:t>
      </w:r>
      <w:r>
        <w:t xml:space="preserve"> — Anthony Black, Brian Levy (also affiliated with Johns Hopkins SAIS) on governance reform; close fit with the political-settlements literature.</w:t>
      </w:r>
    </w:p>
    <w:p w14:paraId="05E20B4A" w14:textId="77777777" w:rsidR="00485B06" w:rsidRDefault="00000000">
      <w:pPr>
        <w:pStyle w:val="Compact"/>
        <w:numPr>
          <w:ilvl w:val="0"/>
          <w:numId w:val="19"/>
        </w:numPr>
      </w:pPr>
      <w:r>
        <w:rPr>
          <w:b/>
          <w:bCs/>
        </w:rPr>
        <w:t>Stellenbosch School of Public Leadership</w:t>
      </w:r>
      <w:r>
        <w:t xml:space="preserve"> — Erwin Schwella historically; strong in public-sector governance and ethics.</w:t>
      </w:r>
    </w:p>
    <w:p w14:paraId="4BD7CE87" w14:textId="77777777" w:rsidR="00485B06" w:rsidRDefault="00000000">
      <w:pPr>
        <w:pStyle w:val="FirstParagraph"/>
      </w:pPr>
      <w:r>
        <w:rPr>
          <w:b/>
          <w:bCs/>
        </w:rPr>
        <w:t>United Kingdom (strong methodological training, international reach):</w:t>
      </w:r>
    </w:p>
    <w:p w14:paraId="311AF72C" w14:textId="77777777" w:rsidR="00485B06" w:rsidRDefault="00000000">
      <w:pPr>
        <w:pStyle w:val="Compact"/>
        <w:numPr>
          <w:ilvl w:val="0"/>
          <w:numId w:val="20"/>
        </w:numPr>
      </w:pPr>
      <w:r>
        <w:rPr>
          <w:b/>
          <w:bCs/>
        </w:rPr>
        <w:t>Oxford, Blavatnik School of Government (DPhil in Public Policy)</w:t>
      </w:r>
      <w:r>
        <w:t xml:space="preserve"> — Ngaire Woods on multilateral governance; Thomas Elston on administrative reform. Close to Building State Capability ideas; strong publication culture.</w:t>
      </w:r>
    </w:p>
    <w:p w14:paraId="72891C90" w14:textId="77777777" w:rsidR="00485B06" w:rsidRDefault="00000000">
      <w:pPr>
        <w:pStyle w:val="Compact"/>
        <w:numPr>
          <w:ilvl w:val="0"/>
          <w:numId w:val="20"/>
        </w:numPr>
      </w:pPr>
      <w:r>
        <w:rPr>
          <w:b/>
          <w:bCs/>
        </w:rPr>
        <w:t>LSE, Department of International Development (PhD)</w:t>
      </w:r>
      <w:r>
        <w:t xml:space="preserve"> — Tim Allen, Stuart Corbridge historically on state capacity in developing countries; strong on the politics of public-sector reform.</w:t>
      </w:r>
    </w:p>
    <w:p w14:paraId="1119A864" w14:textId="77777777" w:rsidR="00485B06" w:rsidRDefault="00000000">
      <w:pPr>
        <w:pStyle w:val="Compact"/>
        <w:numPr>
          <w:ilvl w:val="0"/>
          <w:numId w:val="20"/>
        </w:numPr>
      </w:pPr>
      <w:r>
        <w:rPr>
          <w:b/>
          <w:bCs/>
        </w:rPr>
        <w:t>University of Manchester, Global Development Institute</w:t>
      </w:r>
      <w:r>
        <w:t xml:space="preserve"> — David Hulme and colleagues on effective states and inclusive development.</w:t>
      </w:r>
    </w:p>
    <w:p w14:paraId="205DC358" w14:textId="77777777" w:rsidR="00485B06" w:rsidRDefault="00000000">
      <w:pPr>
        <w:pStyle w:val="FirstParagraph"/>
      </w:pPr>
      <w:r>
        <w:rPr>
          <w:b/>
          <w:bCs/>
        </w:rPr>
        <w:t>United States (strong for cross-jurisdictional work and measurement):</w:t>
      </w:r>
    </w:p>
    <w:p w14:paraId="481BD797" w14:textId="77777777" w:rsidR="00485B06" w:rsidRDefault="00000000">
      <w:pPr>
        <w:pStyle w:val="Compact"/>
        <w:numPr>
          <w:ilvl w:val="0"/>
          <w:numId w:val="21"/>
        </w:numPr>
      </w:pPr>
      <w:r>
        <w:rPr>
          <w:b/>
          <w:bCs/>
        </w:rPr>
        <w:t>Harvard Kennedy School, PhD in Public Policy</w:t>
      </w:r>
      <w:r>
        <w:t xml:space="preserve"> — Matt Andrews, Lant Pritchett (now Oxford/LSE affiliated), Michael Woolcock (World Bank) on the Building State Capability programme. This is the single closest theoretical fit globally.</w:t>
      </w:r>
    </w:p>
    <w:p w14:paraId="6F2AA6C7" w14:textId="77777777" w:rsidR="00485B06" w:rsidRDefault="00000000">
      <w:pPr>
        <w:pStyle w:val="Compact"/>
        <w:numPr>
          <w:ilvl w:val="0"/>
          <w:numId w:val="21"/>
        </w:numPr>
      </w:pPr>
      <w:r>
        <w:rPr>
          <w:b/>
          <w:bCs/>
        </w:rPr>
        <w:t>Princeton, School of Public and International Affairs</w:t>
      </w:r>
      <w:r>
        <w:t xml:space="preserve"> — Jennifer Widner on institutions in Africa; Leonard Wantchekon on political economy of development.</w:t>
      </w:r>
    </w:p>
    <w:p w14:paraId="524D01D9" w14:textId="77777777" w:rsidR="00485B06" w:rsidRDefault="00000000">
      <w:pPr>
        <w:pStyle w:val="Compact"/>
        <w:numPr>
          <w:ilvl w:val="0"/>
          <w:numId w:val="21"/>
        </w:numPr>
      </w:pPr>
      <w:r>
        <w:rPr>
          <w:b/>
          <w:bCs/>
        </w:rPr>
        <w:t>Indiana University, Ostrom Workshop (PhD in Political Science or Public Affairs)</w:t>
      </w:r>
      <w:r>
        <w:t xml:space="preserve"> — the direct inheritor of Elinor Ostrom’s IAD framework; an unusually precise theoretical fit for RAARICLE™’s institutional-design focus.</w:t>
      </w:r>
    </w:p>
    <w:p w14:paraId="6F4CCEB3" w14:textId="77777777" w:rsidR="00485B06" w:rsidRDefault="00000000">
      <w:pPr>
        <w:pStyle w:val="Compact"/>
        <w:numPr>
          <w:ilvl w:val="0"/>
          <w:numId w:val="21"/>
        </w:numPr>
      </w:pPr>
      <w:r>
        <w:rPr>
          <w:b/>
          <w:bCs/>
        </w:rPr>
        <w:t>Duke, Sanford School of Public Policy</w:t>
      </w:r>
      <w:r>
        <w:t xml:space="preserve"> — Judith Kelley on international organisations and indicators; strong on governance measurement.</w:t>
      </w:r>
    </w:p>
    <w:p w14:paraId="70A2A64E" w14:textId="77777777" w:rsidR="00485B06" w:rsidRDefault="00000000">
      <w:pPr>
        <w:pStyle w:val="FirstParagraph"/>
      </w:pPr>
      <w:r>
        <w:rPr>
          <w:b/>
          <w:bCs/>
        </w:rPr>
        <w:t>Continental Europe (strong on comparative governance and federalism):</w:t>
      </w:r>
    </w:p>
    <w:p w14:paraId="2AD2F327" w14:textId="77777777" w:rsidR="00485B06" w:rsidRDefault="00000000">
      <w:pPr>
        <w:pStyle w:val="Compact"/>
        <w:numPr>
          <w:ilvl w:val="0"/>
          <w:numId w:val="22"/>
        </w:numPr>
      </w:pPr>
      <w:r>
        <w:rPr>
          <w:b/>
          <w:bCs/>
        </w:rPr>
        <w:t>Hertie School, Berlin (PhD in Governance)</w:t>
      </w:r>
      <w:r>
        <w:t xml:space="preserve"> — Mark Hallerberg on fiscal governance; Cornelia Woll on the state-market interface.</w:t>
      </w:r>
    </w:p>
    <w:p w14:paraId="79C6D989" w14:textId="77777777" w:rsidR="00485B06" w:rsidRDefault="00000000">
      <w:pPr>
        <w:pStyle w:val="Compact"/>
        <w:numPr>
          <w:ilvl w:val="0"/>
          <w:numId w:val="22"/>
        </w:numPr>
      </w:pPr>
      <w:r>
        <w:rPr>
          <w:b/>
          <w:bCs/>
        </w:rPr>
        <w:t>ETH Zurich, Centre for Development and Cooperation</w:t>
      </w:r>
      <w:r>
        <w:t xml:space="preserve"> — strong on service delivery in developing-country contexts.</w:t>
      </w:r>
    </w:p>
    <w:p w14:paraId="5C9449B7" w14:textId="77777777" w:rsidR="00485B06" w:rsidRDefault="00000000">
      <w:pPr>
        <w:pStyle w:val="Compact"/>
        <w:numPr>
          <w:ilvl w:val="0"/>
          <w:numId w:val="22"/>
        </w:numPr>
      </w:pPr>
      <w:r>
        <w:rPr>
          <w:b/>
          <w:bCs/>
        </w:rPr>
        <w:t>Sciences Po, École de Affaires Publiques</w:t>
      </w:r>
      <w:r>
        <w:t xml:space="preserve"> — comparative public policy traditions; French-language access to Francophone-Africa cases.</w:t>
      </w:r>
    </w:p>
    <w:p w14:paraId="3FDCCF5E" w14:textId="77777777" w:rsidR="00485B06" w:rsidRDefault="00000000">
      <w:pPr>
        <w:pStyle w:val="Compact"/>
        <w:numPr>
          <w:ilvl w:val="0"/>
          <w:numId w:val="22"/>
        </w:numPr>
      </w:pPr>
      <w:r>
        <w:rPr>
          <w:b/>
          <w:bCs/>
        </w:rPr>
        <w:t>Maastricht School of Governance (UNU-MERIT)</w:t>
      </w:r>
      <w:r>
        <w:t xml:space="preserve"> — strong on governance indicators and cross-country measurement.</w:t>
      </w:r>
    </w:p>
    <w:p w14:paraId="150C137B" w14:textId="77777777" w:rsidR="00485B06" w:rsidRDefault="00000000">
      <w:pPr>
        <w:pStyle w:val="FirstParagraph"/>
      </w:pPr>
      <w:r>
        <w:t xml:space="preserve">The candidate should engage at least two potential supervisors in pre-application conversations, sending the methodology working paper as a concrete artefact. Supervisors select candidates partly on intellectual independence; a candidate who arrives with a </w:t>
      </w:r>
      <w:r>
        <w:lastRenderedPageBreak/>
        <w:t>published working paper and a clear research agenda is materially stronger than one who arrives with only a topic.</w:t>
      </w:r>
    </w:p>
    <w:p w14:paraId="0B54105B" w14:textId="77777777" w:rsidR="00485B06" w:rsidRDefault="00000000">
      <w:pPr>
        <w:pStyle w:val="Heading3"/>
      </w:pPr>
      <w:bookmarkStart w:id="92" w:name="c.5-methodological-toolkit-required"/>
      <w:bookmarkStart w:id="93" w:name="_Toc227923375"/>
      <w:bookmarkEnd w:id="90"/>
      <w:r>
        <w:t>C.5 Methodological Toolkit Required</w:t>
      </w:r>
      <w:bookmarkEnd w:id="93"/>
    </w:p>
    <w:p w14:paraId="33042F27" w14:textId="77777777" w:rsidR="00485B06" w:rsidRDefault="00000000">
      <w:pPr>
        <w:pStyle w:val="FirstParagraph"/>
      </w:pPr>
      <w:r>
        <w:t>A credible thesis requires demonstrable proficiency across several methods. The candidate should build or document competence in each.</w:t>
      </w:r>
    </w:p>
    <w:tbl>
      <w:tblPr>
        <w:tblStyle w:val="Table"/>
        <w:tblW w:w="5000" w:type="pct"/>
        <w:tblLook w:val="0020" w:firstRow="1" w:lastRow="0" w:firstColumn="0" w:lastColumn="0" w:noHBand="0" w:noVBand="0"/>
      </w:tblPr>
      <w:tblGrid>
        <w:gridCol w:w="2348"/>
        <w:gridCol w:w="3245"/>
        <w:gridCol w:w="3983"/>
      </w:tblGrid>
      <w:tr w:rsidR="00485B06" w14:paraId="5A19A30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291B892" w14:textId="77777777" w:rsidR="00485B06" w:rsidRDefault="00000000">
            <w:pPr>
              <w:pStyle w:val="Compact"/>
            </w:pPr>
            <w:r>
              <w:t>Method</w:t>
            </w:r>
          </w:p>
        </w:tc>
        <w:tc>
          <w:tcPr>
            <w:tcW w:w="0" w:type="auto"/>
          </w:tcPr>
          <w:p w14:paraId="6B6284DD" w14:textId="77777777" w:rsidR="00485B06" w:rsidRDefault="00000000">
            <w:pPr>
              <w:pStyle w:val="Compact"/>
            </w:pPr>
            <w:r>
              <w:t>Purpose in the thesis</w:t>
            </w:r>
          </w:p>
        </w:tc>
        <w:tc>
          <w:tcPr>
            <w:tcW w:w="0" w:type="auto"/>
          </w:tcPr>
          <w:p w14:paraId="3D900B98" w14:textId="77777777" w:rsidR="00485B06" w:rsidRDefault="00000000">
            <w:pPr>
              <w:pStyle w:val="Compact"/>
            </w:pPr>
            <w:r>
              <w:t>Recommended training</w:t>
            </w:r>
          </w:p>
        </w:tc>
      </w:tr>
      <w:tr w:rsidR="00485B06" w14:paraId="7927AAB3" w14:textId="77777777">
        <w:tc>
          <w:tcPr>
            <w:tcW w:w="0" w:type="auto"/>
          </w:tcPr>
          <w:p w14:paraId="24912BF3" w14:textId="77777777" w:rsidR="00485B06" w:rsidRDefault="00000000">
            <w:pPr>
              <w:pStyle w:val="Compact"/>
            </w:pPr>
            <w:r>
              <w:t>Systematic literature review</w:t>
            </w:r>
          </w:p>
        </w:tc>
        <w:tc>
          <w:tcPr>
            <w:tcW w:w="0" w:type="auto"/>
          </w:tcPr>
          <w:p w14:paraId="704FD746" w14:textId="77777777" w:rsidR="00485B06" w:rsidRDefault="00000000">
            <w:pPr>
              <w:pStyle w:val="Compact"/>
            </w:pPr>
            <w:r>
              <w:t>Position RAARICLE™ against the four parent literatures</w:t>
            </w:r>
          </w:p>
        </w:tc>
        <w:tc>
          <w:tcPr>
            <w:tcW w:w="0" w:type="auto"/>
          </w:tcPr>
          <w:p w14:paraId="42029C01" w14:textId="77777777" w:rsidR="00485B06" w:rsidRDefault="00000000">
            <w:pPr>
              <w:pStyle w:val="Compact"/>
            </w:pPr>
            <w:r>
              <w:t>Cochrane or Campbell Collaboration protocols; PRISMA</w:t>
            </w:r>
          </w:p>
        </w:tc>
      </w:tr>
      <w:tr w:rsidR="00485B06" w14:paraId="7BF014C5" w14:textId="77777777">
        <w:tc>
          <w:tcPr>
            <w:tcW w:w="0" w:type="auto"/>
          </w:tcPr>
          <w:p w14:paraId="01CC9B27" w14:textId="77777777" w:rsidR="00485B06" w:rsidRDefault="00000000">
            <w:pPr>
              <w:pStyle w:val="Compact"/>
            </w:pPr>
            <w:r>
              <w:t>Conceptual analysis and formal definition</w:t>
            </w:r>
          </w:p>
        </w:tc>
        <w:tc>
          <w:tcPr>
            <w:tcW w:w="0" w:type="auto"/>
          </w:tcPr>
          <w:p w14:paraId="2168DFE4" w14:textId="77777777" w:rsidR="00485B06" w:rsidRDefault="00000000">
            <w:pPr>
              <w:pStyle w:val="Compact"/>
            </w:pPr>
            <w:r>
              <w:t>Specify the eight elements with necessary and sufficient conditions</w:t>
            </w:r>
          </w:p>
        </w:tc>
        <w:tc>
          <w:tcPr>
            <w:tcW w:w="0" w:type="auto"/>
          </w:tcPr>
          <w:p w14:paraId="4F61F490" w14:textId="77777777" w:rsidR="00485B06" w:rsidRDefault="00000000">
            <w:pPr>
              <w:pStyle w:val="Compact"/>
            </w:pPr>
            <w:r>
              <w:t xml:space="preserve">Gerring’s </w:t>
            </w:r>
            <w:r>
              <w:rPr>
                <w:i/>
                <w:iCs/>
              </w:rPr>
              <w:t>Concept Formation in the Social Sciences</w:t>
            </w:r>
            <w:r>
              <w:t xml:space="preserve">; Goertz’s </w:t>
            </w:r>
            <w:r>
              <w:rPr>
                <w:i/>
                <w:iCs/>
              </w:rPr>
              <w:t>Social Science Concepts</w:t>
            </w:r>
          </w:p>
        </w:tc>
      </w:tr>
      <w:tr w:rsidR="00485B06" w14:paraId="3D44AD58" w14:textId="77777777">
        <w:tc>
          <w:tcPr>
            <w:tcW w:w="0" w:type="auto"/>
          </w:tcPr>
          <w:p w14:paraId="4459CF50" w14:textId="77777777" w:rsidR="00485B06" w:rsidRDefault="00000000">
            <w:pPr>
              <w:pStyle w:val="Compact"/>
            </w:pPr>
            <w:r>
              <w:t>Content analysis and document coding</w:t>
            </w:r>
          </w:p>
        </w:tc>
        <w:tc>
          <w:tcPr>
            <w:tcW w:w="0" w:type="auto"/>
          </w:tcPr>
          <w:p w14:paraId="447312BE" w14:textId="77777777" w:rsidR="00485B06" w:rsidRDefault="00000000">
            <w:pPr>
              <w:pStyle w:val="Compact"/>
            </w:pPr>
            <w:r>
              <w:t>Build and apply the indicator library</w:t>
            </w:r>
          </w:p>
        </w:tc>
        <w:tc>
          <w:tcPr>
            <w:tcW w:w="0" w:type="auto"/>
          </w:tcPr>
          <w:p w14:paraId="0DA2E555" w14:textId="77777777" w:rsidR="00485B06" w:rsidRDefault="00000000">
            <w:pPr>
              <w:pStyle w:val="Compact"/>
            </w:pPr>
            <w:r>
              <w:t>Krippendorff; software: NVivo, ATLAS.ti, or MAXQDA</w:t>
            </w:r>
          </w:p>
        </w:tc>
      </w:tr>
      <w:tr w:rsidR="00485B06" w14:paraId="47AE4208" w14:textId="77777777">
        <w:tc>
          <w:tcPr>
            <w:tcW w:w="0" w:type="auto"/>
          </w:tcPr>
          <w:p w14:paraId="0EBADD0B" w14:textId="77777777" w:rsidR="00485B06" w:rsidRDefault="00000000">
            <w:pPr>
              <w:pStyle w:val="Compact"/>
            </w:pPr>
            <w:r>
              <w:t>Inter-rater reliability statistics</w:t>
            </w:r>
          </w:p>
        </w:tc>
        <w:tc>
          <w:tcPr>
            <w:tcW w:w="0" w:type="auto"/>
          </w:tcPr>
          <w:p w14:paraId="31BE9AD5" w14:textId="77777777" w:rsidR="00485B06" w:rsidRDefault="00000000">
            <w:pPr>
              <w:pStyle w:val="Compact"/>
            </w:pPr>
            <w:r>
              <w:t>Demonstrate reproducibility</w:t>
            </w:r>
          </w:p>
        </w:tc>
        <w:tc>
          <w:tcPr>
            <w:tcW w:w="0" w:type="auto"/>
          </w:tcPr>
          <w:p w14:paraId="78469AD1" w14:textId="77777777" w:rsidR="00485B06" w:rsidRDefault="00000000">
            <w:pPr>
              <w:pStyle w:val="Compact"/>
            </w:pPr>
            <w:r>
              <w:t>Cohen’s kappa, Krippendorff’s alpha, ICC; Hallgren (2012) tutorial; software: R (</w:t>
            </w:r>
            <w:r>
              <w:rPr>
                <w:rStyle w:val="VerbatimChar"/>
              </w:rPr>
              <w:t>irr</w:t>
            </w:r>
            <w:r>
              <w:t xml:space="preserve"> package)</w:t>
            </w:r>
          </w:p>
        </w:tc>
      </w:tr>
      <w:tr w:rsidR="00485B06" w14:paraId="39580D84" w14:textId="77777777">
        <w:tc>
          <w:tcPr>
            <w:tcW w:w="0" w:type="auto"/>
          </w:tcPr>
          <w:p w14:paraId="0327FB5C" w14:textId="77777777" w:rsidR="00485B06" w:rsidRDefault="00000000">
            <w:pPr>
              <w:pStyle w:val="Compact"/>
            </w:pPr>
            <w:r>
              <w:t>Qualitative comparative analysis (QCA)</w:t>
            </w:r>
          </w:p>
        </w:tc>
        <w:tc>
          <w:tcPr>
            <w:tcW w:w="0" w:type="auto"/>
          </w:tcPr>
          <w:p w14:paraId="2FE2B2B8" w14:textId="77777777" w:rsidR="00485B06" w:rsidRDefault="00000000">
            <w:pPr>
              <w:pStyle w:val="Compact"/>
            </w:pPr>
            <w:r>
              <w:t>Identify configurations of elements associated with outcomes</w:t>
            </w:r>
          </w:p>
        </w:tc>
        <w:tc>
          <w:tcPr>
            <w:tcW w:w="0" w:type="auto"/>
          </w:tcPr>
          <w:p w14:paraId="26EEFC76" w14:textId="77777777" w:rsidR="00485B06" w:rsidRDefault="00000000">
            <w:pPr>
              <w:pStyle w:val="Compact"/>
            </w:pPr>
            <w:r>
              <w:t xml:space="preserve">Ragin’s </w:t>
            </w:r>
            <w:r>
              <w:rPr>
                <w:i/>
                <w:iCs/>
              </w:rPr>
              <w:t>Redesigning Social Inquiry</w:t>
            </w:r>
            <w:r>
              <w:t>; software: fsQCA, R (</w:t>
            </w:r>
            <w:r>
              <w:rPr>
                <w:rStyle w:val="VerbatimChar"/>
              </w:rPr>
              <w:t>QCA</w:t>
            </w:r>
            <w:r>
              <w:t xml:space="preserve"> package)</w:t>
            </w:r>
          </w:p>
        </w:tc>
      </w:tr>
      <w:tr w:rsidR="00485B06" w14:paraId="4E615D0B" w14:textId="77777777">
        <w:tc>
          <w:tcPr>
            <w:tcW w:w="0" w:type="auto"/>
          </w:tcPr>
          <w:p w14:paraId="020B41D8" w14:textId="77777777" w:rsidR="00485B06" w:rsidRDefault="00000000">
            <w:pPr>
              <w:pStyle w:val="Compact"/>
            </w:pPr>
            <w:r>
              <w:t>Process tracing</w:t>
            </w:r>
          </w:p>
        </w:tc>
        <w:tc>
          <w:tcPr>
            <w:tcW w:w="0" w:type="auto"/>
          </w:tcPr>
          <w:p w14:paraId="04E9BA7D" w14:textId="77777777" w:rsidR="00485B06" w:rsidRDefault="00000000">
            <w:pPr>
              <w:pStyle w:val="Compact"/>
            </w:pPr>
            <w:r>
              <w:t>Causal analysis within cases</w:t>
            </w:r>
          </w:p>
        </w:tc>
        <w:tc>
          <w:tcPr>
            <w:tcW w:w="0" w:type="auto"/>
          </w:tcPr>
          <w:p w14:paraId="15A3F7AD" w14:textId="77777777" w:rsidR="00485B06" w:rsidRDefault="00000000">
            <w:pPr>
              <w:pStyle w:val="Compact"/>
            </w:pPr>
            <w:r>
              <w:t xml:space="preserve">Bennett &amp; Checkel’s </w:t>
            </w:r>
            <w:r>
              <w:rPr>
                <w:i/>
                <w:iCs/>
              </w:rPr>
              <w:t>Process Tracing</w:t>
            </w:r>
            <w:r>
              <w:t>; Collier’s causal-inference typology</w:t>
            </w:r>
          </w:p>
        </w:tc>
      </w:tr>
      <w:tr w:rsidR="00485B06" w14:paraId="5A1AB906" w14:textId="77777777">
        <w:tc>
          <w:tcPr>
            <w:tcW w:w="0" w:type="auto"/>
          </w:tcPr>
          <w:p w14:paraId="083B3FDE" w14:textId="77777777" w:rsidR="00485B06" w:rsidRDefault="00000000">
            <w:pPr>
              <w:pStyle w:val="Compact"/>
            </w:pPr>
            <w:r>
              <w:t>Regression and predictive modelling</w:t>
            </w:r>
          </w:p>
        </w:tc>
        <w:tc>
          <w:tcPr>
            <w:tcW w:w="0" w:type="auto"/>
          </w:tcPr>
          <w:p w14:paraId="640DD2E1" w14:textId="77777777" w:rsidR="00485B06" w:rsidRDefault="00000000">
            <w:pPr>
              <w:pStyle w:val="Compact"/>
            </w:pPr>
            <w:r>
              <w:t>Test predictive validity</w:t>
            </w:r>
          </w:p>
        </w:tc>
        <w:tc>
          <w:tcPr>
            <w:tcW w:w="0" w:type="auto"/>
          </w:tcPr>
          <w:p w14:paraId="015FFA87" w14:textId="77777777" w:rsidR="00485B06" w:rsidRDefault="00000000">
            <w:pPr>
              <w:pStyle w:val="Compact"/>
            </w:pPr>
            <w:r>
              <w:t>Standard econometrics sequence; Angrist &amp; Pischke; software: R or Stata</w:t>
            </w:r>
          </w:p>
        </w:tc>
      </w:tr>
      <w:tr w:rsidR="00485B06" w14:paraId="100226BB" w14:textId="77777777">
        <w:tc>
          <w:tcPr>
            <w:tcW w:w="0" w:type="auto"/>
          </w:tcPr>
          <w:p w14:paraId="4E390CEC" w14:textId="77777777" w:rsidR="00485B06" w:rsidRDefault="00000000">
            <w:pPr>
              <w:pStyle w:val="Compact"/>
            </w:pPr>
            <w:r>
              <w:t>Pre-registration and open science</w:t>
            </w:r>
          </w:p>
        </w:tc>
        <w:tc>
          <w:tcPr>
            <w:tcW w:w="0" w:type="auto"/>
          </w:tcPr>
          <w:p w14:paraId="7DB194B2" w14:textId="77777777" w:rsidR="00485B06" w:rsidRDefault="00000000">
            <w:pPr>
              <w:pStyle w:val="Compact"/>
            </w:pPr>
            <w:r>
              <w:t>Establish credibility of empirical claims</w:t>
            </w:r>
          </w:p>
        </w:tc>
        <w:tc>
          <w:tcPr>
            <w:tcW w:w="0" w:type="auto"/>
          </w:tcPr>
          <w:p w14:paraId="20A25E23" w14:textId="77777777" w:rsidR="00485B06" w:rsidRDefault="00000000">
            <w:pPr>
              <w:pStyle w:val="Compact"/>
            </w:pPr>
            <w:r>
              <w:t>OSF pre-registration; AEA RCT Registry conventions</w:t>
            </w:r>
          </w:p>
        </w:tc>
      </w:tr>
      <w:tr w:rsidR="00485B06" w14:paraId="4648FB49" w14:textId="77777777">
        <w:tc>
          <w:tcPr>
            <w:tcW w:w="0" w:type="auto"/>
          </w:tcPr>
          <w:p w14:paraId="3D948862" w14:textId="77777777" w:rsidR="00485B06" w:rsidRDefault="00000000">
            <w:pPr>
              <w:pStyle w:val="Compact"/>
            </w:pPr>
            <w:r>
              <w:t>Elite interviewing and ethics</w:t>
            </w:r>
          </w:p>
        </w:tc>
        <w:tc>
          <w:tcPr>
            <w:tcW w:w="0" w:type="auto"/>
          </w:tcPr>
          <w:p w14:paraId="0640F724" w14:textId="77777777" w:rsidR="00485B06" w:rsidRDefault="00000000">
            <w:pPr>
              <w:pStyle w:val="Compact"/>
            </w:pPr>
            <w:r>
              <w:t>Practitioner validation and stakeholder protocols</w:t>
            </w:r>
          </w:p>
        </w:tc>
        <w:tc>
          <w:tcPr>
            <w:tcW w:w="0" w:type="auto"/>
          </w:tcPr>
          <w:p w14:paraId="0555C3E6" w14:textId="77777777" w:rsidR="00485B06" w:rsidRDefault="00000000">
            <w:pPr>
              <w:pStyle w:val="Compact"/>
            </w:pPr>
            <w:r>
              <w:t>Leech’s interviewing guides; IRB/ethics review conventions</w:t>
            </w:r>
          </w:p>
        </w:tc>
      </w:tr>
    </w:tbl>
    <w:p w14:paraId="78DD0A37" w14:textId="77777777" w:rsidR="00485B06" w:rsidRDefault="00000000">
      <w:pPr>
        <w:pStyle w:val="BodyText"/>
      </w:pPr>
      <w:r>
        <w:t>A PhD candidate who cannot credibly compute an inter-rater reliability statistic and run a pre-registered predictive study will not publish the empirical paper. This is non-negotiable; the candidate must plan methods training in year one.</w:t>
      </w:r>
    </w:p>
    <w:p w14:paraId="52DDD2FF" w14:textId="77777777" w:rsidR="00485B06" w:rsidRDefault="00000000">
      <w:pPr>
        <w:pStyle w:val="Heading3"/>
      </w:pPr>
      <w:bookmarkStart w:id="94" w:name="c.6-funding-pathways"/>
      <w:bookmarkStart w:id="95" w:name="_Toc227923376"/>
      <w:bookmarkEnd w:id="92"/>
      <w:r>
        <w:t>C.6 Funding Pathways</w:t>
      </w:r>
      <w:bookmarkEnd w:id="95"/>
    </w:p>
    <w:p w14:paraId="22F45396" w14:textId="77777777" w:rsidR="00485B06" w:rsidRDefault="00000000">
      <w:pPr>
        <w:pStyle w:val="FirstParagraph"/>
      </w:pPr>
      <w:r>
        <w:t>South African and international funding sources that align with this research agenda:</w:t>
      </w:r>
    </w:p>
    <w:p w14:paraId="123757E5" w14:textId="77777777" w:rsidR="00485B06" w:rsidRDefault="00000000">
      <w:pPr>
        <w:pStyle w:val="Compact"/>
        <w:numPr>
          <w:ilvl w:val="0"/>
          <w:numId w:val="23"/>
        </w:numPr>
      </w:pPr>
      <w:r>
        <w:rPr>
          <w:b/>
          <w:bCs/>
        </w:rPr>
        <w:t>NRF (National Research Foundation) Thuthuka or Competitive Doctoral Funding</w:t>
      </w:r>
      <w:r>
        <w:t xml:space="preserve"> — South African-based doctoral study.</w:t>
      </w:r>
    </w:p>
    <w:p w14:paraId="70339AB8" w14:textId="77777777" w:rsidR="00485B06" w:rsidRDefault="00000000">
      <w:pPr>
        <w:pStyle w:val="Compact"/>
        <w:numPr>
          <w:ilvl w:val="0"/>
          <w:numId w:val="23"/>
        </w:numPr>
      </w:pPr>
      <w:r>
        <w:rPr>
          <w:b/>
          <w:bCs/>
        </w:rPr>
        <w:t>Commonwealth Scholarships</w:t>
      </w:r>
      <w:r>
        <w:t xml:space="preserve"> — UK study for Commonwealth candidates.</w:t>
      </w:r>
    </w:p>
    <w:p w14:paraId="06C37D55" w14:textId="77777777" w:rsidR="00485B06" w:rsidRDefault="00000000">
      <w:pPr>
        <w:pStyle w:val="Compact"/>
        <w:numPr>
          <w:ilvl w:val="0"/>
          <w:numId w:val="23"/>
        </w:numPr>
      </w:pPr>
      <w:r>
        <w:rPr>
          <w:b/>
          <w:bCs/>
        </w:rPr>
        <w:t>Chevening Scholarships</w:t>
      </w:r>
      <w:r>
        <w:t xml:space="preserve"> — UK Masters study (one year).</w:t>
      </w:r>
    </w:p>
    <w:p w14:paraId="14ABDC5B" w14:textId="77777777" w:rsidR="00485B06" w:rsidRDefault="00000000">
      <w:pPr>
        <w:pStyle w:val="Compact"/>
        <w:numPr>
          <w:ilvl w:val="0"/>
          <w:numId w:val="23"/>
        </w:numPr>
      </w:pPr>
      <w:r>
        <w:rPr>
          <w:b/>
          <w:bCs/>
        </w:rPr>
        <w:t>Fulbright Foreign Student Program</w:t>
      </w:r>
      <w:r>
        <w:t xml:space="preserve"> — US study for non-Americans.</w:t>
      </w:r>
    </w:p>
    <w:p w14:paraId="2031448F" w14:textId="77777777" w:rsidR="00485B06" w:rsidRDefault="00000000">
      <w:pPr>
        <w:pStyle w:val="Compact"/>
        <w:numPr>
          <w:ilvl w:val="0"/>
          <w:numId w:val="23"/>
        </w:numPr>
      </w:pPr>
      <w:r>
        <w:rPr>
          <w:b/>
          <w:bCs/>
        </w:rPr>
        <w:lastRenderedPageBreak/>
        <w:t>DAAD (German Academic Exchange Service)</w:t>
      </w:r>
      <w:r>
        <w:t xml:space="preserve"> — German study.</w:t>
      </w:r>
    </w:p>
    <w:p w14:paraId="1D1FEFF4" w14:textId="77777777" w:rsidR="00485B06" w:rsidRDefault="00000000">
      <w:pPr>
        <w:pStyle w:val="Compact"/>
        <w:numPr>
          <w:ilvl w:val="0"/>
          <w:numId w:val="23"/>
        </w:numPr>
      </w:pPr>
      <w:r>
        <w:rPr>
          <w:b/>
          <w:bCs/>
        </w:rPr>
        <w:t>Rhodes Scholarship; Mandela Rhodes Scholarship; Oppenheimer Memorial Trust</w:t>
      </w:r>
      <w:r>
        <w:t xml:space="preserve"> — competitive elite funding routes.</w:t>
      </w:r>
    </w:p>
    <w:p w14:paraId="6D451A7C" w14:textId="77777777" w:rsidR="00485B06" w:rsidRDefault="00000000">
      <w:pPr>
        <w:pStyle w:val="Compact"/>
        <w:numPr>
          <w:ilvl w:val="0"/>
          <w:numId w:val="23"/>
        </w:numPr>
      </w:pPr>
      <w:r>
        <w:rPr>
          <w:b/>
          <w:bCs/>
        </w:rPr>
        <w:t>World Bank Graduate Scholarship Program</w:t>
      </w:r>
      <w:r>
        <w:t xml:space="preserve"> — for developing-country candidates at partner institutions.</w:t>
      </w:r>
    </w:p>
    <w:p w14:paraId="0F1605C1" w14:textId="77777777" w:rsidR="00485B06" w:rsidRDefault="00000000">
      <w:pPr>
        <w:pStyle w:val="Compact"/>
        <w:numPr>
          <w:ilvl w:val="0"/>
          <w:numId w:val="23"/>
        </w:numPr>
      </w:pPr>
      <w:r>
        <w:rPr>
          <w:b/>
          <w:bCs/>
        </w:rPr>
        <w:t>GIZ / AGRA / African Development Bank doctoral scholarships</w:t>
      </w:r>
      <w:r>
        <w:t xml:space="preserve"> — sector-aligned funders.</w:t>
      </w:r>
    </w:p>
    <w:p w14:paraId="5AE77695" w14:textId="77777777" w:rsidR="00485B06" w:rsidRDefault="00000000">
      <w:pPr>
        <w:pStyle w:val="Compact"/>
        <w:numPr>
          <w:ilvl w:val="0"/>
          <w:numId w:val="23"/>
        </w:numPr>
      </w:pPr>
      <w:r>
        <w:rPr>
          <w:b/>
          <w:bCs/>
        </w:rPr>
        <w:t>Institution-specific funding</w:t>
      </w:r>
      <w:r>
        <w:t xml:space="preserve"> — Blavatnik, Kennedy School, Princeton SPIA and LSE all offer full funding for strong candidates; the bar is high but the funding is real.</w:t>
      </w:r>
    </w:p>
    <w:p w14:paraId="7CBD182E" w14:textId="77777777" w:rsidR="00485B06" w:rsidRDefault="00000000">
      <w:pPr>
        <w:pStyle w:val="FirstParagraph"/>
      </w:pPr>
      <w:r>
        <w:t>A well-targeted research proposal — which the MRD and this credibility document together already substantially constitute — is the single strongest asset a candidate brings to funding applications.</w:t>
      </w:r>
    </w:p>
    <w:p w14:paraId="7D5585AF" w14:textId="77777777" w:rsidR="00485B06" w:rsidRDefault="00000000">
      <w:pPr>
        <w:pStyle w:val="Heading3"/>
      </w:pPr>
      <w:bookmarkStart w:id="96" w:name="Xc589246e1239bf55e66b6ad3bb3264d613a264a"/>
      <w:bookmarkStart w:id="97" w:name="_Toc227923377"/>
      <w:bookmarkEnd w:id="94"/>
      <w:r>
        <w:t>C.7 Timeline: Integrating the Degree With the Credibility Roadmap</w:t>
      </w:r>
      <w:bookmarkEnd w:id="97"/>
    </w:p>
    <w:p w14:paraId="54F676D8" w14:textId="77777777" w:rsidR="00485B06" w:rsidRDefault="00000000">
      <w:pPr>
        <w:pStyle w:val="FirstParagraph"/>
      </w:pPr>
      <w:r>
        <w:t>The thesis is not a separate track from the credibility roadmap in Part IV; it is the same work with academic registration added. A realistic integrated timeline:</w:t>
      </w:r>
    </w:p>
    <w:tbl>
      <w:tblPr>
        <w:tblStyle w:val="Table"/>
        <w:tblW w:w="5000" w:type="pct"/>
        <w:tblLook w:val="0020" w:firstRow="1" w:lastRow="0" w:firstColumn="0" w:lastColumn="0" w:noHBand="0" w:noVBand="0"/>
      </w:tblPr>
      <w:tblGrid>
        <w:gridCol w:w="2485"/>
        <w:gridCol w:w="3792"/>
        <w:gridCol w:w="3299"/>
      </w:tblGrid>
      <w:tr w:rsidR="00485B06" w14:paraId="33FE343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E3A2872" w14:textId="77777777" w:rsidR="00485B06" w:rsidRDefault="00000000">
            <w:pPr>
              <w:pStyle w:val="Compact"/>
            </w:pPr>
            <w:r>
              <w:t>Year</w:t>
            </w:r>
          </w:p>
        </w:tc>
        <w:tc>
          <w:tcPr>
            <w:tcW w:w="0" w:type="auto"/>
          </w:tcPr>
          <w:p w14:paraId="682E4712" w14:textId="77777777" w:rsidR="00485B06" w:rsidRDefault="00000000">
            <w:pPr>
              <w:pStyle w:val="Compact"/>
            </w:pPr>
            <w:r>
              <w:t>Thesis milestone</w:t>
            </w:r>
          </w:p>
        </w:tc>
        <w:tc>
          <w:tcPr>
            <w:tcW w:w="0" w:type="auto"/>
          </w:tcPr>
          <w:p w14:paraId="52697D71" w14:textId="77777777" w:rsidR="00485B06" w:rsidRDefault="00000000">
            <w:pPr>
              <w:pStyle w:val="Compact"/>
            </w:pPr>
            <w:r>
              <w:t>Credibility milestone</w:t>
            </w:r>
          </w:p>
        </w:tc>
      </w:tr>
      <w:tr w:rsidR="00485B06" w14:paraId="34E7DA47" w14:textId="77777777">
        <w:tc>
          <w:tcPr>
            <w:tcW w:w="0" w:type="auto"/>
          </w:tcPr>
          <w:p w14:paraId="3A25E57E" w14:textId="77777777" w:rsidR="00485B06" w:rsidRDefault="00000000">
            <w:pPr>
              <w:pStyle w:val="Compact"/>
            </w:pPr>
            <w:r>
              <w:t>Pre-registration</w:t>
            </w:r>
          </w:p>
        </w:tc>
        <w:tc>
          <w:tcPr>
            <w:tcW w:w="0" w:type="auto"/>
          </w:tcPr>
          <w:p w14:paraId="5AE1DF80" w14:textId="77777777" w:rsidR="00485B06" w:rsidRDefault="00000000">
            <w:pPr>
              <w:pStyle w:val="Compact"/>
            </w:pPr>
            <w:r>
              <w:t>Publish methodology working paper (SSRN); use as writing sample</w:t>
            </w:r>
          </w:p>
        </w:tc>
        <w:tc>
          <w:tcPr>
            <w:tcW w:w="0" w:type="auto"/>
          </w:tcPr>
          <w:p w14:paraId="26480B57" w14:textId="77777777" w:rsidR="00485B06" w:rsidRDefault="00000000">
            <w:pPr>
              <w:pStyle w:val="Compact"/>
            </w:pPr>
            <w:r>
              <w:t>Pillar A deliverable; Pillar B codebook v1</w:t>
            </w:r>
          </w:p>
        </w:tc>
      </w:tr>
      <w:tr w:rsidR="00485B06" w14:paraId="0284588D" w14:textId="77777777">
        <w:tc>
          <w:tcPr>
            <w:tcW w:w="0" w:type="auto"/>
          </w:tcPr>
          <w:p w14:paraId="3DADAF2F" w14:textId="77777777" w:rsidR="00485B06" w:rsidRDefault="00000000">
            <w:pPr>
              <w:pStyle w:val="Compact"/>
            </w:pPr>
            <w:r>
              <w:t>Year 1 (coursework / confirmation)</w:t>
            </w:r>
          </w:p>
        </w:tc>
        <w:tc>
          <w:tcPr>
            <w:tcW w:w="0" w:type="auto"/>
          </w:tcPr>
          <w:p w14:paraId="4B266C4D" w14:textId="77777777" w:rsidR="00485B06" w:rsidRDefault="00000000">
            <w:pPr>
              <w:pStyle w:val="Compact"/>
            </w:pPr>
            <w:r>
              <w:t>Literature review; theoretical paper draft; methods training</w:t>
            </w:r>
          </w:p>
        </w:tc>
        <w:tc>
          <w:tcPr>
            <w:tcW w:w="0" w:type="auto"/>
          </w:tcPr>
          <w:p w14:paraId="1C1591BA" w14:textId="77777777" w:rsidR="00485B06" w:rsidRDefault="00000000">
            <w:pPr>
              <w:pStyle w:val="Compact"/>
            </w:pPr>
            <w:r>
              <w:t>Paper 1 submitted as working paper; academic MOU signed</w:t>
            </w:r>
          </w:p>
        </w:tc>
      </w:tr>
      <w:tr w:rsidR="00485B06" w14:paraId="0676FE75" w14:textId="77777777">
        <w:tc>
          <w:tcPr>
            <w:tcW w:w="0" w:type="auto"/>
          </w:tcPr>
          <w:p w14:paraId="2A45D3BE" w14:textId="77777777" w:rsidR="00485B06" w:rsidRDefault="00000000">
            <w:pPr>
              <w:pStyle w:val="Compact"/>
            </w:pPr>
            <w:r>
              <w:t>Year 2</w:t>
            </w:r>
          </w:p>
        </w:tc>
        <w:tc>
          <w:tcPr>
            <w:tcW w:w="0" w:type="auto"/>
          </w:tcPr>
          <w:p w14:paraId="53D8F48B" w14:textId="77777777" w:rsidR="00485B06" w:rsidRDefault="00000000">
            <w:pPr>
              <w:pStyle w:val="Compact"/>
            </w:pPr>
            <w:r>
              <w:t>IRR study fieldwork and analysis</w:t>
            </w:r>
          </w:p>
        </w:tc>
        <w:tc>
          <w:tcPr>
            <w:tcW w:w="0" w:type="auto"/>
          </w:tcPr>
          <w:p w14:paraId="452A6524" w14:textId="77777777" w:rsidR="00485B06" w:rsidRDefault="00000000">
            <w:pPr>
              <w:pStyle w:val="Compact"/>
            </w:pPr>
            <w:r>
              <w:t>Pillar D.2 validation complete; Paper 2 submitted</w:t>
            </w:r>
          </w:p>
        </w:tc>
      </w:tr>
      <w:tr w:rsidR="00485B06" w14:paraId="42B8F023" w14:textId="77777777">
        <w:tc>
          <w:tcPr>
            <w:tcW w:w="0" w:type="auto"/>
          </w:tcPr>
          <w:p w14:paraId="1E0C82F5" w14:textId="77777777" w:rsidR="00485B06" w:rsidRDefault="00000000">
            <w:pPr>
              <w:pStyle w:val="Compact"/>
            </w:pPr>
            <w:r>
              <w:t>Year 3</w:t>
            </w:r>
          </w:p>
        </w:tc>
        <w:tc>
          <w:tcPr>
            <w:tcW w:w="0" w:type="auto"/>
          </w:tcPr>
          <w:p w14:paraId="6108AA2C" w14:textId="77777777" w:rsidR="00485B06" w:rsidRDefault="00000000">
            <w:pPr>
              <w:pStyle w:val="Compact"/>
            </w:pPr>
            <w:r>
              <w:t>Predictive-validity or comparative-cross-jurisdictional study fieldwork</w:t>
            </w:r>
          </w:p>
        </w:tc>
        <w:tc>
          <w:tcPr>
            <w:tcW w:w="0" w:type="auto"/>
          </w:tcPr>
          <w:p w14:paraId="24754A87" w14:textId="77777777" w:rsidR="00485B06" w:rsidRDefault="00000000">
            <w:pPr>
              <w:pStyle w:val="Compact"/>
            </w:pPr>
            <w:r>
              <w:t>Pillar D.3 validation in progress; US pilot running</w:t>
            </w:r>
          </w:p>
        </w:tc>
      </w:tr>
      <w:tr w:rsidR="00485B06" w14:paraId="2D5F13FF" w14:textId="77777777">
        <w:tc>
          <w:tcPr>
            <w:tcW w:w="0" w:type="auto"/>
          </w:tcPr>
          <w:p w14:paraId="4BE1596A" w14:textId="77777777" w:rsidR="00485B06" w:rsidRDefault="00000000">
            <w:pPr>
              <w:pStyle w:val="Compact"/>
            </w:pPr>
            <w:r>
              <w:t>Year 4</w:t>
            </w:r>
          </w:p>
        </w:tc>
        <w:tc>
          <w:tcPr>
            <w:tcW w:w="0" w:type="auto"/>
          </w:tcPr>
          <w:p w14:paraId="1F300429" w14:textId="77777777" w:rsidR="00485B06" w:rsidRDefault="00000000">
            <w:pPr>
              <w:pStyle w:val="Compact"/>
            </w:pPr>
            <w:r>
              <w:t>Paper 3 draft; thesis integration; viva preparation</w:t>
            </w:r>
          </w:p>
        </w:tc>
        <w:tc>
          <w:tcPr>
            <w:tcW w:w="0" w:type="auto"/>
          </w:tcPr>
          <w:p w14:paraId="101C6BC5" w14:textId="77777777" w:rsidR="00485B06" w:rsidRDefault="00000000">
            <w:pPr>
              <w:pStyle w:val="Compact"/>
            </w:pPr>
            <w:r>
              <w:t>Paper 3 submitted; stewardship entity formed</w:t>
            </w:r>
          </w:p>
        </w:tc>
      </w:tr>
      <w:tr w:rsidR="00485B06" w14:paraId="1695EEC1" w14:textId="77777777">
        <w:tc>
          <w:tcPr>
            <w:tcW w:w="0" w:type="auto"/>
          </w:tcPr>
          <w:p w14:paraId="338EF6A7" w14:textId="77777777" w:rsidR="00485B06" w:rsidRDefault="00000000">
            <w:pPr>
              <w:pStyle w:val="Compact"/>
            </w:pPr>
            <w:r>
              <w:t>Year 5 (if needed)</w:t>
            </w:r>
          </w:p>
        </w:tc>
        <w:tc>
          <w:tcPr>
            <w:tcW w:w="0" w:type="auto"/>
          </w:tcPr>
          <w:p w14:paraId="0E99366B" w14:textId="77777777" w:rsidR="00485B06" w:rsidRDefault="00000000">
            <w:pPr>
              <w:pStyle w:val="Compact"/>
            </w:pPr>
            <w:r>
              <w:t>Revisions and defence</w:t>
            </w:r>
          </w:p>
        </w:tc>
        <w:tc>
          <w:tcPr>
            <w:tcW w:w="0" w:type="auto"/>
          </w:tcPr>
          <w:p w14:paraId="26C960DE" w14:textId="77777777" w:rsidR="00485B06" w:rsidRDefault="00000000">
            <w:pPr>
              <w:pStyle w:val="Compact"/>
            </w:pPr>
            <w:r>
              <w:t>Published framework with three peer-reviewed papers</w:t>
            </w:r>
          </w:p>
        </w:tc>
      </w:tr>
    </w:tbl>
    <w:p w14:paraId="10F52E3E" w14:textId="77777777" w:rsidR="00485B06" w:rsidRDefault="00000000">
      <w:pPr>
        <w:pStyle w:val="BodyText"/>
      </w:pPr>
      <w:r>
        <w:t>The candidate graduates with a PhD, three publications, an international profile and a framework that is by then institutionally anchored. The thesis and the credibility programme are the same programme described from two different sides.</w:t>
      </w:r>
    </w:p>
    <w:p w14:paraId="28FBC8FB" w14:textId="77777777" w:rsidR="00485B06" w:rsidRDefault="00000000">
      <w:pPr>
        <w:pStyle w:val="Heading3"/>
      </w:pPr>
      <w:bookmarkStart w:id="98" w:name="c.8-risks-specific-to-the-thesis-route"/>
      <w:bookmarkStart w:id="99" w:name="_Toc227923378"/>
      <w:bookmarkEnd w:id="96"/>
      <w:r>
        <w:t>C.8 Risks Specific to the Thesis Route</w:t>
      </w:r>
      <w:bookmarkEnd w:id="99"/>
    </w:p>
    <w:p w14:paraId="5E5A1176" w14:textId="77777777" w:rsidR="00485B06" w:rsidRDefault="00000000">
      <w:pPr>
        <w:pStyle w:val="FirstParagraph"/>
      </w:pPr>
      <w:r>
        <w:t>A thesis route is not free; it carries risks the candidate should weigh.</w:t>
      </w:r>
    </w:p>
    <w:tbl>
      <w:tblPr>
        <w:tblStyle w:val="Table"/>
        <w:tblW w:w="5000" w:type="pct"/>
        <w:tblLook w:val="0020" w:firstRow="1" w:lastRow="0" w:firstColumn="0" w:lastColumn="0" w:noHBand="0" w:noVBand="0"/>
      </w:tblPr>
      <w:tblGrid>
        <w:gridCol w:w="1988"/>
        <w:gridCol w:w="3601"/>
        <w:gridCol w:w="3987"/>
      </w:tblGrid>
      <w:tr w:rsidR="00485B06" w14:paraId="2E6AC6C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05CB243" w14:textId="77777777" w:rsidR="00485B06" w:rsidRDefault="00000000">
            <w:pPr>
              <w:pStyle w:val="Compact"/>
            </w:pPr>
            <w:r>
              <w:t>Risk</w:t>
            </w:r>
          </w:p>
        </w:tc>
        <w:tc>
          <w:tcPr>
            <w:tcW w:w="0" w:type="auto"/>
          </w:tcPr>
          <w:p w14:paraId="3F2F7860" w14:textId="77777777" w:rsidR="00485B06" w:rsidRDefault="00000000">
            <w:pPr>
              <w:pStyle w:val="Compact"/>
            </w:pPr>
            <w:r>
              <w:t>Mechanism</w:t>
            </w:r>
          </w:p>
        </w:tc>
        <w:tc>
          <w:tcPr>
            <w:tcW w:w="0" w:type="auto"/>
          </w:tcPr>
          <w:p w14:paraId="1B29D205" w14:textId="77777777" w:rsidR="00485B06" w:rsidRDefault="00000000">
            <w:pPr>
              <w:pStyle w:val="Compact"/>
            </w:pPr>
            <w:r>
              <w:t>Mitigation</w:t>
            </w:r>
          </w:p>
        </w:tc>
      </w:tr>
      <w:tr w:rsidR="00485B06" w14:paraId="184CDDDE" w14:textId="77777777">
        <w:tc>
          <w:tcPr>
            <w:tcW w:w="0" w:type="auto"/>
          </w:tcPr>
          <w:p w14:paraId="5159C77E" w14:textId="77777777" w:rsidR="00485B06" w:rsidRDefault="00000000">
            <w:pPr>
              <w:pStyle w:val="Compact"/>
            </w:pPr>
            <w:r>
              <w:t xml:space="preserve">Supervisor </w:t>
            </w:r>
            <w:r>
              <w:lastRenderedPageBreak/>
              <w:t>misalignment</w:t>
            </w:r>
          </w:p>
        </w:tc>
        <w:tc>
          <w:tcPr>
            <w:tcW w:w="0" w:type="auto"/>
          </w:tcPr>
          <w:p w14:paraId="7C4713DF" w14:textId="77777777" w:rsidR="00485B06" w:rsidRDefault="00000000">
            <w:pPr>
              <w:pStyle w:val="Compact"/>
            </w:pPr>
            <w:r>
              <w:lastRenderedPageBreak/>
              <w:t xml:space="preserve">A supervisor not expert in institutional design redirects the </w:t>
            </w:r>
            <w:r>
              <w:lastRenderedPageBreak/>
              <w:t>work toward their own methods</w:t>
            </w:r>
          </w:p>
        </w:tc>
        <w:tc>
          <w:tcPr>
            <w:tcW w:w="0" w:type="auto"/>
          </w:tcPr>
          <w:p w14:paraId="4DD24FD1" w14:textId="77777777" w:rsidR="00485B06" w:rsidRDefault="00000000">
            <w:pPr>
              <w:pStyle w:val="Compact"/>
            </w:pPr>
            <w:r>
              <w:lastRenderedPageBreak/>
              <w:t xml:space="preserve">Choose supervisors from the shortlist in Section C.4; ensure at </w:t>
            </w:r>
            <w:r>
              <w:lastRenderedPageBreak/>
              <w:t>least one is a published institutional-design scholar</w:t>
            </w:r>
          </w:p>
        </w:tc>
      </w:tr>
      <w:tr w:rsidR="00485B06" w14:paraId="2FACF049" w14:textId="77777777">
        <w:tc>
          <w:tcPr>
            <w:tcW w:w="0" w:type="auto"/>
          </w:tcPr>
          <w:p w14:paraId="57E8586D" w14:textId="77777777" w:rsidR="00485B06" w:rsidRDefault="00000000">
            <w:pPr>
              <w:pStyle w:val="Compact"/>
            </w:pPr>
            <w:r>
              <w:lastRenderedPageBreak/>
              <w:t>Ethical complications</w:t>
            </w:r>
          </w:p>
        </w:tc>
        <w:tc>
          <w:tcPr>
            <w:tcW w:w="0" w:type="auto"/>
          </w:tcPr>
          <w:p w14:paraId="07953215" w14:textId="77777777" w:rsidR="00485B06" w:rsidRDefault="00000000">
            <w:pPr>
              <w:pStyle w:val="Compact"/>
            </w:pPr>
            <w:r>
              <w:t>Diagnostics of real institutions may require IRB/ethics approval; interviews with officials create sensitivity</w:t>
            </w:r>
          </w:p>
        </w:tc>
        <w:tc>
          <w:tcPr>
            <w:tcW w:w="0" w:type="auto"/>
          </w:tcPr>
          <w:p w14:paraId="01AEF300" w14:textId="77777777" w:rsidR="00485B06" w:rsidRDefault="00000000">
            <w:pPr>
              <w:pStyle w:val="Compact"/>
            </w:pPr>
            <w:r>
              <w:t>Build ethics approval into the year-one plan; pre-empt with anonymisation protocols</w:t>
            </w:r>
          </w:p>
        </w:tc>
      </w:tr>
      <w:tr w:rsidR="00485B06" w14:paraId="5A92748C" w14:textId="77777777">
        <w:tc>
          <w:tcPr>
            <w:tcW w:w="0" w:type="auto"/>
          </w:tcPr>
          <w:p w14:paraId="188AFD96" w14:textId="77777777" w:rsidR="00485B06" w:rsidRDefault="00000000">
            <w:pPr>
              <w:pStyle w:val="Compact"/>
            </w:pPr>
            <w:r>
              <w:t>Commercial-academic conflict</w:t>
            </w:r>
          </w:p>
        </w:tc>
        <w:tc>
          <w:tcPr>
            <w:tcW w:w="0" w:type="auto"/>
          </w:tcPr>
          <w:p w14:paraId="272F1E8A" w14:textId="77777777" w:rsidR="00485B06" w:rsidRDefault="00000000">
            <w:pPr>
              <w:pStyle w:val="Compact"/>
            </w:pPr>
            <w:r>
              <w:t>Running RAARICLE™ as a paid consulting product while completing a thesis on it creates COI risk</w:t>
            </w:r>
          </w:p>
        </w:tc>
        <w:tc>
          <w:tcPr>
            <w:tcW w:w="0" w:type="auto"/>
          </w:tcPr>
          <w:p w14:paraId="55B34CB4" w14:textId="77777777" w:rsidR="00485B06" w:rsidRDefault="00000000">
            <w:pPr>
              <w:pStyle w:val="Compact"/>
            </w:pPr>
            <w:r>
              <w:t>Separate client engagements from thesis data; disclose all commercial work to supervisors and in publications</w:t>
            </w:r>
          </w:p>
        </w:tc>
      </w:tr>
      <w:tr w:rsidR="00485B06" w14:paraId="601D9610" w14:textId="77777777">
        <w:tc>
          <w:tcPr>
            <w:tcW w:w="0" w:type="auto"/>
          </w:tcPr>
          <w:p w14:paraId="3F8E12EC" w14:textId="77777777" w:rsidR="00485B06" w:rsidRDefault="00000000">
            <w:pPr>
              <w:pStyle w:val="Compact"/>
            </w:pPr>
            <w:r>
              <w:t>Data access</w:t>
            </w:r>
          </w:p>
        </w:tc>
        <w:tc>
          <w:tcPr>
            <w:tcW w:w="0" w:type="auto"/>
          </w:tcPr>
          <w:p w14:paraId="4878CF6F" w14:textId="77777777" w:rsidR="00485B06" w:rsidRDefault="00000000">
            <w:pPr>
              <w:pStyle w:val="Compact"/>
            </w:pPr>
            <w:r>
              <w:t>Municipalities or state agencies may refuse cooperation</w:t>
            </w:r>
          </w:p>
        </w:tc>
        <w:tc>
          <w:tcPr>
            <w:tcW w:w="0" w:type="auto"/>
          </w:tcPr>
          <w:p w14:paraId="5DBABE26" w14:textId="77777777" w:rsidR="00485B06" w:rsidRDefault="00000000">
            <w:pPr>
              <w:pStyle w:val="Compact"/>
            </w:pPr>
            <w:r>
              <w:t>Design the validation around publicly available data where possible; treat cooperation as a bonus, not a dependency</w:t>
            </w:r>
          </w:p>
        </w:tc>
      </w:tr>
      <w:tr w:rsidR="00485B06" w14:paraId="04433C41" w14:textId="77777777">
        <w:tc>
          <w:tcPr>
            <w:tcW w:w="0" w:type="auto"/>
          </w:tcPr>
          <w:p w14:paraId="6A12D0FB" w14:textId="77777777" w:rsidR="00485B06" w:rsidRDefault="00000000">
            <w:pPr>
              <w:pStyle w:val="Compact"/>
            </w:pPr>
            <w:r>
              <w:t>Framework ownership</w:t>
            </w:r>
          </w:p>
        </w:tc>
        <w:tc>
          <w:tcPr>
            <w:tcW w:w="0" w:type="auto"/>
          </w:tcPr>
          <w:p w14:paraId="6EE81FF9" w14:textId="77777777" w:rsidR="00485B06" w:rsidRDefault="00000000">
            <w:pPr>
              <w:pStyle w:val="Compact"/>
            </w:pPr>
            <w:r>
              <w:t>The institution may claim IP over the thesis’s contributions</w:t>
            </w:r>
          </w:p>
        </w:tc>
        <w:tc>
          <w:tcPr>
            <w:tcW w:w="0" w:type="auto"/>
          </w:tcPr>
          <w:p w14:paraId="5A1F77C9" w14:textId="77777777" w:rsidR="00485B06" w:rsidRDefault="00000000">
            <w:pPr>
              <w:pStyle w:val="Compact"/>
            </w:pPr>
            <w:r>
              <w:t>Negotiate IP terms at admission; retain a permissive licence on the framework itself before enrolling</w:t>
            </w:r>
          </w:p>
        </w:tc>
      </w:tr>
      <w:tr w:rsidR="00485B06" w14:paraId="14ED62A3" w14:textId="77777777">
        <w:tc>
          <w:tcPr>
            <w:tcW w:w="0" w:type="auto"/>
          </w:tcPr>
          <w:p w14:paraId="226B421D" w14:textId="77777777" w:rsidR="00485B06" w:rsidRDefault="00000000">
            <w:pPr>
              <w:pStyle w:val="Compact"/>
            </w:pPr>
            <w:r>
              <w:t>Timeline slippage</w:t>
            </w:r>
          </w:p>
        </w:tc>
        <w:tc>
          <w:tcPr>
            <w:tcW w:w="0" w:type="auto"/>
          </w:tcPr>
          <w:p w14:paraId="07D4045E" w14:textId="77777777" w:rsidR="00485B06" w:rsidRDefault="00000000">
            <w:pPr>
              <w:pStyle w:val="Compact"/>
            </w:pPr>
            <w:r>
              <w:t>PhDs routinely extend beyond the scheduled timeline</w:t>
            </w:r>
          </w:p>
        </w:tc>
        <w:tc>
          <w:tcPr>
            <w:tcW w:w="0" w:type="auto"/>
          </w:tcPr>
          <w:p w14:paraId="6BB8359B" w14:textId="77777777" w:rsidR="00485B06" w:rsidRDefault="00000000">
            <w:pPr>
              <w:pStyle w:val="Compact"/>
            </w:pPr>
            <w:r>
              <w:t>Budget realistically for 5 years rather than 3–4; secure funding that accommodates the realistic timeline</w:t>
            </w:r>
          </w:p>
        </w:tc>
      </w:tr>
      <w:tr w:rsidR="00485B06" w14:paraId="277CDB58" w14:textId="77777777">
        <w:tc>
          <w:tcPr>
            <w:tcW w:w="0" w:type="auto"/>
          </w:tcPr>
          <w:p w14:paraId="71EDCD45" w14:textId="77777777" w:rsidR="00485B06" w:rsidRDefault="00000000">
            <w:pPr>
              <w:pStyle w:val="Compact"/>
            </w:pPr>
            <w:r>
              <w:t>Originality challenge</w:t>
            </w:r>
          </w:p>
        </w:tc>
        <w:tc>
          <w:tcPr>
            <w:tcW w:w="0" w:type="auto"/>
          </w:tcPr>
          <w:p w14:paraId="4AE8C9E6" w14:textId="77777777" w:rsidR="00485B06" w:rsidRDefault="00000000">
            <w:pPr>
              <w:pStyle w:val="Compact"/>
            </w:pPr>
            <w:r>
              <w:t>Examiners may ask whether the work is a framework application rather than an original contribution</w:t>
            </w:r>
          </w:p>
        </w:tc>
        <w:tc>
          <w:tcPr>
            <w:tcW w:w="0" w:type="auto"/>
          </w:tcPr>
          <w:p w14:paraId="5F9663BB" w14:textId="77777777" w:rsidR="00485B06" w:rsidRDefault="00000000">
            <w:pPr>
              <w:pStyle w:val="Compact"/>
            </w:pPr>
            <w:r>
              <w:t>The theoretical paper (Paper 1 in the three-paper format) must carry the originality claim; design it to do so from the start</w:t>
            </w:r>
          </w:p>
        </w:tc>
      </w:tr>
    </w:tbl>
    <w:p w14:paraId="7BF793B6" w14:textId="77777777" w:rsidR="00485B06" w:rsidRDefault="00000000">
      <w:pPr>
        <w:pStyle w:val="Heading3"/>
      </w:pPr>
      <w:bookmarkStart w:id="100" w:name="Xaec706427373ee8c3b43dee98e5fea34330829f"/>
      <w:bookmarkStart w:id="101" w:name="_Toc227923379"/>
      <w:bookmarkEnd w:id="98"/>
      <w:r>
        <w:t>C.9 Why This Path Is Worth Considering Seriously</w:t>
      </w:r>
      <w:bookmarkEnd w:id="101"/>
    </w:p>
    <w:p w14:paraId="63EA97AA" w14:textId="77777777" w:rsidR="00485B06" w:rsidRDefault="00000000">
      <w:pPr>
        <w:pStyle w:val="FirstParagraph"/>
      </w:pPr>
      <w:r>
        <w:t>A successful PhD thesis on the RAARICLE™ programme delivers four outcomes simultaneously that no other credibility path delivers at once.</w:t>
      </w:r>
    </w:p>
    <w:p w14:paraId="39C939D6" w14:textId="77777777" w:rsidR="00485B06" w:rsidRDefault="00000000">
      <w:pPr>
        <w:pStyle w:val="Compact"/>
        <w:numPr>
          <w:ilvl w:val="0"/>
          <w:numId w:val="24"/>
        </w:numPr>
      </w:pPr>
      <w:r>
        <w:rPr>
          <w:b/>
          <w:bCs/>
        </w:rPr>
        <w:t>Institutional provenance in one step.</w:t>
      </w:r>
      <w:r>
        <w:t xml:space="preserve"> Thesis submission and doctoral award resolve the provenance objection (Pillar E) conclusively and permanently. A framework whose originator is a PhD governance scholar is never again dismissed as “a blog-authored model.”</w:t>
      </w:r>
    </w:p>
    <w:p w14:paraId="77BCA1DA" w14:textId="77777777" w:rsidR="00485B06" w:rsidRDefault="00000000">
      <w:pPr>
        <w:pStyle w:val="Compact"/>
        <w:numPr>
          <w:ilvl w:val="0"/>
          <w:numId w:val="24"/>
        </w:numPr>
      </w:pPr>
      <w:r>
        <w:rPr>
          <w:b/>
          <w:bCs/>
        </w:rPr>
        <w:t>Peer-reviewed publication is mandatory, not optional.</w:t>
      </w:r>
      <w:r>
        <w:t xml:space="preserve"> The thesis structure forces three publications through review.</w:t>
      </w:r>
    </w:p>
    <w:p w14:paraId="1A9A239B" w14:textId="77777777" w:rsidR="00485B06" w:rsidRDefault="00000000">
      <w:pPr>
        <w:pStyle w:val="Compact"/>
        <w:numPr>
          <w:ilvl w:val="0"/>
          <w:numId w:val="24"/>
        </w:numPr>
      </w:pPr>
      <w:r>
        <w:rPr>
          <w:b/>
          <w:bCs/>
        </w:rPr>
        <w:t>International placement.</w:t>
      </w:r>
      <w:r>
        <w:t xml:space="preserve"> The right programme places the candidate in a global network of governance scholars and multilateral practitioners for the duration of their career.</w:t>
      </w:r>
    </w:p>
    <w:p w14:paraId="2654AB15" w14:textId="77777777" w:rsidR="00485B06" w:rsidRDefault="00000000">
      <w:pPr>
        <w:pStyle w:val="Compact"/>
        <w:numPr>
          <w:ilvl w:val="0"/>
          <w:numId w:val="24"/>
        </w:numPr>
      </w:pPr>
      <w:r>
        <w:rPr>
          <w:b/>
          <w:bCs/>
        </w:rPr>
        <w:t>Credentialing for the stewardship entity.</w:t>
      </w:r>
      <w:r>
        <w:t xml:space="preserve"> Future directors of a RAARICLE™ stewardship entity will be more credible if the framework’s originator holds the doctoral qualification.</w:t>
      </w:r>
    </w:p>
    <w:p w14:paraId="1933F9D5" w14:textId="77777777" w:rsidR="00485B06" w:rsidRDefault="00000000">
      <w:pPr>
        <w:pStyle w:val="FirstParagraph"/>
      </w:pPr>
      <w:r>
        <w:t xml:space="preserve">The cost is substantial — three to five years, displaced income, geographic relocation in some cases. The benefit is that the credibility programme ceases to be an external pursuit </w:t>
      </w:r>
      <w:r>
        <w:lastRenderedPageBreak/>
        <w:t>and becomes a structural feature of the candidate’s professional life. For a framework whose central claim is that institutional design matters more than personal heroics, choosing a structural route to credibility rather than an opportunistic one is an act of consistency with the framework itself.</w:t>
      </w:r>
    </w:p>
    <w:p w14:paraId="7A041281" w14:textId="77777777" w:rsidR="00485B06" w:rsidRDefault="009A4A2B">
      <w:r>
        <w:rPr>
          <w:noProof/>
        </w:rPr>
        <w:pict w14:anchorId="26DD2467">
          <v:rect id="_x0000_i1026" alt="" style="width:451.3pt;height:.05pt;mso-width-percent:0;mso-height-percent:0;mso-width-percent:0;mso-height-percent:0" o:hralign="center" o:hrstd="t" o:hr="t"/>
        </w:pict>
      </w:r>
    </w:p>
    <w:p w14:paraId="0946CC90" w14:textId="77777777" w:rsidR="00485B06" w:rsidRDefault="00000000">
      <w:pPr>
        <w:pStyle w:val="Heading2"/>
      </w:pPr>
      <w:bookmarkStart w:id="102" w:name="closing-note"/>
      <w:bookmarkStart w:id="103" w:name="_Toc227923380"/>
      <w:bookmarkEnd w:id="82"/>
      <w:bookmarkEnd w:id="100"/>
      <w:r>
        <w:t>Closing Note</w:t>
      </w:r>
      <w:bookmarkEnd w:id="103"/>
    </w:p>
    <w:p w14:paraId="7C2260CA" w14:textId="77777777" w:rsidR="00485B06" w:rsidRDefault="00000000">
      <w:pPr>
        <w:pStyle w:val="FirstParagraph"/>
      </w:pPr>
      <w:r>
        <w:t>RAARICLE™ has the characteristic most frameworks lack — a clear theoretical claim with explanatory power. It lacks the institutional infrastructure most frameworks take for granted. The conversion from the first condition to the second is not a matter of marketing; it is a programme of work whose steps are known, sequenced and bounded. The preceding document specifies that programme. Its execution is the difference between a respected framework used by the World Bank and a thoughtful blog cited occasionally in sector reports.</w:t>
      </w:r>
    </w:p>
    <w:p w14:paraId="4DE8133A" w14:textId="77777777" w:rsidR="00485B06" w:rsidRDefault="009A4A2B">
      <w:r>
        <w:rPr>
          <w:noProof/>
        </w:rPr>
        <w:pict w14:anchorId="2893F88A">
          <v:rect id="_x0000_i1025" alt="" style="width:451.3pt;height:.05pt;mso-width-percent:0;mso-height-percent:0;mso-width-percent:0;mso-height-percent:0" o:hralign="center" o:hrstd="t" o:hr="t"/>
        </w:pict>
      </w:r>
    </w:p>
    <w:p w14:paraId="5B367CD9" w14:textId="77777777" w:rsidR="00485B06" w:rsidRDefault="00000000">
      <w:pPr>
        <w:pStyle w:val="Heading2"/>
      </w:pPr>
      <w:bookmarkStart w:id="104" w:name="document-history"/>
      <w:bookmarkStart w:id="105" w:name="_Toc227923381"/>
      <w:bookmarkEnd w:id="102"/>
      <w:r>
        <w:t>Document History</w:t>
      </w:r>
      <w:bookmarkEnd w:id="105"/>
    </w:p>
    <w:tbl>
      <w:tblPr>
        <w:tblStyle w:val="Table"/>
        <w:tblW w:w="5000" w:type="pct"/>
        <w:tblLook w:val="0020" w:firstRow="1" w:lastRow="0" w:firstColumn="0" w:lastColumn="0" w:noHBand="0" w:noVBand="0"/>
      </w:tblPr>
      <w:tblGrid>
        <w:gridCol w:w="1010"/>
        <w:gridCol w:w="1294"/>
        <w:gridCol w:w="1684"/>
        <w:gridCol w:w="5588"/>
      </w:tblGrid>
      <w:tr w:rsidR="00485B06" w14:paraId="2A1AAE0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460766F" w14:textId="77777777" w:rsidR="00485B06" w:rsidRDefault="00000000">
            <w:pPr>
              <w:pStyle w:val="Compact"/>
            </w:pPr>
            <w:r>
              <w:t>Version</w:t>
            </w:r>
          </w:p>
        </w:tc>
        <w:tc>
          <w:tcPr>
            <w:tcW w:w="0" w:type="auto"/>
          </w:tcPr>
          <w:p w14:paraId="13AC65DB" w14:textId="77777777" w:rsidR="00485B06" w:rsidRDefault="00000000">
            <w:pPr>
              <w:pStyle w:val="Compact"/>
            </w:pPr>
            <w:r>
              <w:t>Date</w:t>
            </w:r>
          </w:p>
        </w:tc>
        <w:tc>
          <w:tcPr>
            <w:tcW w:w="0" w:type="auto"/>
          </w:tcPr>
          <w:p w14:paraId="57CC3AC1" w14:textId="77777777" w:rsidR="00485B06" w:rsidRDefault="00000000">
            <w:pPr>
              <w:pStyle w:val="Compact"/>
            </w:pPr>
            <w:r>
              <w:t>Author</w:t>
            </w:r>
          </w:p>
        </w:tc>
        <w:tc>
          <w:tcPr>
            <w:tcW w:w="0" w:type="auto"/>
          </w:tcPr>
          <w:p w14:paraId="50F6E0CB" w14:textId="77777777" w:rsidR="00485B06" w:rsidRDefault="00000000">
            <w:pPr>
              <w:pStyle w:val="Compact"/>
            </w:pPr>
            <w:r>
              <w:t>Changes</w:t>
            </w:r>
          </w:p>
        </w:tc>
      </w:tr>
      <w:tr w:rsidR="00485B06" w14:paraId="00B8F14E" w14:textId="77777777">
        <w:tc>
          <w:tcPr>
            <w:tcW w:w="0" w:type="auto"/>
          </w:tcPr>
          <w:p w14:paraId="5C940E8C" w14:textId="77777777" w:rsidR="00485B06" w:rsidRDefault="00000000">
            <w:pPr>
              <w:pStyle w:val="Compact"/>
            </w:pPr>
            <w:r>
              <w:t>0.1</w:t>
            </w:r>
          </w:p>
        </w:tc>
        <w:tc>
          <w:tcPr>
            <w:tcW w:w="0" w:type="auto"/>
          </w:tcPr>
          <w:p w14:paraId="36FF0B4B" w14:textId="77777777" w:rsidR="00485B06" w:rsidRDefault="00000000">
            <w:pPr>
              <w:pStyle w:val="Compact"/>
            </w:pPr>
            <w:r>
              <w:t>2026-04-23</w:t>
            </w:r>
          </w:p>
        </w:tc>
        <w:tc>
          <w:tcPr>
            <w:tcW w:w="0" w:type="auto"/>
          </w:tcPr>
          <w:p w14:paraId="71610E71" w14:textId="77777777" w:rsidR="00485B06" w:rsidRDefault="00000000">
            <w:pPr>
              <w:pStyle w:val="Compact"/>
            </w:pPr>
            <w:r>
              <w:t>Tshepo Machele</w:t>
            </w:r>
          </w:p>
        </w:tc>
        <w:tc>
          <w:tcPr>
            <w:tcW w:w="0" w:type="auto"/>
          </w:tcPr>
          <w:p w14:paraId="3373E8DB" w14:textId="77777777" w:rsidR="00485B06" w:rsidRDefault="00000000">
            <w:pPr>
              <w:pStyle w:val="Compact"/>
            </w:pPr>
            <w:r>
              <w:t>Initial draft</w:t>
            </w:r>
          </w:p>
        </w:tc>
      </w:tr>
      <w:tr w:rsidR="00485B06" w14:paraId="2D910A33" w14:textId="77777777">
        <w:tc>
          <w:tcPr>
            <w:tcW w:w="0" w:type="auto"/>
          </w:tcPr>
          <w:p w14:paraId="520DE559" w14:textId="77777777" w:rsidR="00485B06" w:rsidRDefault="00000000">
            <w:pPr>
              <w:pStyle w:val="Compact"/>
            </w:pPr>
            <w:r>
              <w:t>0.2</w:t>
            </w:r>
          </w:p>
        </w:tc>
        <w:tc>
          <w:tcPr>
            <w:tcW w:w="0" w:type="auto"/>
          </w:tcPr>
          <w:p w14:paraId="7A246105" w14:textId="77777777" w:rsidR="00485B06" w:rsidRDefault="00000000">
            <w:pPr>
              <w:pStyle w:val="Compact"/>
            </w:pPr>
            <w:r>
              <w:t>2026-04-23</w:t>
            </w:r>
          </w:p>
        </w:tc>
        <w:tc>
          <w:tcPr>
            <w:tcW w:w="0" w:type="auto"/>
          </w:tcPr>
          <w:p w14:paraId="60AAF261" w14:textId="77777777" w:rsidR="00485B06" w:rsidRDefault="00000000">
            <w:pPr>
              <w:pStyle w:val="Compact"/>
            </w:pPr>
            <w:r>
              <w:t>Tshepo Machele</w:t>
            </w:r>
          </w:p>
        </w:tc>
        <w:tc>
          <w:tcPr>
            <w:tcW w:w="0" w:type="auto"/>
          </w:tcPr>
          <w:p w14:paraId="19214CEE" w14:textId="77777777" w:rsidR="00485B06" w:rsidRDefault="00000000">
            <w:pPr>
              <w:pStyle w:val="Compact"/>
            </w:pPr>
            <w:r>
              <w:t>Added Appendix C on Masters/PhD thesis development pathway</w:t>
            </w:r>
          </w:p>
        </w:tc>
      </w:tr>
      <w:bookmarkEnd w:id="0"/>
      <w:bookmarkEnd w:id="104"/>
    </w:tbl>
    <w:p w14:paraId="304101CC" w14:textId="77777777" w:rsidR="009A4A2B" w:rsidRDefault="009A4A2B"/>
    <w:sectPr w:rsidR="009A4A2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4C161" w14:textId="77777777" w:rsidR="009A4A2B" w:rsidRDefault="009A4A2B">
      <w:pPr>
        <w:spacing w:after="0"/>
      </w:pPr>
      <w:r>
        <w:separator/>
      </w:r>
    </w:p>
  </w:endnote>
  <w:endnote w:type="continuationSeparator" w:id="0">
    <w:p w14:paraId="49020D85" w14:textId="77777777" w:rsidR="009A4A2B" w:rsidRDefault="009A4A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6C599" w14:textId="77777777" w:rsidR="009A4A2B" w:rsidRDefault="009A4A2B">
      <w:r>
        <w:separator/>
      </w:r>
    </w:p>
  </w:footnote>
  <w:footnote w:type="continuationSeparator" w:id="0">
    <w:p w14:paraId="502F447D" w14:textId="77777777" w:rsidR="009A4A2B" w:rsidRDefault="009A4A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84A4FAA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AE84914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7DF81C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190291920">
    <w:abstractNumId w:val="1"/>
  </w:num>
  <w:num w:numId="2" w16cid:durableId="2288065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03123585">
    <w:abstractNumId w:val="2"/>
  </w:num>
  <w:num w:numId="4" w16cid:durableId="440804805">
    <w:abstractNumId w:val="2"/>
  </w:num>
  <w:num w:numId="5" w16cid:durableId="2025403825">
    <w:abstractNumId w:val="2"/>
  </w:num>
  <w:num w:numId="6" w16cid:durableId="1068843640">
    <w:abstractNumId w:val="2"/>
  </w:num>
  <w:num w:numId="7" w16cid:durableId="1828280885">
    <w:abstractNumId w:val="2"/>
  </w:num>
  <w:num w:numId="8" w16cid:durableId="1231426992">
    <w:abstractNumId w:val="2"/>
  </w:num>
  <w:num w:numId="9" w16cid:durableId="1470323743">
    <w:abstractNumId w:val="2"/>
  </w:num>
  <w:num w:numId="10" w16cid:durableId="91247326">
    <w:abstractNumId w:val="2"/>
  </w:num>
  <w:num w:numId="11" w16cid:durableId="856847806">
    <w:abstractNumId w:val="2"/>
  </w:num>
  <w:num w:numId="12" w16cid:durableId="775293879">
    <w:abstractNumId w:val="2"/>
  </w:num>
  <w:num w:numId="13" w16cid:durableId="1924216039">
    <w:abstractNumId w:val="2"/>
  </w:num>
  <w:num w:numId="14" w16cid:durableId="873272573">
    <w:abstractNumId w:val="2"/>
  </w:num>
  <w:num w:numId="15" w16cid:durableId="2129426946">
    <w:abstractNumId w:val="2"/>
  </w:num>
  <w:num w:numId="16" w16cid:durableId="1334184426">
    <w:abstractNumId w:val="2"/>
  </w:num>
  <w:num w:numId="17" w16cid:durableId="1830906581">
    <w:abstractNumId w:val="2"/>
  </w:num>
  <w:num w:numId="18" w16cid:durableId="127207257">
    <w:abstractNumId w:val="2"/>
  </w:num>
  <w:num w:numId="19" w16cid:durableId="1531840978">
    <w:abstractNumId w:val="2"/>
  </w:num>
  <w:num w:numId="20" w16cid:durableId="999844125">
    <w:abstractNumId w:val="2"/>
  </w:num>
  <w:num w:numId="21" w16cid:durableId="978339394">
    <w:abstractNumId w:val="2"/>
  </w:num>
  <w:num w:numId="22" w16cid:durableId="1833060448">
    <w:abstractNumId w:val="2"/>
  </w:num>
  <w:num w:numId="23" w16cid:durableId="980185371">
    <w:abstractNumId w:val="2"/>
  </w:num>
  <w:num w:numId="24" w16cid:durableId="2004892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85B06"/>
    <w:rsid w:val="004E29B3"/>
    <w:rsid w:val="005755E1"/>
    <w:rsid w:val="00590D07"/>
    <w:rsid w:val="00651F50"/>
    <w:rsid w:val="00784D58"/>
    <w:rsid w:val="008D6863"/>
    <w:rsid w:val="009A4A2B"/>
    <w:rsid w:val="00B86B75"/>
    <w:rsid w:val="00BC1B04"/>
    <w:rsid w:val="00BC48D5"/>
    <w:rsid w:val="00C359CB"/>
    <w:rsid w:val="00C36279"/>
    <w:rsid w:val="00E23C9C"/>
    <w:rsid w:val="00E315A3"/>
    <w:rsid w:val="00FA6D1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9B4BD"/>
  <w15:docId w15:val="{6A859291-FEEC-564F-B822-68DC251B6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A6D1C"/>
    <w:pPr>
      <w:spacing w:after="100"/>
    </w:pPr>
  </w:style>
  <w:style w:type="paragraph" w:styleId="TOC2">
    <w:name w:val="toc 2"/>
    <w:basedOn w:val="Normal"/>
    <w:next w:val="Normal"/>
    <w:autoRedefine/>
    <w:uiPriority w:val="39"/>
    <w:rsid w:val="00FA6D1C"/>
    <w:pPr>
      <w:spacing w:after="100"/>
      <w:ind w:left="240"/>
    </w:pPr>
  </w:style>
  <w:style w:type="paragraph" w:styleId="TOC3">
    <w:name w:val="toc 3"/>
    <w:basedOn w:val="Normal"/>
    <w:next w:val="Normal"/>
    <w:autoRedefine/>
    <w:uiPriority w:val="39"/>
    <w:rsid w:val="00FA6D1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31</Pages>
  <Words>10240</Words>
  <Characters>64208</Characters>
  <Application>Microsoft Office Word</Application>
  <DocSecurity>0</DocSecurity>
  <Lines>1605</Lines>
  <Paragraphs>759</Paragraphs>
  <ScaleCrop>false</ScaleCrop>
  <Company/>
  <LinksUpToDate>false</LinksUpToDate>
  <CharactersWithSpaces>73689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Tshepo Machele</cp:lastModifiedBy>
  <cp:revision>3</cp:revision>
  <dcterms:created xsi:type="dcterms:W3CDTF">2026-04-23T21:23:00Z</dcterms:created>
  <dcterms:modified xsi:type="dcterms:W3CDTF">2026-04-24T09:41:00Z</dcterms:modified>
</cp:coreProperties>
</file>