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2" w:name="X796a1de2ec535b0c5d16f61cfbacc7ff61c7ea7"/>
    <w:p>
      <w:pPr>
        <w:pStyle w:val="Heading1"/>
      </w:pPr>
      <w:r>
        <w:t xml:space="preserve">Creating Credibility for the RAARICLE™ Framework with Academia and Multilateral Organisations</w:t>
      </w:r>
    </w:p>
    <w:bookmarkStart w:id="20" w:name="Xfd083520d2f1a9c7e74a3a5e00255ea5dbe00cf"/>
    <w:p>
      <w:pPr>
        <w:pStyle w:val="Heading2"/>
      </w:pPr>
      <w:r>
        <w:t xml:space="preserve">A Strategy Paper on Standing, Standards and Cross-Jurisdictional Application</w:t>
      </w:r>
    </w:p>
    <w:p>
      <w:r>
        <w:pict>
          <v:rect style="width:0;height:1.5pt" o:hralign="center" o:hrstd="t" o:hr="t"/>
        </w:pict>
      </w:r>
    </w:p>
    <w:tbl>
      <w:tblPr>
        <w:tblStyle w:val="Table"/>
        <w:tblW w:type="pct" w:w="5000.0"/>
        <w:tblLook w:firstRow="1" w:lastRow="0" w:firstColumn="0" w:lastColumn="0" w:noHBand="0" w:noVBand="0" w:val="0020"/>
      </w:tblPr>
      <w:tblGrid>
        <w:gridCol w:w="3696"/>
        <w:gridCol w:w="4224"/>
      </w:tblGrid>
      <w:tr>
        <w:tc>
          <w:p>
            <w:pPr>
              <w:pStyle w:val="Compact"/>
              <w:jc w:val="left"/>
            </w:pPr>
            <w:r>
              <w:t xml:space="preserve">Field</w:t>
            </w:r>
          </w:p>
        </w:tc>
        <w:tc>
          <w:p>
            <w:pPr>
              <w:pStyle w:val="Compact"/>
              <w:jc w:val="left"/>
            </w:pPr>
            <w:r>
              <w:t xml:space="preserve">Detail</w:t>
            </w:r>
          </w:p>
        </w:tc>
      </w:tr>
      <w:tr>
        <w:tc>
          <w:p>
            <w:pPr>
              <w:pStyle w:val="Compact"/>
              <w:jc w:val="left"/>
            </w:pPr>
            <w:r>
              <w:rPr>
                <w:bCs/>
                <w:b/>
              </w:rPr>
              <w:t xml:space="preserve">Document Owner</w:t>
            </w:r>
          </w:p>
        </w:tc>
        <w:tc>
          <w:p>
            <w:pPr>
              <w:pStyle w:val="Compact"/>
              <w:jc w:val="left"/>
            </w:pPr>
            <w:r>
              <w:t xml:space="preserve">Tshepo Machele</w:t>
            </w:r>
          </w:p>
        </w:tc>
      </w:tr>
      <w:tr>
        <w:tc>
          <w:p>
            <w:pPr>
              <w:pStyle w:val="Compact"/>
              <w:jc w:val="left"/>
            </w:pPr>
            <w:r>
              <w:rPr>
                <w:bCs/>
                <w:b/>
              </w:rPr>
              <w:t xml:space="preserve">Version</w:t>
            </w:r>
          </w:p>
        </w:tc>
        <w:tc>
          <w:p>
            <w:pPr>
              <w:pStyle w:val="Compact"/>
              <w:jc w:val="left"/>
            </w:pPr>
            <w:r>
              <w:t xml:space="preserve">0.1</w:t>
            </w:r>
          </w:p>
        </w:tc>
      </w:tr>
      <w:tr>
        <w:tc>
          <w:p>
            <w:pPr>
              <w:pStyle w:val="Compact"/>
              <w:jc w:val="left"/>
            </w:pPr>
            <w:r>
              <w:rPr>
                <w:bCs/>
                <w:b/>
              </w:rPr>
              <w:t xml:space="preserve">Created Date</w:t>
            </w:r>
          </w:p>
        </w:tc>
        <w:tc>
          <w:p>
            <w:pPr>
              <w:pStyle w:val="Compact"/>
              <w:jc w:val="left"/>
            </w:pPr>
            <w:r>
              <w:t xml:space="preserve">2026-04-23</w:t>
            </w:r>
          </w:p>
        </w:tc>
      </w:tr>
      <w:tr>
        <w:tc>
          <w:p>
            <w:pPr>
              <w:pStyle w:val="Compact"/>
              <w:jc w:val="left"/>
            </w:pPr>
            <w:r>
              <w:rPr>
                <w:bCs/>
                <w:b/>
              </w:rPr>
              <w:t xml:space="preserve">Status</w:t>
            </w:r>
          </w:p>
        </w:tc>
        <w:tc>
          <w:p>
            <w:pPr>
              <w:pStyle w:val="Compact"/>
              <w:jc w:val="left"/>
            </w:pPr>
            <w:r>
              <w:t xml:space="preserve">Draft for internal review</w:t>
            </w:r>
          </w:p>
        </w:tc>
      </w:tr>
      <w:tr>
        <w:tc>
          <w:p>
            <w:pPr>
              <w:pStyle w:val="Compact"/>
              <w:jc w:val="left"/>
            </w:pPr>
            <w:r>
              <w:rPr>
                <w:bCs/>
                <w:b/>
              </w:rPr>
              <w:t xml:space="preserve">Companion Documents</w:t>
            </w:r>
          </w:p>
        </w:tc>
        <w:tc>
          <w:p>
            <w:pPr>
              <w:pStyle w:val="Compact"/>
              <w:jc w:val="left"/>
            </w:pPr>
            <w:r>
              <w:rPr>
                <w:rStyle w:val="VerbatimChar"/>
              </w:rPr>
              <w:t xml:space="preserve">MRD_RAARICLE_Product.md</w:t>
            </w:r>
            <w:r>
              <w:t xml:space="preserve">;</w:t>
            </w:r>
            <w:r>
              <w:t xml:space="preserve"> </w:t>
            </w:r>
            <w:r>
              <w:rPr>
                <w:rStyle w:val="VerbatimChar"/>
              </w:rPr>
              <w:t xml:space="preserve">RAARICLE_ANALYSIS_INSTRUCTIONS.md</w:t>
            </w:r>
          </w:p>
        </w:tc>
      </w:tr>
      <w:tr>
        <w:tc>
          <w:p>
            <w:pPr>
              <w:pStyle w:val="Compact"/>
              <w:jc w:val="left"/>
            </w:pPr>
            <w:r>
              <w:rPr>
                <w:bCs/>
                <w:b/>
              </w:rPr>
              <w:t xml:space="preserve">Purpose</w:t>
            </w:r>
          </w:p>
        </w:tc>
        <w:tc>
          <w:p>
            <w:pPr>
              <w:pStyle w:val="Compact"/>
              <w:jc w:val="left"/>
            </w:pPr>
            <w:r>
              <w:t xml:space="preserve">Define what is required to establish the RAARICLE™ framework as academically respected and practitioner-adopted, specify best-practice diagnostic conduct, and prepare the framework for use beyond South Africa (with United States states as the illustrative test case).</w:t>
            </w:r>
          </w:p>
        </w:tc>
      </w:tr>
    </w:tbl>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r>
        <w:t xml:space="preserve">Executive Summary</w:t>
      </w:r>
    </w:p>
    <w:p>
      <w:pPr>
        <w:numPr>
          <w:ilvl w:val="0"/>
          <w:numId w:val="1001"/>
        </w:numPr>
        <w:pStyle w:val="Compact"/>
      </w:pPr>
      <w:r>
        <w:t xml:space="preserve">Diagnostic of the Current Credibility Gap</w:t>
      </w:r>
    </w:p>
    <w:p>
      <w:pPr>
        <w:numPr>
          <w:ilvl w:val="0"/>
          <w:numId w:val="1001"/>
        </w:numPr>
        <w:pStyle w:val="Compact"/>
      </w:pPr>
      <w:r>
        <w:t xml:space="preserve">Part I — What Must Be in Place (MECE)</w:t>
      </w:r>
      <w:r>
        <w:t xml:space="preserve"> </w:t>
      </w:r>
      <w:r>
        <w:t xml:space="preserve">3.1 Pillar A: Theoretical Foundation</w:t>
      </w:r>
      <w:r>
        <w:t xml:space="preserve"> </w:t>
      </w:r>
      <w:r>
        <w:t xml:space="preserve">3.2 Pillar B: Measurement Infrastructure</w:t>
      </w:r>
      <w:r>
        <w:t xml:space="preserve"> </w:t>
      </w:r>
      <w:r>
        <w:t xml:space="preserve">3.3 Pillar C: Evidence Infrastructure</w:t>
      </w:r>
      <w:r>
        <w:t xml:space="preserve"> </w:t>
      </w:r>
      <w:r>
        <w:t xml:space="preserve">3.4 Pillar D: Validation Architecture</w:t>
      </w:r>
      <w:r>
        <w:t xml:space="preserve"> </w:t>
      </w:r>
      <w:r>
        <w:t xml:space="preserve">3.5 Pillar E: Institutional Provenance and Stewardship</w:t>
      </w:r>
    </w:p>
    <w:p>
      <w:pPr>
        <w:numPr>
          <w:ilvl w:val="0"/>
          <w:numId w:val="1001"/>
        </w:numPr>
        <w:pStyle w:val="Compact"/>
      </w:pPr>
      <w:r>
        <w:t xml:space="preserve">Part II — Best-Practice Conduct of a RAARICLE™ Diagnosis</w:t>
      </w:r>
    </w:p>
    <w:p>
      <w:pPr>
        <w:numPr>
          <w:ilvl w:val="0"/>
          <w:numId w:val="1001"/>
        </w:numPr>
        <w:pStyle w:val="Compact"/>
      </w:pPr>
      <w:r>
        <w:t xml:space="preserve">Part III — Adapting RAARICLE™ Beyond South Africa: the United States States Case</w:t>
      </w:r>
    </w:p>
    <w:p>
      <w:pPr>
        <w:numPr>
          <w:ilvl w:val="0"/>
          <w:numId w:val="1001"/>
        </w:numPr>
        <w:pStyle w:val="Compact"/>
      </w:pPr>
      <w:r>
        <w:t xml:space="preserve">Part IV — Sequenced Roadmap to Credibility (2026–2030)</w:t>
      </w:r>
    </w:p>
    <w:p>
      <w:pPr>
        <w:numPr>
          <w:ilvl w:val="0"/>
          <w:numId w:val="1001"/>
        </w:numPr>
        <w:pStyle w:val="Compact"/>
      </w:pPr>
      <w:r>
        <w:t xml:space="preserve">Appendix A: How Comparator Frameworks Earned Their Standing</w:t>
      </w:r>
    </w:p>
    <w:p>
      <w:pPr>
        <w:numPr>
          <w:ilvl w:val="0"/>
          <w:numId w:val="1001"/>
        </w:numPr>
        <w:pStyle w:val="Compact"/>
      </w:pPr>
      <w:r>
        <w:t xml:space="preserve">Appendix B: Risks to Credibility and How to Pre-empt Them</w:t>
      </w:r>
    </w:p>
    <w:p>
      <w:pPr>
        <w:numPr>
          <w:ilvl w:val="0"/>
          <w:numId w:val="1001"/>
        </w:numPr>
        <w:pStyle w:val="Compact"/>
      </w:pPr>
      <w:r>
        <w:t xml:space="preserve">Appendix C: Developing This Work into a Masters or PhD Thesis in Institutional Design and Governance</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The RAARICLE™ framework has strong intellectual architecture: eight mutually exclusive, collectively exhaustive (MECE) elements; a co-location thesis that distinguishes design from outcomes; five failure patterns that move analysis from blame to structure; and an anti-capture design across five vectors. Its weakness is not conceptual — it is</w:t>
      </w:r>
      <w:r>
        <w:t xml:space="preserve"> </w:t>
      </w:r>
      <w:r>
        <w:rPr>
          <w:bCs/>
          <w:b/>
        </w:rPr>
        <w:t xml:space="preserve">institutional</w:t>
      </w:r>
      <w:r>
        <w:t xml:space="preserve">. The framework currently lives on a blog and in working documents. To be taken seriously by academia (Governance, Public Administration Review, African Affairs, Journal of Development Studies, the World Bank research community, IMF Fiscal Affairs Department, OECD Public Governance Directorate) and by multilateral practitioners (UNDP, World Bank GovTech, AfDB Governance Global Practice, IMF Capacity Development, GIZ, USAID, DFID/FCDO, Commonwealth Secretariat), five things must be true simultaneously.</w:t>
      </w:r>
    </w:p>
    <w:p>
      <w:pPr>
        <w:pStyle w:val="BodyText"/>
      </w:pPr>
      <w:r>
        <w:t xml:space="preserve">First, the</w:t>
      </w:r>
      <w:r>
        <w:t xml:space="preserve"> </w:t>
      </w:r>
      <w:r>
        <w:rPr>
          <w:bCs/>
          <w:b/>
        </w:rPr>
        <w:t xml:space="preserve">theoretical claim must be defended in the open literature</w:t>
      </w:r>
      <w:r>
        <w:t xml:space="preserve"> </w:t>
      </w:r>
      <w:r>
        <w:t xml:space="preserve">— the MECE property and the co-location thesis must be published, contested, and refined in peer-reviewed venues. Second, the</w:t>
      </w:r>
      <w:r>
        <w:t xml:space="preserve"> </w:t>
      </w:r>
      <w:r>
        <w:rPr>
          <w:bCs/>
          <w:b/>
        </w:rPr>
        <w:t xml:space="preserve">measurement infrastructure must be reproducible</w:t>
      </w:r>
      <w:r>
        <w:t xml:space="preserve"> </w:t>
      </w:r>
      <w:r>
        <w:t xml:space="preserve">— an indicator library, a scoring algorithm, a codebook, and an inter-rater reliability protocol must be public and auditable. Third, the</w:t>
      </w:r>
      <w:r>
        <w:t xml:space="preserve"> </w:t>
      </w:r>
      <w:r>
        <w:rPr>
          <w:bCs/>
          <w:b/>
        </w:rPr>
        <w:t xml:space="preserve">evidence infrastructure must be documented</w:t>
      </w:r>
      <w:r>
        <w:t xml:space="preserve"> </w:t>
      </w:r>
      <w:r>
        <w:t xml:space="preserve">— a versioned indicator library, a citation chain for every score, and an open replication dataset are the minimum price of admission. Fourth, the</w:t>
      </w:r>
      <w:r>
        <w:t xml:space="preserve"> </w:t>
      </w:r>
      <w:r>
        <w:rPr>
          <w:bCs/>
          <w:b/>
        </w:rPr>
        <w:t xml:space="preserve">validation architecture must cover four distinct tests</w:t>
      </w:r>
      <w:r>
        <w:t xml:space="preserve"> </w:t>
      </w:r>
      <w:r>
        <w:t xml:space="preserve">— internal coherence, inter-rater reliability, predictive validity, and practitioner utility — with pre-registered protocols and transparent reporting. Fifth, the</w:t>
      </w:r>
      <w:r>
        <w:t xml:space="preserve"> </w:t>
      </w:r>
      <w:r>
        <w:rPr>
          <w:bCs/>
          <w:b/>
        </w:rPr>
        <w:t xml:space="preserve">institutional home must have standing</w:t>
      </w:r>
      <w:r>
        <w:t xml:space="preserve"> </w:t>
      </w:r>
      <w:r>
        <w:t xml:space="preserve">— an academic affiliation, an ethics review process, a governance board, and a clear intellectual property regime. Absent any one of these, the framework will be treated as advocacy, not evidence.</w:t>
      </w:r>
    </w:p>
    <w:p>
      <w:pPr>
        <w:pStyle w:val="BodyText"/>
      </w:pPr>
      <w:r>
        <w:t xml:space="preserve">On conduct: a world-class RAARICLE™ diagnosis follows a ten-phase protocol — commissioning, scoping, institutional mapping, evidence collection, dual-analyst blind scoring, adjudication, root-cause classification, internal quality review, stakeholder validation, and longitudinal tracking — with mandatory conflict-of-interest disclosure and publication of the methods appendix alongside every diagnostic report.</w:t>
      </w:r>
    </w:p>
    <w:p>
      <w:pPr>
        <w:pStyle w:val="BodyText"/>
      </w:pPr>
      <w:r>
        <w:t xml:space="preserve">On international application: the framework’s eight elements are</w:t>
      </w:r>
      <w:r>
        <w:t xml:space="preserve"> </w:t>
      </w:r>
      <w:r>
        <w:rPr>
          <w:bCs/>
          <w:b/>
        </w:rPr>
        <w:t xml:space="preserve">universal design requirements</w:t>
      </w:r>
      <w:r>
        <w:t xml:space="preserve"> </w:t>
      </w:r>
      <w:r>
        <w:t xml:space="preserve">for any public function in any constitutional system; what changes across jurisdictions is the</w:t>
      </w:r>
      <w:r>
        <w:t xml:space="preserve"> </w:t>
      </w:r>
      <w:r>
        <w:rPr>
          <w:bCs/>
          <w:b/>
        </w:rPr>
        <w:t xml:space="preserve">indicator translation layer</w:t>
      </w:r>
      <w:r>
        <w:t xml:space="preserve"> </w:t>
      </w:r>
      <w:r>
        <w:t xml:space="preserve">(the specific legal, fiscal and administrative tests that operationalise each element) and the</w:t>
      </w:r>
      <w:r>
        <w:t xml:space="preserve"> </w:t>
      </w:r>
      <w:r>
        <w:rPr>
          <w:bCs/>
          <w:b/>
        </w:rPr>
        <w:t xml:space="preserve">data infrastructure</w:t>
      </w:r>
      <w:r>
        <w:t xml:space="preserve"> </w:t>
      </w:r>
      <w:r>
        <w:t xml:space="preserve">(which public sources provide the evidence). Applied to United States states — a federal system with Dillon’s Rule, Home Rule charters, independently elected executive officers, and a fifty-state laboratory — RAARICLE™ can diagnose functions like K–12 education, Medicaid administration, water utility regulation, and housing finance without altering its theoretical structure. The translation effort is non-trivial but bounded; it is primarily a codebook exercise, not a reconceptualisation.</w:t>
      </w:r>
    </w:p>
    <w:p>
      <w:pPr>
        <w:pStyle w:val="BodyText"/>
      </w:pPr>
      <w:r>
        <w:t xml:space="preserve">The strategic recommendation is to pursue credibility deliberately rather than opportunistically: publish the methodology paper first, build one validated indicator library (water services), complete one peer-reviewed comparative study (South Africa vs one African and one OECD comparator), and secure one academic co-author from a non-South African institution before marketing RAARICLE™ to multilateral clients.</w:t>
      </w:r>
    </w:p>
    <w:p>
      <w:r>
        <w:pict>
          <v:rect style="width:0;height:1.5pt" o:hralign="center" o:hrstd="t" o:hr="t"/>
        </w:pict>
      </w:r>
    </w:p>
    <w:bookmarkEnd w:id="22"/>
    <w:bookmarkStart w:id="23" w:name="X0494df290c907bc07b77257eaded6721f8ef8ec"/>
    <w:p>
      <w:pPr>
        <w:pStyle w:val="Heading2"/>
      </w:pPr>
      <w:r>
        <w:t xml:space="preserve">2. Diagnostic of the Current Credibility Gap</w:t>
      </w:r>
    </w:p>
    <w:p>
      <w:pPr>
        <w:pStyle w:val="FirstParagraph"/>
      </w:pPr>
      <w:r>
        <w:t xml:space="preserve">RAARICLE™ sits today in a structurally weak position regardless of the strength of its ideas. Four features of that position matter.</w:t>
      </w:r>
    </w:p>
    <w:p>
      <w:pPr>
        <w:pStyle w:val="BodyText"/>
      </w:pPr>
      <w:r>
        <w:rPr>
          <w:bCs/>
          <w:b/>
        </w:rPr>
        <w:t xml:space="preserve">Provenance.</w:t>
      </w:r>
      <w:r>
        <w:t xml:space="preserve"> </w:t>
      </w:r>
      <w:r>
        <w:t xml:space="preserve">The framework was developed through a blog-based analytical series by a single practitioner. There is no institutional co-signer — no university, no think tank, no multilateral — attesting to the methodology. Multilateral procurement and academic review both weight provenance heavily; a framework with no institutional attestation faces an automatic downgrade in trust, irrespective of content quality.</w:t>
      </w:r>
    </w:p>
    <w:p>
      <w:pPr>
        <w:pStyle w:val="BodyText"/>
      </w:pPr>
      <w:r>
        <w:rPr>
          <w:bCs/>
          <w:b/>
        </w:rPr>
        <w:t xml:space="preserve">Peer scrutiny.</w:t>
      </w:r>
      <w:r>
        <w:t xml:space="preserve"> </w:t>
      </w:r>
      <w:r>
        <w:t xml:space="preserve">The framework has not been exposed to hostile review. Strong ideas survive attempts to break them; weak ones do not. Until RAARICLE™ has been published in a venue that applies double-blind peer review and until at least one independent team has attempted to replicate a scoring exercise, the framework’s claims are asserted, not established.</w:t>
      </w:r>
    </w:p>
    <w:p>
      <w:pPr>
        <w:pStyle w:val="BodyText"/>
      </w:pPr>
      <w:r>
        <w:rPr>
          <w:bCs/>
          <w:b/>
        </w:rPr>
        <w:t xml:space="preserve">Measurement surface.</w:t>
      </w:r>
      <w:r>
        <w:t xml:space="preserve"> </w:t>
      </w:r>
      <w:r>
        <w:t xml:space="preserve">The current framework assigns 1–5 ratings through qualitative expert analysis. This is acceptable for illustrative work but fails the tests that multilateral evaluators apply: reproducibility (two analysts, same score), auditability (every score traceable to a public source), and temporal stability (the same data produces the same score when re-scored six months later).</w:t>
      </w:r>
    </w:p>
    <w:p>
      <w:pPr>
        <w:pStyle w:val="BodyText"/>
      </w:pPr>
      <w:r>
        <w:rPr>
          <w:bCs/>
          <w:b/>
        </w:rPr>
        <w:t xml:space="preserve">Cross-jurisdictional reach.</w:t>
      </w:r>
      <w:r>
        <w:t xml:space="preserve"> </w:t>
      </w:r>
      <w:r>
        <w:t xml:space="preserve">All published RAARICLE™ diagnostics apply to South African functions. A framework that has only been applied in one country cannot plausibly claim to be a general theory of institutional design; it is, until proven otherwise, a theory of South African governance pathology. This constrains both academic reach (area-studies journals rather than general governance journals) and practitioner reach (South African practitioners rather than multilateral ones).</w:t>
      </w:r>
    </w:p>
    <w:p>
      <w:pPr>
        <w:pStyle w:val="BodyText"/>
      </w:pPr>
      <w:r>
        <w:t xml:space="preserve">These four features are fixable. The balance of this document specifies what fixing them requires.</w:t>
      </w:r>
    </w:p>
    <w:p>
      <w:r>
        <w:pict>
          <v:rect style="width:0;height:1.5pt" o:hralign="center" o:hrstd="t" o:hr="t"/>
        </w:pict>
      </w:r>
    </w:p>
    <w:bookmarkEnd w:id="23"/>
    <w:bookmarkStart w:id="30" w:name="X7bddf1c96f09afc7f0d40eb37354ae011526661"/>
    <w:p>
      <w:pPr>
        <w:pStyle w:val="Heading2"/>
      </w:pPr>
      <w:r>
        <w:t xml:space="preserve">3. Part I — What Must Be in Place for Academic and Practitioner Standing</w:t>
      </w:r>
    </w:p>
    <w:p>
      <w:pPr>
        <w:pStyle w:val="FirstParagraph"/>
      </w:pPr>
      <w:r>
        <w:t xml:space="preserve">The requirements below are organised into five mutually exclusive and collectively exhaustive pillars. Every item needed for credibility falls into exactly one pillar; nothing required is omitted.</w:t>
      </w:r>
    </w:p>
    <w:bookmarkStart w:id="24" w:name="pillar-a-theoretical-foundation"/>
    <w:p>
      <w:pPr>
        <w:pStyle w:val="Heading3"/>
      </w:pPr>
      <w:r>
        <w:t xml:space="preserve">3.1 Pillar A — Theoretical Foundation</w:t>
      </w:r>
    </w:p>
    <w:p>
      <w:pPr>
        <w:pStyle w:val="FirstParagraph"/>
      </w:pPr>
      <w:r>
        <w:t xml:space="preserve">The credibility of a framework begins with the defensibility of its theoretical claims. For RAARICLE™, three claims must be stated precisely and defended openly.</w:t>
      </w:r>
    </w:p>
    <w:p>
      <w:pPr>
        <w:pStyle w:val="BodyText"/>
      </w:pPr>
      <w:r>
        <w:rPr>
          <w:bCs/>
          <w:b/>
        </w:rPr>
        <w:t xml:space="preserve">A.1 The MECE claim.</w:t>
      </w:r>
      <w:r>
        <w:t xml:space="preserve"> </w:t>
      </w:r>
      <w:r>
        <w:t xml:space="preserve">RAARICLE™ asserts that its eight elements are mutually exclusive (no element overlaps with another) and collectively exhaustive (no governance failure exists that cannot be mapped to one or more elements). This is a strong claim and must be defended formally.</w:t>
      </w:r>
    </w:p>
    <w:p>
      <w:pPr>
        <w:numPr>
          <w:ilvl w:val="0"/>
          <w:numId w:val="1002"/>
        </w:numPr>
        <w:pStyle w:val="Compact"/>
      </w:pPr>
      <w:r>
        <w:t xml:space="preserve">Publish a taxonomy paper that defines each element with necessary and sufficient conditions.</w:t>
      </w:r>
    </w:p>
    <w:p>
      <w:pPr>
        <w:numPr>
          <w:ilvl w:val="0"/>
          <w:numId w:val="1002"/>
        </w:numPr>
        <w:pStyle w:val="Compact"/>
      </w:pPr>
      <w:r>
        <w:t xml:space="preserve">Provide a derivation — why eight and not seven or nine — grounded in the literatures on public administration (Weberian bureaucracy, principal-agent theory), constitutional economics (Ostrom on polycentricity; Buchanan-Tullock on institutional choice), and institutional analysis (North on institutions as rules of the game; Acemoglu-Robinson on inclusive institutions).</w:t>
      </w:r>
    </w:p>
    <w:p>
      <w:pPr>
        <w:numPr>
          <w:ilvl w:val="0"/>
          <w:numId w:val="1002"/>
        </w:numPr>
        <w:pStyle w:val="Compact"/>
      </w:pPr>
      <w:r>
        <w:t xml:space="preserve">Engage and cite competing frameworks explicitly: the World Governance Indicators (Kaufmann-Kraay), V-Dem’s institutional indices, the World Bank’s CPIA, the OECD’s Government at a Glance, the Mo Ibrahim Index, the Bertelsmann Transformation Index, Fukuyama’s state-capacity framing, and Andrews-Pritchett-Woolcock’s Problem-Driven Iterative Adaptation. A reader must be able to identify what RAARICLE™ adds that those frameworks miss.</w:t>
      </w:r>
    </w:p>
    <w:p>
      <w:pPr>
        <w:pStyle w:val="FirstParagraph"/>
      </w:pPr>
      <w:r>
        <w:rPr>
          <w:bCs/>
          <w:b/>
        </w:rPr>
        <w:t xml:space="preserve">A.2 The co-location thesis.</w:t>
      </w:r>
      <w:r>
        <w:t xml:space="preserve"> </w:t>
      </w:r>
      <w:r>
        <w:t xml:space="preserve">The claim that all eight elements must be co-located in a single institutional chain (or coherently aligned across institutions with binding coordination mechanisms) is the framework’s central empirical hypothesis. This must be stated as a falsifiable proposition:</w:t>
      </w:r>
      <w:r>
        <w:t xml:space="preserve"> </w:t>
      </w:r>
      <w:r>
        <w:rPr>
          <w:iCs/>
          <w:i/>
        </w:rPr>
        <w:t xml:space="preserve">all else equal, public functions in which the eight elements are co-located outperform functions in which they are scattered</w:t>
      </w:r>
      <w:r>
        <w:t xml:space="preserve">. Falsifiability turns advocacy into science.</w:t>
      </w:r>
    </w:p>
    <w:p>
      <w:pPr>
        <w:pStyle w:val="BodyText"/>
      </w:pPr>
      <w:r>
        <w:rPr>
          <w:bCs/>
          <w:b/>
        </w:rPr>
        <w:t xml:space="preserve">A.3 The five-pattern typology.</w:t>
      </w:r>
      <w:r>
        <w:t xml:space="preserve"> </w:t>
      </w:r>
      <w:r>
        <w:t xml:space="preserve">Fragmentation, misalignment, absence, conflation and capture are claimed to exhaust the structural failure modes. This requires a derivation showing why these five and not others, worked examples distinguishing them (the boundary between fragmentation and misalignment is not obvious), and a decision tree that an analyst can apply to classify a given diagnosis unambiguously.</w:t>
      </w:r>
    </w:p>
    <w:p>
      <w:pPr>
        <w:pStyle w:val="BodyText"/>
      </w:pPr>
      <w:r>
        <w:rPr>
          <w:bCs/>
          <w:b/>
        </w:rPr>
        <w:t xml:space="preserve">Deliverables for Pillar A</w:t>
      </w:r>
    </w:p>
    <w:p>
      <w:pPr>
        <w:numPr>
          <w:ilvl w:val="0"/>
          <w:numId w:val="1003"/>
        </w:numPr>
        <w:pStyle w:val="Compact"/>
      </w:pPr>
      <w:r>
        <w:t xml:space="preserve">A foundational methodology paper (target:</w:t>
      </w:r>
      <w:r>
        <w:t xml:space="preserve"> </w:t>
      </w:r>
      <w:r>
        <w:rPr>
          <w:iCs/>
          <w:i/>
        </w:rPr>
        <w:t xml:space="preserve">Governance</w:t>
      </w:r>
      <w:r>
        <w:t xml:space="preserve"> </w:t>
      </w:r>
      <w:r>
        <w:t xml:space="preserve">or</w:t>
      </w:r>
      <w:r>
        <w:t xml:space="preserve"> </w:t>
      </w:r>
      <w:r>
        <w:rPr>
          <w:iCs/>
          <w:i/>
        </w:rPr>
        <w:t xml:space="preserve">Public Administration Review</w:t>
      </w:r>
      <w:r>
        <w:t xml:space="preserve">) that states and defends the three claims.</w:t>
      </w:r>
    </w:p>
    <w:p>
      <w:pPr>
        <w:numPr>
          <w:ilvl w:val="0"/>
          <w:numId w:val="1003"/>
        </w:numPr>
        <w:pStyle w:val="Compact"/>
      </w:pPr>
      <w:r>
        <w:t xml:space="preserve">A companion theoretical review positioning RAARICLE™ against eight to ten comparator frameworks.</w:t>
      </w:r>
    </w:p>
    <w:p>
      <w:pPr>
        <w:numPr>
          <w:ilvl w:val="0"/>
          <w:numId w:val="1003"/>
        </w:numPr>
        <w:pStyle w:val="Compact"/>
      </w:pPr>
      <w:r>
        <w:t xml:space="preserve">A formal notation (element = tuple of predicates, co-location = graph property on the institutional chain) that makes the theoretical claims amenable to critique.</w:t>
      </w:r>
    </w:p>
    <w:bookmarkEnd w:id="24"/>
    <w:bookmarkStart w:id="25" w:name="pillar-b-measurement-infrastructure"/>
    <w:p>
      <w:pPr>
        <w:pStyle w:val="Heading3"/>
      </w:pPr>
      <w:r>
        <w:t xml:space="preserve">3.2 Pillar B — Measurement Infrastructure</w:t>
      </w:r>
    </w:p>
    <w:p>
      <w:pPr>
        <w:pStyle w:val="FirstParagraph"/>
      </w:pPr>
      <w:r>
        <w:t xml:space="preserve">Theory without measurement is philosophy. For RAARICLE™ to survive scrutiny, every score must be derivable by rule from observable evidence, not from the analyst’s judgement.</w:t>
      </w:r>
    </w:p>
    <w:p>
      <w:pPr>
        <w:pStyle w:val="BodyText"/>
      </w:pPr>
      <w:r>
        <w:rPr>
          <w:bCs/>
          <w:b/>
        </w:rPr>
        <w:t xml:space="preserve">B.1 Indicator library.</w:t>
      </w:r>
      <w:r>
        <w:t xml:space="preserve"> </w:t>
      </w:r>
      <w:r>
        <w:t xml:space="preserve">Each element must have three to five indicators, each of which is binary (yes/no) or ordinal with defined thresholds, each of which is tied to a public data source, and each of which has been tested for face validity (does it actually measure the element?), content validity (does the set of indicators cover the element?), and discriminant validity (does this indicator measure this element and not a different one?).</w:t>
      </w:r>
    </w:p>
    <w:p>
      <w:pPr>
        <w:pStyle w:val="BodyText"/>
      </w:pPr>
      <w:r>
        <w:rPr>
          <w:bCs/>
          <w:b/>
        </w:rPr>
        <w:t xml:space="preserve">B.2 Scoring algorithm.</w:t>
      </w:r>
      <w:r>
        <w:t xml:space="preserve"> </w:t>
      </w:r>
      <w:r>
        <w:t xml:space="preserve">The mapping from indicators to element scores must be explicit and deterministic. The MVP specification of</w:t>
      </w:r>
      <w:r>
        <w:t xml:space="preserve"> </w:t>
      </w:r>
      <w:r>
        <w:t xml:space="preserve">“</w:t>
      </w:r>
      <w:r>
        <w:t xml:space="preserve">binary indicators sum to points, numeric indicators map to thresholds, element score is normalised to 1–5</w:t>
      </w:r>
      <w:r>
        <w:t xml:space="preserve">”</w:t>
      </w:r>
      <w:r>
        <w:t xml:space="preserve"> </w:t>
      </w:r>
      <w:r>
        <w:t xml:space="preserve">is a starting point. It requires formalisation as an algorithm, implementation as code, and publication as an open-source repository so that any analyst can reproduce scores exactly.</w:t>
      </w:r>
    </w:p>
    <w:p>
      <w:pPr>
        <w:pStyle w:val="BodyText"/>
      </w:pPr>
      <w:r>
        <w:rPr>
          <w:bCs/>
          <w:b/>
        </w:rPr>
        <w:t xml:space="preserve">B.3 Codebook.</w:t>
      </w:r>
      <w:r>
        <w:t xml:space="preserve"> </w:t>
      </w:r>
      <w:r>
        <w:t xml:space="preserve">A codebook specifies, for every indicator: the precise question asked, the evidence required to answer it, the decision rule for ambiguous cases, and worked examples at each threshold. Without a codebook, inter-rater reliability is impossible to achieve because analysts are not actually measuring the same thing.</w:t>
      </w:r>
    </w:p>
    <w:p>
      <w:pPr>
        <w:pStyle w:val="BodyText"/>
      </w:pPr>
      <w:r>
        <w:rPr>
          <w:bCs/>
          <w:b/>
        </w:rPr>
        <w:t xml:space="preserve">B.4 Manual-override protocol.</w:t>
      </w:r>
      <w:r>
        <w:t xml:space="preserve"> </w:t>
      </w:r>
      <w:r>
        <w:t xml:space="preserve">The current framework permits manual overrides with written justification. This is correct but must be disciplined: overrides should be rare (monitored as a rate), adjudicated (reviewed by a second analyst), and reported (every diagnostic should disclose which scores were overridden and why). Unchecked overrides are the path to silent analyst bias.</w:t>
      </w:r>
    </w:p>
    <w:p>
      <w:pPr>
        <w:pStyle w:val="BodyText"/>
      </w:pPr>
      <w:r>
        <w:rPr>
          <w:bCs/>
          <w:b/>
        </w:rPr>
        <w:t xml:space="preserve">B.5 Weighting and interaction model.</w:t>
      </w:r>
      <w:r>
        <w:t xml:space="preserve"> </w:t>
      </w:r>
      <w:r>
        <w:t xml:space="preserve">The MVP uses equal weighting across elements. This is defensible as a starting point but must be explicitly labelled as a</w:t>
      </w:r>
      <w:r>
        <w:t xml:space="preserve"> </w:t>
      </w:r>
      <w:r>
        <w:rPr>
          <w:iCs/>
          <w:i/>
        </w:rPr>
        <w:t xml:space="preserve">non-informative prior</w:t>
      </w:r>
      <w:r>
        <w:t xml:space="preserve"> </w:t>
      </w:r>
      <w:r>
        <w:t xml:space="preserve">and revisited once a dataset large enough for empirical weighting exists (approximately 50 diagnostics with matched outcome data, per the MRD). The eventual model should specify: (i) element weights, (ii) interaction terms (e.g., Authority × Enforcement), and (iii) threshold effects (minimum scores below which no substitution is possible).</w:t>
      </w:r>
    </w:p>
    <w:p>
      <w:pPr>
        <w:pStyle w:val="BodyText"/>
      </w:pPr>
      <w:r>
        <w:rPr>
          <w:bCs/>
          <w:b/>
        </w:rPr>
        <w:t xml:space="preserve">Deliverables for Pillar B</w:t>
      </w:r>
    </w:p>
    <w:p>
      <w:pPr>
        <w:numPr>
          <w:ilvl w:val="0"/>
          <w:numId w:val="1004"/>
        </w:numPr>
        <w:pStyle w:val="Compact"/>
      </w:pPr>
      <w:r>
        <w:t xml:space="preserve">A versioned indicator library, initially for one function (water services), with a published codebook.</w:t>
      </w:r>
    </w:p>
    <w:p>
      <w:pPr>
        <w:numPr>
          <w:ilvl w:val="0"/>
          <w:numId w:val="1004"/>
        </w:numPr>
        <w:pStyle w:val="Compact"/>
      </w:pPr>
      <w:r>
        <w:t xml:space="preserve">An open-source scoring algorithm (Python or R) with unit tests.</w:t>
      </w:r>
    </w:p>
    <w:p>
      <w:pPr>
        <w:numPr>
          <w:ilvl w:val="0"/>
          <w:numId w:val="1004"/>
        </w:numPr>
        <w:pStyle w:val="Compact"/>
      </w:pPr>
      <w:r>
        <w:t xml:space="preserve">A manual-override log template and auditing protocol.</w:t>
      </w:r>
    </w:p>
    <w:p>
      <w:pPr>
        <w:numPr>
          <w:ilvl w:val="0"/>
          <w:numId w:val="1004"/>
        </w:numPr>
        <w:pStyle w:val="Compact"/>
      </w:pPr>
      <w:r>
        <w:t xml:space="preserve">A roadmap for the empirical weighting model, conditional on dataset size.</w:t>
      </w:r>
    </w:p>
    <w:bookmarkEnd w:id="25"/>
    <w:bookmarkStart w:id="26" w:name="pillar-c-evidence-infrastructure"/>
    <w:p>
      <w:pPr>
        <w:pStyle w:val="Heading3"/>
      </w:pPr>
      <w:r>
        <w:t xml:space="preserve">3.3 Pillar C — Evidence Infrastructure</w:t>
      </w:r>
    </w:p>
    <w:p>
      <w:pPr>
        <w:pStyle w:val="FirstParagraph"/>
      </w:pPr>
      <w:r>
        <w:t xml:space="preserve">Measurement requires evidence. Evidence requires infrastructure. For every score, a third party must be able to trace the claim from the published rating back to the primary document.</w:t>
      </w:r>
    </w:p>
    <w:p>
      <w:pPr>
        <w:pStyle w:val="BodyText"/>
      </w:pPr>
      <w:r>
        <w:rPr>
          <w:bCs/>
          <w:b/>
        </w:rPr>
        <w:t xml:space="preserve">C.1 Citation chain standard.</w:t>
      </w:r>
      <w:r>
        <w:t xml:space="preserve"> </w:t>
      </w:r>
      <w:r>
        <w:t xml:space="preserve">Every indicator value in every diagnostic must cite a public document by URL (or permanent archive link), document type, date, page or section reference, and quoted extract where possible. This is a higher evidentiary bar than most consulting reports meet and is the foundation of auditability.</w:t>
      </w:r>
    </w:p>
    <w:p>
      <w:pPr>
        <w:pStyle w:val="BodyText"/>
      </w:pPr>
      <w:r>
        <w:rPr>
          <w:bCs/>
          <w:b/>
        </w:rPr>
        <w:t xml:space="preserve">C.2 Replication dataset.</w:t>
      </w:r>
      <w:r>
        <w:t xml:space="preserve"> </w:t>
      </w:r>
      <w:r>
        <w:t xml:space="preserve">Diagnostics should be published with a companion replication package: the raw indicator values, the scoring algorithm version, the codebook version, the citation chain file, and any analyst notes. This is the norm in empirical economics (AEA data policy, QJE replication standard) and political science (DA-RT principles); RAARICLE™ should adopt the same standard voluntarily from the beginning.</w:t>
      </w:r>
    </w:p>
    <w:p>
      <w:pPr>
        <w:pStyle w:val="BodyText"/>
      </w:pPr>
      <w:r>
        <w:rPr>
          <w:bCs/>
          <w:b/>
        </w:rPr>
        <w:t xml:space="preserve">C.3 Data provenance and versioning.</w:t>
      </w:r>
      <w:r>
        <w:t xml:space="preserve"> </w:t>
      </w:r>
      <w:r>
        <w:t xml:space="preserve">Public data sources change. The Auditor-General reissues reports; municipalities restate financials; national departments amend annual reports. Every diagnostic must record the</w:t>
      </w:r>
      <w:r>
        <w:t xml:space="preserve"> </w:t>
      </w:r>
      <w:r>
        <w:rPr>
          <w:iCs/>
          <w:i/>
        </w:rPr>
        <w:t xml:space="preserve">version</w:t>
      </w:r>
      <w:r>
        <w:t xml:space="preserve"> </w:t>
      </w:r>
      <w:r>
        <w:t xml:space="preserve">of the source document used and date of access. Re-scoring a diagnostic two years later should produce the same result if the source data is held constant, even if the sources themselves have since changed.</w:t>
      </w:r>
    </w:p>
    <w:p>
      <w:pPr>
        <w:pStyle w:val="BodyText"/>
      </w:pPr>
      <w:r>
        <w:rPr>
          <w:bCs/>
          <w:b/>
        </w:rPr>
        <w:t xml:space="preserve">C.4 Open data commitments.</w:t>
      </w:r>
      <w:r>
        <w:t xml:space="preserve"> </w:t>
      </w:r>
      <w:r>
        <w:t xml:space="preserve">Where the framework is applied to public institutions using public data, there is no justification for keeping scores proprietary. The Observatory dashboard (Tier 2 in the MRD product architecture) should publish scores under an open licence (CC BY 4.0 for analysis; ODbL for data). This builds a moat of community adoption rather than a moat of artificial scarcity.</w:t>
      </w:r>
    </w:p>
    <w:p>
      <w:pPr>
        <w:pStyle w:val="BodyText"/>
      </w:pPr>
      <w:r>
        <w:rPr>
          <w:bCs/>
          <w:b/>
        </w:rPr>
        <w:t xml:space="preserve">Deliverables for Pillar C</w:t>
      </w:r>
    </w:p>
    <w:p>
      <w:pPr>
        <w:numPr>
          <w:ilvl w:val="0"/>
          <w:numId w:val="1005"/>
        </w:numPr>
        <w:pStyle w:val="Compact"/>
      </w:pPr>
      <w:r>
        <w:t xml:space="preserve">A citation chain template and validation checker.</w:t>
      </w:r>
    </w:p>
    <w:p>
      <w:pPr>
        <w:numPr>
          <w:ilvl w:val="0"/>
          <w:numId w:val="1005"/>
        </w:numPr>
        <w:pStyle w:val="Compact"/>
      </w:pPr>
      <w:r>
        <w:t xml:space="preserve">A replication package template (folder structure, README, metadata schema).</w:t>
      </w:r>
    </w:p>
    <w:p>
      <w:pPr>
        <w:numPr>
          <w:ilvl w:val="0"/>
          <w:numId w:val="1005"/>
        </w:numPr>
        <w:pStyle w:val="Compact"/>
      </w:pPr>
      <w:r>
        <w:t xml:space="preserve">A public data repository (GitHub or Zenodo) for published diagnostics.</w:t>
      </w:r>
    </w:p>
    <w:p>
      <w:pPr>
        <w:numPr>
          <w:ilvl w:val="0"/>
          <w:numId w:val="1005"/>
        </w:numPr>
        <w:pStyle w:val="Compact"/>
      </w:pPr>
      <w:r>
        <w:t xml:space="preserve">A data licence statement for the Observatory dashboard.</w:t>
      </w:r>
    </w:p>
    <w:bookmarkEnd w:id="26"/>
    <w:bookmarkStart w:id="27" w:name="pillar-d-validation-architecture"/>
    <w:p>
      <w:pPr>
        <w:pStyle w:val="Heading3"/>
      </w:pPr>
      <w:r>
        <w:t xml:space="preserve">3.4 Pillar D — Validation Architecture</w:t>
      </w:r>
    </w:p>
    <w:p>
      <w:pPr>
        <w:pStyle w:val="FirstParagraph"/>
      </w:pPr>
      <w:r>
        <w:t xml:space="preserve">Four distinct validation tests must be passed. These are independent; passing one does not imply passing another.</w:t>
      </w:r>
    </w:p>
    <w:p>
      <w:pPr>
        <w:pStyle w:val="BodyText"/>
      </w:pPr>
      <w:r>
        <w:rPr>
          <w:bCs/>
          <w:b/>
        </w:rPr>
        <w:t xml:space="preserve">D.1 Internal coherence validation.</w:t>
      </w:r>
      <w:r>
        <w:t xml:space="preserve"> </w:t>
      </w:r>
      <w:r>
        <w:t xml:space="preserve">Does the framework’s internal logic hold under adversarial probing? Mechanism: structured expert review by five to seven governance scholars, asking each to attempt to break the MECE claim, the co-location thesis and the five-pattern typology. Document the challenges and either refine the framework or defend the position in print.</w:t>
      </w:r>
    </w:p>
    <w:p>
      <w:pPr>
        <w:pStyle w:val="BodyText"/>
      </w:pPr>
      <w:r>
        <w:rPr>
          <w:bCs/>
          <w:b/>
        </w:rPr>
        <w:t xml:space="preserve">D.2 Inter-rater reliability.</w:t>
      </w:r>
      <w:r>
        <w:t xml:space="preserve"> </w:t>
      </w:r>
      <w:r>
        <w:t xml:space="preserve">Do two independent analysts applying the codebook to the same function produce the same scores? Standard: Cohen’s kappa ≥ 0.7 for element-level scores, or intraclass correlation coefficient (ICC) ≥ 0.75 for the 1–5 ordinal ratings. Protocol: a blind dual-scoring exercise across 10 cases with analyst adjudication of disagreements, fully documented.</w:t>
      </w:r>
    </w:p>
    <w:p>
      <w:pPr>
        <w:pStyle w:val="BodyText"/>
      </w:pPr>
      <w:r>
        <w:rPr>
          <w:bCs/>
          <w:b/>
        </w:rPr>
        <w:t xml:space="preserve">D.3 Predictive validity.</w:t>
      </w:r>
      <w:r>
        <w:t xml:space="preserve"> </w:t>
      </w:r>
      <w:r>
        <w:t xml:space="preserve">Do RAARICLE™ scores at time T predict observable outcomes at time T+1 (audit outcomes, service delivery indicators, fiscal distress flags) better than (a) chance, (b) existing indicators (financial viability ratios), and (c) random scoring? This requires a longitudinal design with pre-registration of the prediction protocol. It is the single most important test for academic credibility: if the framework does not predict, it does not describe reality. The MRD targets 50 municipalities tracked across two audit cycles; this is the right scale.</w:t>
      </w:r>
    </w:p>
    <w:p>
      <w:pPr>
        <w:pStyle w:val="BodyText"/>
      </w:pPr>
      <w:r>
        <w:rPr>
          <w:bCs/>
          <w:b/>
        </w:rPr>
        <w:t xml:space="preserve">D.4 Practitioner utility.</w:t>
      </w:r>
      <w:r>
        <w:t xml:space="preserve"> </w:t>
      </w:r>
      <w:r>
        <w:t xml:space="preserve">Do practitioners who use RAARICLE™ diagnostics make different and better decisions than those who use existing tools? Test via a pilot with matched control: three to five institutions receive RAARICLE™-guided interventions, matched against three to five comparable institutions receiving conventional interventions, with outcomes tracked over 24 months. This is the test multilateral clients will apply.</w:t>
      </w:r>
    </w:p>
    <w:p>
      <w:pPr>
        <w:pStyle w:val="BodyText"/>
      </w:pPr>
      <w:r>
        <w:rPr>
          <w:bCs/>
          <w:b/>
        </w:rPr>
        <w:t xml:space="preserve">D.5 Peer-reviewed publication.</w:t>
      </w:r>
      <w:r>
        <w:t xml:space="preserve"> </w:t>
      </w:r>
      <w:r>
        <w:t xml:space="preserve">The validations above must be reported in peer-reviewed venues, not just as grey literature. Target publications, in sequence: (i) methodology paper (year 1), (ii) inter-rater reliability paper (year 2), (iii) predictive validation paper (year 3–4), (iv) comparative study paper including at least one non-South African jurisdiction (year 3–4). Working papers at SSRN, NBER and the World Bank Policy Research series can bridge the lag between submission and acceptance.</w:t>
      </w:r>
    </w:p>
    <w:p>
      <w:pPr>
        <w:pStyle w:val="BodyText"/>
      </w:pPr>
      <w:r>
        <w:rPr>
          <w:bCs/>
          <w:b/>
        </w:rPr>
        <w:t xml:space="preserve">Deliverables for Pillar D</w:t>
      </w:r>
    </w:p>
    <w:p>
      <w:pPr>
        <w:numPr>
          <w:ilvl w:val="0"/>
          <w:numId w:val="1006"/>
        </w:numPr>
        <w:pStyle w:val="Compact"/>
      </w:pPr>
      <w:r>
        <w:t xml:space="preserve">A pre-registered validation protocol (register on OSF or AEA RCT Registry).</w:t>
      </w:r>
    </w:p>
    <w:p>
      <w:pPr>
        <w:numPr>
          <w:ilvl w:val="0"/>
          <w:numId w:val="1006"/>
        </w:numPr>
        <w:pStyle w:val="Compact"/>
      </w:pPr>
      <w:r>
        <w:t xml:space="preserve">A programme of four peer-reviewed papers with target venues and timelines.</w:t>
      </w:r>
    </w:p>
    <w:p>
      <w:pPr>
        <w:numPr>
          <w:ilvl w:val="0"/>
          <w:numId w:val="1006"/>
        </w:numPr>
        <w:pStyle w:val="Compact"/>
      </w:pPr>
      <w:r>
        <w:t xml:space="preserve">A validation report published with every major version of the indicator library.</w:t>
      </w:r>
    </w:p>
    <w:bookmarkEnd w:id="27"/>
    <w:bookmarkStart w:id="28" w:name="Xeb5b5a9a5feadcf639f2c7493a66d3503d09b97"/>
    <w:p>
      <w:pPr>
        <w:pStyle w:val="Heading3"/>
      </w:pPr>
      <w:r>
        <w:t xml:space="preserve">3.5 Pillar E — Institutional Provenance and Stewardship</w:t>
      </w:r>
    </w:p>
    <w:p>
      <w:pPr>
        <w:pStyle w:val="FirstParagraph"/>
      </w:pPr>
      <w:r>
        <w:t xml:space="preserve">Who vouches for the framework matters as much as what the framework says.</w:t>
      </w:r>
    </w:p>
    <w:p>
      <w:pPr>
        <w:pStyle w:val="BodyText"/>
      </w:pPr>
      <w:r>
        <w:rPr>
          <w:bCs/>
          <w:b/>
        </w:rPr>
        <w:t xml:space="preserve">E.1 Academic affiliation.</w:t>
      </w:r>
      <w:r>
        <w:t xml:space="preserve"> </w:t>
      </w:r>
      <w:r>
        <w:t xml:space="preserve">An academic home — even a soft affiliation with one university’s school of governance or development studies — transforms the provenance of the framework from</w:t>
      </w:r>
      <w:r>
        <w:t xml:space="preserve"> </w:t>
      </w:r>
      <w:r>
        <w:t xml:space="preserve">“</w:t>
      </w:r>
      <w:r>
        <w:t xml:space="preserve">a blog author’s model</w:t>
      </w:r>
      <w:r>
        <w:t xml:space="preserve">”</w:t>
      </w:r>
      <w:r>
        <w:t xml:space="preserve"> </w:t>
      </w:r>
      <w:r>
        <w:t xml:space="preserve">to</w:t>
      </w:r>
      <w:r>
        <w:t xml:space="preserve"> </w:t>
      </w:r>
      <w:r>
        <w:t xml:space="preserve">“</w:t>
      </w:r>
      <w:r>
        <w:t xml:space="preserve">a method developed in collaboration with [University]</w:t>
      </w:r>
      <w:r>
        <w:t xml:space="preserve">”</w:t>
      </w:r>
      <w:r>
        <w:t xml:space="preserve">. Candidate institutions for South Africa: Wits School of Governance, UCT Graduate School of Development Policy and Practice, Stellenbosch School of Public Leadership, and UKZN School of Social Sciences. Candidate international partners: the LSE Department of International Development, Oxford’s Blavatnik School of Government, Harvard’s Kennedy School (particularly Building State Capability), and Princeton’s School of Public and International Affairs.</w:t>
      </w:r>
    </w:p>
    <w:p>
      <w:pPr>
        <w:pStyle w:val="BodyText"/>
      </w:pPr>
      <w:r>
        <w:rPr>
          <w:bCs/>
          <w:b/>
        </w:rPr>
        <w:t xml:space="preserve">E.2 Advisory board.</w:t>
      </w:r>
      <w:r>
        <w:t xml:space="preserve"> </w:t>
      </w:r>
      <w:r>
        <w:t xml:space="preserve">A five-to-seven-person advisory board with international, multi-disciplinary, and non-South African representation. Roles: methodological challenger, practitioner user, multilateral sector expert, constitutional law expert, and statistical reviewer. An advisory board constrains and legitimises; it is a feature, not a bureaucracy.</w:t>
      </w:r>
    </w:p>
    <w:p>
      <w:pPr>
        <w:pStyle w:val="BodyText"/>
      </w:pPr>
      <w:r>
        <w:rPr>
          <w:bCs/>
          <w:b/>
        </w:rPr>
        <w:t xml:space="preserve">E.3 Governance and ethics regime.</w:t>
      </w:r>
      <w:r>
        <w:t xml:space="preserve"> </w:t>
      </w:r>
      <w:r>
        <w:t xml:space="preserve">A governance document covering: intellectual property (the framework itself under a permissive licence; indicator libraries and scoring implementations under open source; commercial diagnostics under a separate engagement terms sheet), conflicts of interest (disclosed by every analyst on every diagnostic), subject-country sensitivity (diagnostics published about an institution should offer that institution a right of reply), and research ethics (any practitioner interview data collected for validation research must pass an ethics review).</w:t>
      </w:r>
    </w:p>
    <w:p>
      <w:pPr>
        <w:pStyle w:val="BodyText"/>
      </w:pPr>
      <w:r>
        <w:rPr>
          <w:bCs/>
          <w:b/>
        </w:rPr>
        <w:t xml:space="preserve">E.4 Funding and independence.</w:t>
      </w:r>
      <w:r>
        <w:t xml:space="preserve"> </w:t>
      </w:r>
      <w:r>
        <w:t xml:space="preserve">Funding structure must not compromise findings. If a development finance institution funds the validation research, findings must be insulated from the funder (pre-registration; publication guarantee; no pre-publication review rights for the funder beyond fact-checking). Multilateral clients will not engage a framework whose findings they perceive to be influenced by its commercial clients.</w:t>
      </w:r>
    </w:p>
    <w:p>
      <w:pPr>
        <w:pStyle w:val="BodyText"/>
      </w:pPr>
      <w:r>
        <w:rPr>
          <w:bCs/>
          <w:b/>
        </w:rPr>
        <w:t xml:space="preserve">E.5 Stewardship entity.</w:t>
      </w:r>
      <w:r>
        <w:t xml:space="preserve"> </w:t>
      </w:r>
      <w:r>
        <w:t xml:space="preserve">Over the medium term (3–5 years) a stewardship entity — a non-profit, a university-hosted initiative, or a consortium — should hold the framework’s intellectual property, maintain the codebook, certify analysts, and publish the Observatory. This protects the framework from the single-point-of-failure risk inherent in individual authorship.</w:t>
      </w:r>
    </w:p>
    <w:p>
      <w:pPr>
        <w:pStyle w:val="BodyText"/>
      </w:pPr>
      <w:r>
        <w:rPr>
          <w:bCs/>
          <w:b/>
        </w:rPr>
        <w:t xml:space="preserve">Deliverables for Pillar E</w:t>
      </w:r>
    </w:p>
    <w:p>
      <w:pPr>
        <w:numPr>
          <w:ilvl w:val="0"/>
          <w:numId w:val="1007"/>
        </w:numPr>
        <w:pStyle w:val="Compact"/>
      </w:pPr>
      <w:r>
        <w:t xml:space="preserve">A memorandum of understanding with at least one academic institution by end of the validation phase.</w:t>
      </w:r>
    </w:p>
    <w:p>
      <w:pPr>
        <w:numPr>
          <w:ilvl w:val="0"/>
          <w:numId w:val="1007"/>
        </w:numPr>
        <w:pStyle w:val="Compact"/>
      </w:pPr>
      <w:r>
        <w:t xml:space="preserve">A constituted advisory board with published membership and terms of reference.</w:t>
      </w:r>
    </w:p>
    <w:p>
      <w:pPr>
        <w:numPr>
          <w:ilvl w:val="0"/>
          <w:numId w:val="1007"/>
        </w:numPr>
        <w:pStyle w:val="Compact"/>
      </w:pPr>
      <w:r>
        <w:t xml:space="preserve">A governance, ethics and IP charter.</w:t>
      </w:r>
    </w:p>
    <w:p>
      <w:pPr>
        <w:numPr>
          <w:ilvl w:val="0"/>
          <w:numId w:val="1007"/>
        </w:numPr>
        <w:pStyle w:val="Compact"/>
      </w:pPr>
      <w:r>
        <w:t xml:space="preserve">A funding policy specifying acceptable and unacceptable funding structures.</w:t>
      </w:r>
    </w:p>
    <w:p>
      <w:pPr>
        <w:numPr>
          <w:ilvl w:val="0"/>
          <w:numId w:val="1007"/>
        </w:numPr>
        <w:pStyle w:val="Compact"/>
      </w:pPr>
      <w:r>
        <w:t xml:space="preserve">A three-year stewardship transition plan.</w:t>
      </w:r>
    </w:p>
    <w:bookmarkEnd w:id="28"/>
    <w:bookmarkStart w:id="29" w:name="Xbc03bd14858f7509ea1dd77f1274ab862027536"/>
    <w:p>
      <w:pPr>
        <w:pStyle w:val="Heading3"/>
      </w:pPr>
      <w:r>
        <w:t xml:space="preserve">3.6 Summary Matrix: Pillars, Deliverables, and Timing</w:t>
      </w:r>
    </w:p>
    <w:tbl>
      <w:tblPr>
        <w:tblStyle w:val="Table"/>
        <w:tblW w:type="pct" w:w="5000.0"/>
        <w:tblLook w:firstRow="1" w:lastRow="0" w:firstColumn="0" w:lastColumn="0" w:noHBand="0" w:noVBand="0" w:val="0020"/>
      </w:tblPr>
      <w:tblGrid>
        <w:gridCol w:w="1073"/>
        <w:gridCol w:w="2818"/>
        <w:gridCol w:w="2953"/>
        <w:gridCol w:w="1073"/>
      </w:tblGrid>
      <w:tr>
        <w:tc>
          <w:p>
            <w:pPr>
              <w:pStyle w:val="Compact"/>
              <w:jc w:val="left"/>
            </w:pPr>
            <w:r>
              <w:t xml:space="preserve">Pillar</w:t>
            </w:r>
          </w:p>
        </w:tc>
        <w:tc>
          <w:p>
            <w:pPr>
              <w:pStyle w:val="Compact"/>
              <w:jc w:val="left"/>
            </w:pPr>
            <w:r>
              <w:t xml:space="preserve">What it establishes</w:t>
            </w:r>
          </w:p>
        </w:tc>
        <w:tc>
          <w:p>
            <w:pPr>
              <w:pStyle w:val="Compact"/>
              <w:jc w:val="left"/>
            </w:pPr>
            <w:r>
              <w:t xml:space="preserve">Minimum deliverables</w:t>
            </w:r>
          </w:p>
        </w:tc>
        <w:tc>
          <w:p>
            <w:pPr>
              <w:pStyle w:val="Compact"/>
              <w:jc w:val="left"/>
            </w:pPr>
            <w:r>
              <w:t xml:space="preserve">Timing</w:t>
            </w:r>
          </w:p>
        </w:tc>
      </w:tr>
      <w:tr>
        <w:tc>
          <w:p>
            <w:pPr>
              <w:pStyle w:val="Compact"/>
              <w:jc w:val="left"/>
            </w:pPr>
            <w:r>
              <w:t xml:space="preserve">A. Theoretical Foundation</w:t>
            </w:r>
          </w:p>
        </w:tc>
        <w:tc>
          <w:p>
            <w:pPr>
              <w:pStyle w:val="Compact"/>
              <w:jc w:val="left"/>
            </w:pPr>
            <w:r>
              <w:t xml:space="preserve">The framework’s claims are defensible and novel</w:t>
            </w:r>
          </w:p>
        </w:tc>
        <w:tc>
          <w:p>
            <w:pPr>
              <w:pStyle w:val="Compact"/>
              <w:jc w:val="left"/>
            </w:pPr>
            <w:r>
              <w:t xml:space="preserve">Methodology paper; theoretical review</w:t>
            </w:r>
          </w:p>
        </w:tc>
        <w:tc>
          <w:p>
            <w:pPr>
              <w:pStyle w:val="Compact"/>
              <w:jc w:val="left"/>
            </w:pPr>
            <w:r>
              <w:t xml:space="preserve">Year 1</w:t>
            </w:r>
          </w:p>
        </w:tc>
      </w:tr>
      <w:tr>
        <w:tc>
          <w:p>
            <w:pPr>
              <w:pStyle w:val="Compact"/>
              <w:jc w:val="left"/>
            </w:pPr>
            <w:r>
              <w:t xml:space="preserve">B. Measurement Infrastructure</w:t>
            </w:r>
          </w:p>
        </w:tc>
        <w:tc>
          <w:p>
            <w:pPr>
              <w:pStyle w:val="Compact"/>
              <w:jc w:val="left"/>
            </w:pPr>
            <w:r>
              <w:t xml:space="preserve">Scores are reproducible</w:t>
            </w:r>
          </w:p>
        </w:tc>
        <w:tc>
          <w:p>
            <w:pPr>
              <w:pStyle w:val="Compact"/>
              <w:jc w:val="left"/>
            </w:pPr>
            <w:r>
              <w:t xml:space="preserve">Indicator library v1; codebook; scoring algorithm</w:t>
            </w:r>
          </w:p>
        </w:tc>
        <w:tc>
          <w:p>
            <w:pPr>
              <w:pStyle w:val="Compact"/>
              <w:jc w:val="left"/>
            </w:pPr>
            <w:r>
              <w:t xml:space="preserve">Year 1</w:t>
            </w:r>
          </w:p>
        </w:tc>
      </w:tr>
      <w:tr>
        <w:tc>
          <w:p>
            <w:pPr>
              <w:pStyle w:val="Compact"/>
              <w:jc w:val="left"/>
            </w:pPr>
            <w:r>
              <w:t xml:space="preserve">C. Evidence Infrastructure</w:t>
            </w:r>
          </w:p>
        </w:tc>
        <w:tc>
          <w:p>
            <w:pPr>
              <w:pStyle w:val="Compact"/>
              <w:jc w:val="left"/>
            </w:pPr>
            <w:r>
              <w:t xml:space="preserve">Scores are auditable</w:t>
            </w:r>
          </w:p>
        </w:tc>
        <w:tc>
          <w:p>
            <w:pPr>
              <w:pStyle w:val="Compact"/>
              <w:jc w:val="left"/>
            </w:pPr>
            <w:r>
              <w:t xml:space="preserve">Citation chain standard; replication package; open data</w:t>
            </w:r>
          </w:p>
        </w:tc>
        <w:tc>
          <w:p>
            <w:pPr>
              <w:pStyle w:val="Compact"/>
              <w:jc w:val="left"/>
            </w:pPr>
            <w:r>
              <w:t xml:space="preserve">Year 1–2</w:t>
            </w:r>
          </w:p>
        </w:tc>
      </w:tr>
      <w:tr>
        <w:tc>
          <w:p>
            <w:pPr>
              <w:pStyle w:val="Compact"/>
              <w:jc w:val="left"/>
            </w:pPr>
            <w:r>
              <w:t xml:space="preserve">D. Validation Architecture</w:t>
            </w:r>
          </w:p>
        </w:tc>
        <w:tc>
          <w:p>
            <w:pPr>
              <w:pStyle w:val="Compact"/>
              <w:jc w:val="left"/>
            </w:pPr>
            <w:r>
              <w:t xml:space="preserve">The framework survives scrutiny</w:t>
            </w:r>
          </w:p>
        </w:tc>
        <w:tc>
          <w:p>
            <w:pPr>
              <w:pStyle w:val="Compact"/>
              <w:jc w:val="left"/>
            </w:pPr>
            <w:r>
              <w:t xml:space="preserve">Four validation studies; pre-registration; peer review</w:t>
            </w:r>
          </w:p>
        </w:tc>
        <w:tc>
          <w:p>
            <w:pPr>
              <w:pStyle w:val="Compact"/>
              <w:jc w:val="left"/>
            </w:pPr>
            <w:r>
              <w:t xml:space="preserve">Year 2–4</w:t>
            </w:r>
          </w:p>
        </w:tc>
      </w:tr>
      <w:tr>
        <w:tc>
          <w:p>
            <w:pPr>
              <w:pStyle w:val="Compact"/>
              <w:jc w:val="left"/>
            </w:pPr>
            <w:r>
              <w:t xml:space="preserve">E. Institutional Provenance</w:t>
            </w:r>
          </w:p>
        </w:tc>
        <w:tc>
          <w:p>
            <w:pPr>
              <w:pStyle w:val="Compact"/>
              <w:jc w:val="left"/>
            </w:pPr>
            <w:r>
              <w:t xml:space="preserve">The framework has a home</w:t>
            </w:r>
          </w:p>
        </w:tc>
        <w:tc>
          <w:p>
            <w:pPr>
              <w:pStyle w:val="Compact"/>
              <w:jc w:val="left"/>
            </w:pPr>
            <w:r>
              <w:t xml:space="preserve">Academic MOU; advisory board; ethics charter; stewardship plan</w:t>
            </w:r>
          </w:p>
        </w:tc>
        <w:tc>
          <w:p>
            <w:pPr>
              <w:pStyle w:val="Compact"/>
              <w:jc w:val="left"/>
            </w:pPr>
            <w:r>
              <w:t xml:space="preserve">Year 1–3</w:t>
            </w:r>
          </w:p>
        </w:tc>
      </w:tr>
    </w:tbl>
    <w:p>
      <w:r>
        <w:pict>
          <v:rect style="width:0;height:1.5pt" o:hralign="center" o:hrstd="t" o:hr="t"/>
        </w:pict>
      </w:r>
    </w:p>
    <w:bookmarkEnd w:id="29"/>
    <w:bookmarkEnd w:id="30"/>
    <w:bookmarkStart w:id="43" w:name="Xb246b5a1829579eb5c2f5f809eaace180ae29b9"/>
    <w:p>
      <w:pPr>
        <w:pStyle w:val="Heading2"/>
      </w:pPr>
      <w:r>
        <w:t xml:space="preserve">4. Part II — Best-Practice Conduct of a RAARICLE™ Diagnosis</w:t>
      </w:r>
    </w:p>
    <w:p>
      <w:pPr>
        <w:pStyle w:val="FirstParagraph"/>
      </w:pPr>
      <w:r>
        <w:t xml:space="preserve">A diagnostic is a research product. It should be conducted with the same discipline applied to any empirical study: scoped, pre-registered where possible, dual-coded, quality-reviewed, and published with its methods appendix.</w:t>
      </w:r>
    </w:p>
    <w:p>
      <w:pPr>
        <w:pStyle w:val="BodyText"/>
      </w:pPr>
      <w:r>
        <w:t xml:space="preserve">The ten-phase protocol below generalises the existing</w:t>
      </w:r>
      <w:r>
        <w:t xml:space="preserve"> </w:t>
      </w:r>
      <w:r>
        <w:rPr>
          <w:rStyle w:val="VerbatimChar"/>
        </w:rPr>
        <w:t xml:space="preserve">RAARICLE_ANALYSIS_INSTRUCTIONS.md</w:t>
      </w:r>
      <w:r>
        <w:t xml:space="preserve"> </w:t>
      </w:r>
      <w:r>
        <w:t xml:space="preserve">workflow and raises it to a standard that will survive hostile review.</w:t>
      </w:r>
    </w:p>
    <w:bookmarkStart w:id="31" w:name="Xa545a42fce31e8651b79f5e103bbd3385b56b80"/>
    <w:p>
      <w:pPr>
        <w:pStyle w:val="Heading3"/>
      </w:pPr>
      <w:r>
        <w:t xml:space="preserve">Phase 0 — Commissioning and Terms of Reference</w:t>
      </w:r>
    </w:p>
    <w:p>
      <w:pPr>
        <w:pStyle w:val="FirstParagraph"/>
      </w:pPr>
      <w:r>
        <w:t xml:space="preserve">Before a single data point is collected, fix in writing: the function to be diagnosed, the jurisdiction, the time window (point-in-time or longitudinal), the funder and any conditions on the funder’s role, the analyst team, conflicts of interest disclosed, the intended publication, and the institution’s right of reply. A diagnostic without a written terms of reference invites disputes later about scope, ownership and findings.</w:t>
      </w:r>
    </w:p>
    <w:bookmarkEnd w:id="31"/>
    <w:bookmarkStart w:id="32" w:name="phase-1-scoping"/>
    <w:p>
      <w:pPr>
        <w:pStyle w:val="Heading3"/>
      </w:pPr>
      <w:r>
        <w:t xml:space="preserve">Phase 1 — Scoping</w:t>
      </w:r>
    </w:p>
    <w:p>
      <w:pPr>
        <w:pStyle w:val="FirstParagraph"/>
      </w:pPr>
      <w:r>
        <w:t xml:space="preserve">Define the boundary of the function. Is</w:t>
      </w:r>
      <w:r>
        <w:t xml:space="preserve"> </w:t>
      </w:r>
      <w:r>
        <w:t xml:space="preserve">“</w:t>
      </w:r>
      <w:r>
        <w:t xml:space="preserve">water services</w:t>
      </w:r>
      <w:r>
        <w:t xml:space="preserve">”</w:t>
      </w:r>
      <w:r>
        <w:t xml:space="preserve"> </w:t>
      </w:r>
      <w:r>
        <w:t xml:space="preserve">the whole value chain (source, treatment, distribution, billing, wastewater) or a slice (potable water only)? Is</w:t>
      </w:r>
      <w:r>
        <w:t xml:space="preserve"> </w:t>
      </w:r>
      <w:r>
        <w:t xml:space="preserve">“</w:t>
      </w:r>
      <w:r>
        <w:t xml:space="preserve">education</w:t>
      </w:r>
      <w:r>
        <w:t xml:space="preserve">”</w:t>
      </w:r>
      <w:r>
        <w:t xml:space="preserve"> </w:t>
      </w:r>
      <w:r>
        <w:t xml:space="preserve">basic education only, or does it include ECD, TVET and higher education? Is the diagnostic a single entity (municipality X’s water service) or a function across entities (water services across all metros in Gauteng)? Ambiguity at this stage compounds throughout the diagnostic.</w:t>
      </w:r>
    </w:p>
    <w:bookmarkEnd w:id="32"/>
    <w:bookmarkStart w:id="33" w:name="phase-2-institutional-mapping"/>
    <w:p>
      <w:pPr>
        <w:pStyle w:val="Heading3"/>
      </w:pPr>
      <w:r>
        <w:t xml:space="preserve">Phase 2 — Institutional Mapping</w:t>
      </w:r>
    </w:p>
    <w:p>
      <w:pPr>
        <w:pStyle w:val="FirstParagraph"/>
      </w:pPr>
      <w:r>
        <w:t xml:space="preserve">Construct the value chain and the institutional chain. Use the Step 3.1 prompt pattern from the existing analysis instructions. Outputs: a diagram showing the flow from policy to citizen; a list of every institution with its legal basis, role, and point of interface with other institutions; a count of handoff points; a flag for every identified conflation (regulator = provider), concurrency (national + provincial), or fragmentation (more than three entities in the chain).</w:t>
      </w:r>
    </w:p>
    <w:p>
      <w:pPr>
        <w:pStyle w:val="BodyText"/>
      </w:pPr>
      <w:r>
        <w:t xml:space="preserve">The mapping must be produced before scoring begins. Analysts who score before they map tend to project the element framework onto an oversimplified institutional picture.</w:t>
      </w:r>
    </w:p>
    <w:bookmarkEnd w:id="33"/>
    <w:bookmarkStart w:id="34" w:name="phase-3-evidence-collection"/>
    <w:p>
      <w:pPr>
        <w:pStyle w:val="Heading3"/>
      </w:pPr>
      <w:r>
        <w:t xml:space="preserve">Phase 3 — Evidence Collection</w:t>
      </w:r>
    </w:p>
    <w:p>
      <w:pPr>
        <w:pStyle w:val="FirstParagraph"/>
      </w:pPr>
      <w:r>
        <w:t xml:space="preserve">For each indicator in the codebook, collect the source documents, note the version and access date, and extract the specific passage that answers the indicator question. This is a librarianship phase, not an analytical one. Accept only primary sources (legislation, audit reports, annual reports, official dashboards, court judgements) or reputable secondary sources (peer-reviewed studies, Parliamentary Monitoring Group records, independent statutory body reports). Exclude opinion pieces, partisan briefings, and undated material.</w:t>
      </w:r>
    </w:p>
    <w:p>
      <w:pPr>
        <w:pStyle w:val="BodyText"/>
      </w:pPr>
      <w:r>
        <w:t xml:space="preserve">At this phase the analyst assembles the citation chain file that will accompany the published diagnostic.</w:t>
      </w:r>
    </w:p>
    <w:bookmarkEnd w:id="34"/>
    <w:bookmarkStart w:id="35" w:name="phase-4-dual-analyst-blind-scoring"/>
    <w:p>
      <w:pPr>
        <w:pStyle w:val="Heading3"/>
      </w:pPr>
      <w:r>
        <w:t xml:space="preserve">Phase 4 — Dual-Analyst Blind Scoring</w:t>
      </w:r>
    </w:p>
    <w:p>
      <w:pPr>
        <w:pStyle w:val="FirstParagraph"/>
      </w:pPr>
      <w:r>
        <w:t xml:space="preserve">Two analysts, working independently and without conversation, each apply the codebook to the collected evidence and produce element scores. This is the single most important step for credibility; without it, inter-rater reliability cannot be claimed.</w:t>
      </w:r>
    </w:p>
    <w:p>
      <w:pPr>
        <w:pStyle w:val="BodyText"/>
      </w:pPr>
      <w:r>
        <w:t xml:space="preserve">Constraints: analysts must not see each other’s scores or notes; analysts must log every indicator value with evidence reference; analysts must log any instance where the codebook was unclear (codebook bugs are a feature of this phase).</w:t>
      </w:r>
    </w:p>
    <w:bookmarkEnd w:id="35"/>
    <w:bookmarkStart w:id="36" w:name="X7b8b07046936cf89d76583335ec58fc3d72c931"/>
    <w:p>
      <w:pPr>
        <w:pStyle w:val="Heading3"/>
      </w:pPr>
      <w:r>
        <w:t xml:space="preserve">Phase 5 — Adjudication and Reliability Measurement</w:t>
      </w:r>
    </w:p>
    <w:p>
      <w:pPr>
        <w:pStyle w:val="FirstParagraph"/>
      </w:pPr>
      <w:r>
        <w:t xml:space="preserve">Compare the two score sets. Compute inter-rater reliability (Cohen’s kappa or ICC). For any element where the two analysts disagree by more than 0.5 on the 1–5 scale, hold a structured adjudication: each analyst presents their rationale, a third analyst (or the methodology lead) decides, and the decision is documented. Codebook ambiguities identified in Phase 4 are referred to the codebook maintainer.</w:t>
      </w:r>
    </w:p>
    <w:p>
      <w:pPr>
        <w:pStyle w:val="BodyText"/>
      </w:pPr>
      <w:r>
        <w:t xml:space="preserve">The final element scores are the adjudicated scores. The inter-rater reliability statistic and the list of adjudications are reported in the methods appendix of the diagnostic.</w:t>
      </w:r>
    </w:p>
    <w:bookmarkEnd w:id="36"/>
    <w:bookmarkStart w:id="37" w:name="phase-6-root-cause-classification"/>
    <w:p>
      <w:pPr>
        <w:pStyle w:val="Heading3"/>
      </w:pPr>
      <w:r>
        <w:t xml:space="preserve">Phase 6 — Root-Cause Classification</w:t>
      </w:r>
    </w:p>
    <w:p>
      <w:pPr>
        <w:pStyle w:val="FirstParagraph"/>
      </w:pPr>
      <w:r>
        <w:t xml:space="preserve">Using the adjudicated scores, apply the five-pattern decision tree (fragmentation, misalignment, absence, conflation, capture) to classify the dominant structural failure mode. Where more than one pattern is present, name each and state their relative priority.</w:t>
      </w:r>
    </w:p>
    <w:p>
      <w:pPr>
        <w:pStyle w:val="BodyText"/>
      </w:pPr>
      <w:r>
        <w:t xml:space="preserve">This phase forces synthesis. An analyst who cannot name the root cause has not completed the diagnosis — they have produced a table.</w:t>
      </w:r>
    </w:p>
    <w:bookmarkEnd w:id="37"/>
    <w:bookmarkStart w:id="38" w:name="phase-7-internal-quality-review"/>
    <w:p>
      <w:pPr>
        <w:pStyle w:val="Heading3"/>
      </w:pPr>
      <w:r>
        <w:t xml:space="preserve">Phase 7 — Internal Quality Review</w:t>
      </w:r>
    </w:p>
    <w:p>
      <w:pPr>
        <w:pStyle w:val="FirstParagraph"/>
      </w:pPr>
      <w:r>
        <w:t xml:space="preserve">Before any finding leaves the analytical team, a reviewer independent of the scoring analysts applies the quality checklist from Section 6 of the analysis instructions, augmented with the following:</w:t>
      </w:r>
    </w:p>
    <w:p>
      <w:pPr>
        <w:numPr>
          <w:ilvl w:val="0"/>
          <w:numId w:val="1008"/>
        </w:numPr>
        <w:pStyle w:val="Compact"/>
      </w:pPr>
      <w:r>
        <w:t xml:space="preserve">Has every score been cited?</w:t>
      </w:r>
    </w:p>
    <w:p>
      <w:pPr>
        <w:numPr>
          <w:ilvl w:val="0"/>
          <w:numId w:val="1008"/>
        </w:numPr>
        <w:pStyle w:val="Compact"/>
      </w:pPr>
      <w:r>
        <w:t xml:space="preserve">Has every citation been verified as accessible?</w:t>
      </w:r>
    </w:p>
    <w:p>
      <w:pPr>
        <w:numPr>
          <w:ilvl w:val="0"/>
          <w:numId w:val="1008"/>
        </w:numPr>
        <w:pStyle w:val="Compact"/>
      </w:pPr>
      <w:r>
        <w:t xml:space="preserve">Has the inter-rater reliability statistic been reported?</w:t>
      </w:r>
    </w:p>
    <w:p>
      <w:pPr>
        <w:numPr>
          <w:ilvl w:val="0"/>
          <w:numId w:val="1008"/>
        </w:numPr>
        <w:pStyle w:val="Compact"/>
      </w:pPr>
      <w:r>
        <w:t xml:space="preserve">Has the manual-override log been inspected?</w:t>
      </w:r>
    </w:p>
    <w:p>
      <w:pPr>
        <w:numPr>
          <w:ilvl w:val="0"/>
          <w:numId w:val="1008"/>
        </w:numPr>
        <w:pStyle w:val="Compact"/>
      </w:pPr>
      <w:r>
        <w:t xml:space="preserve">Has the root-cause classification been checked against the five-pattern decision tree?</w:t>
      </w:r>
    </w:p>
    <w:p>
      <w:pPr>
        <w:numPr>
          <w:ilvl w:val="0"/>
          <w:numId w:val="1008"/>
        </w:numPr>
        <w:pStyle w:val="Compact"/>
      </w:pPr>
      <w:r>
        <w:t xml:space="preserve">Has the constitutional feasibility of the proposed reform been assessed by a person with legal training?</w:t>
      </w:r>
    </w:p>
    <w:p>
      <w:pPr>
        <w:pStyle w:val="FirstParagraph"/>
      </w:pPr>
      <w:r>
        <w:t xml:space="preserve">The review produces either a sign-off or a list of remediation items. No diagnostic is published without review sign-off.</w:t>
      </w:r>
    </w:p>
    <w:bookmarkEnd w:id="38"/>
    <w:bookmarkStart w:id="39" w:name="phase-8-reform-blueprint-design"/>
    <w:p>
      <w:pPr>
        <w:pStyle w:val="Heading3"/>
      </w:pPr>
      <w:r>
        <w:t xml:space="preserve">Phase 8 — Reform Blueprint Design</w:t>
      </w:r>
    </w:p>
    <w:p>
      <w:pPr>
        <w:pStyle w:val="FirstParagraph"/>
      </w:pPr>
      <w:r>
        <w:t xml:space="preserve">Only after the diagnosis is quality-reviewed does the team design the reform blueprint. Phase-separating diagnosis from prescription prevents the common failure mode in which an analyst reaches for a preferred reform and then selects scores that justify it.</w:t>
      </w:r>
    </w:p>
    <w:p>
      <w:pPr>
        <w:pStyle w:val="BodyText"/>
      </w:pPr>
      <w:r>
        <w:t xml:space="preserve">The blueprint applies the Step 3.4 prompt pattern: element-by-element current and proposed state, binding design rules, anti-capture architecture across five vectors, three-phase implementation pathway, constitutional and legislative requirements. Every reform recommendation is checked against all eight elements to confirm co-location — a reform that fixes Authority without fixing Enforcement is not a reform blueprint.</w:t>
      </w:r>
    </w:p>
    <w:bookmarkEnd w:id="39"/>
    <w:bookmarkStart w:id="40" w:name="Xc5067b51cd88fd9db6ed9e0e120ec0a078b61d6"/>
    <w:p>
      <w:pPr>
        <w:pStyle w:val="Heading3"/>
      </w:pPr>
      <w:r>
        <w:t xml:space="preserve">Phase 9 — Stakeholder Validation and Right of Reply</w:t>
      </w:r>
    </w:p>
    <w:p>
      <w:pPr>
        <w:pStyle w:val="FirstParagraph"/>
      </w:pPr>
      <w:r>
        <w:t xml:space="preserve">Before public release, share the draft diagnostic and blueprint with the diagnosed institution. Accept corrections of fact; do not accept pressure to change findings. Publish a summary of the institution’s response and the team’s adjudication. This is the single most effective mechanism for defusing the objection that external analysts have misunderstood the institutional context.</w:t>
      </w:r>
    </w:p>
    <w:p>
      <w:pPr>
        <w:pStyle w:val="BodyText"/>
      </w:pPr>
      <w:r>
        <w:t xml:space="preserve">Where the institution declines to engage, record that fact in the published methods appendix. Non-response is not a veto.</w:t>
      </w:r>
    </w:p>
    <w:bookmarkEnd w:id="40"/>
    <w:bookmarkStart w:id="41" w:name="X066b9f469c4a1c26295e15a0f7f04e9ae800ec8"/>
    <w:p>
      <w:pPr>
        <w:pStyle w:val="Heading3"/>
      </w:pPr>
      <w:r>
        <w:t xml:space="preserve">Phase 10 — Publication and Longitudinal Tracking</w:t>
      </w:r>
    </w:p>
    <w:p>
      <w:pPr>
        <w:pStyle w:val="FirstParagraph"/>
      </w:pPr>
      <w:r>
        <w:t xml:space="preserve">Publish the diagnostic with: executive summary, full diagnostic, reform blueprint, anti-capture architecture, implementation pathway, methods appendix (including the inter-rater reliability statistic, adjudication log, and manual-override log), citation chain file, and replication package link.</w:t>
      </w:r>
    </w:p>
    <w:p>
      <w:pPr>
        <w:pStyle w:val="BodyText"/>
      </w:pPr>
      <w:r>
        <w:t xml:space="preserve">Commit to re-scoring on a fixed cadence (annually, aligned to the audit cycle where applicable) and to publishing the re-scores as a time series. Longitudinal tracking is where the framework begins to accumulate unique evidentiary value that no one-off study can match.</w:t>
      </w:r>
    </w:p>
    <w:bookmarkEnd w:id="41"/>
    <w:bookmarkStart w:id="42" w:name="summary-of-the-ten-phase-protocol"/>
    <w:p>
      <w:pPr>
        <w:pStyle w:val="Heading3"/>
      </w:pPr>
      <w:r>
        <w:t xml:space="preserve">Summary of the Ten-Phase Protocol</w:t>
      </w:r>
    </w:p>
    <w:tbl>
      <w:tblPr>
        <w:tblStyle w:val="Table"/>
        <w:tblW w:type="pct" w:w="5000.0"/>
        <w:tblLook w:firstRow="1" w:lastRow="0" w:firstColumn="0" w:lastColumn="0" w:noHBand="0" w:noVBand="0" w:val="0020"/>
      </w:tblPr>
      <w:tblGrid>
        <w:gridCol w:w="1732"/>
        <w:gridCol w:w="2227"/>
        <w:gridCol w:w="3960"/>
      </w:tblGrid>
      <w:tr>
        <w:tc>
          <w:p>
            <w:pPr>
              <w:pStyle w:val="Compact"/>
              <w:jc w:val="left"/>
            </w:pPr>
            <w:r>
              <w:t xml:space="preserve">Phase</w:t>
            </w:r>
          </w:p>
        </w:tc>
        <w:tc>
          <w:p>
            <w:pPr>
              <w:pStyle w:val="Compact"/>
              <w:jc w:val="left"/>
            </w:pPr>
            <w:r>
              <w:t xml:space="preserve">Purpose</w:t>
            </w:r>
          </w:p>
        </w:tc>
        <w:tc>
          <w:p>
            <w:pPr>
              <w:pStyle w:val="Compact"/>
              <w:jc w:val="left"/>
            </w:pPr>
            <w:r>
              <w:t xml:space="preserve">Primary Output</w:t>
            </w:r>
          </w:p>
        </w:tc>
      </w:tr>
      <w:tr>
        <w:tc>
          <w:p>
            <w:pPr>
              <w:pStyle w:val="Compact"/>
              <w:jc w:val="left"/>
            </w:pPr>
            <w:r>
              <w:t xml:space="preserve">0. Commissioning</w:t>
            </w:r>
          </w:p>
        </w:tc>
        <w:tc>
          <w:p>
            <w:pPr>
              <w:pStyle w:val="Compact"/>
              <w:jc w:val="left"/>
            </w:pPr>
            <w:r>
              <w:t xml:space="preserve">Fix scope, funder, IP, ethics in writing</w:t>
            </w:r>
          </w:p>
        </w:tc>
        <w:tc>
          <w:p>
            <w:pPr>
              <w:pStyle w:val="Compact"/>
              <w:jc w:val="left"/>
            </w:pPr>
            <w:r>
              <w:t xml:space="preserve">Terms of reference</w:t>
            </w:r>
          </w:p>
        </w:tc>
      </w:tr>
      <w:tr>
        <w:tc>
          <w:p>
            <w:pPr>
              <w:pStyle w:val="Compact"/>
              <w:jc w:val="left"/>
            </w:pPr>
            <w:r>
              <w:t xml:space="preserve">1. Scoping</w:t>
            </w:r>
          </w:p>
        </w:tc>
        <w:tc>
          <w:p>
            <w:pPr>
              <w:pStyle w:val="Compact"/>
              <w:jc w:val="left"/>
            </w:pPr>
            <w:r>
              <w:t xml:space="preserve">Define function boundary and time window</w:t>
            </w:r>
          </w:p>
        </w:tc>
        <w:tc>
          <w:p>
            <w:pPr>
              <w:pStyle w:val="Compact"/>
              <w:jc w:val="left"/>
            </w:pPr>
            <w:r>
              <w:t xml:space="preserve">Scope memo</w:t>
            </w:r>
          </w:p>
        </w:tc>
      </w:tr>
      <w:tr>
        <w:tc>
          <w:p>
            <w:pPr>
              <w:pStyle w:val="Compact"/>
              <w:jc w:val="left"/>
            </w:pPr>
            <w:r>
              <w:t xml:space="preserve">2. Institutional mapping</w:t>
            </w:r>
          </w:p>
        </w:tc>
        <w:tc>
          <w:p>
            <w:pPr>
              <w:pStyle w:val="Compact"/>
              <w:jc w:val="left"/>
            </w:pPr>
            <w:r>
              <w:t xml:space="preserve">Build value chain and institutional chain</w:t>
            </w:r>
          </w:p>
        </w:tc>
        <w:tc>
          <w:p>
            <w:pPr>
              <w:pStyle w:val="Compact"/>
              <w:jc w:val="left"/>
            </w:pPr>
            <w:r>
              <w:t xml:space="preserve">Institutional map</w:t>
            </w:r>
          </w:p>
        </w:tc>
      </w:tr>
      <w:tr>
        <w:tc>
          <w:p>
            <w:pPr>
              <w:pStyle w:val="Compact"/>
              <w:jc w:val="left"/>
            </w:pPr>
            <w:r>
              <w:t xml:space="preserve">3. Evidence collection</w:t>
            </w:r>
          </w:p>
        </w:tc>
        <w:tc>
          <w:p>
            <w:pPr>
              <w:pStyle w:val="Compact"/>
              <w:jc w:val="left"/>
            </w:pPr>
            <w:r>
              <w:t xml:space="preserve">Assemble citation chain</w:t>
            </w:r>
          </w:p>
        </w:tc>
        <w:tc>
          <w:p>
            <w:pPr>
              <w:pStyle w:val="Compact"/>
              <w:jc w:val="left"/>
            </w:pPr>
            <w:r>
              <w:t xml:space="preserve">Evidence file</w:t>
            </w:r>
          </w:p>
        </w:tc>
      </w:tr>
      <w:tr>
        <w:tc>
          <w:p>
            <w:pPr>
              <w:pStyle w:val="Compact"/>
              <w:jc w:val="left"/>
            </w:pPr>
            <w:r>
              <w:t xml:space="preserve">4. Dual-analyst blind scoring</w:t>
            </w:r>
          </w:p>
        </w:tc>
        <w:tc>
          <w:p>
            <w:pPr>
              <w:pStyle w:val="Compact"/>
              <w:jc w:val="left"/>
            </w:pPr>
            <w:r>
              <w:t xml:space="preserve">Produce independent score sets</w:t>
            </w:r>
          </w:p>
        </w:tc>
        <w:tc>
          <w:p>
            <w:pPr>
              <w:pStyle w:val="Compact"/>
              <w:jc w:val="left"/>
            </w:pPr>
            <w:r>
              <w:t xml:space="preserve">Two score sheets</w:t>
            </w:r>
          </w:p>
        </w:tc>
      </w:tr>
      <w:tr>
        <w:tc>
          <w:p>
            <w:pPr>
              <w:pStyle w:val="Compact"/>
              <w:jc w:val="left"/>
            </w:pPr>
            <w:r>
              <w:t xml:space="preserve">5. Adjudication and reliability</w:t>
            </w:r>
          </w:p>
        </w:tc>
        <w:tc>
          <w:p>
            <w:pPr>
              <w:pStyle w:val="Compact"/>
              <w:jc w:val="left"/>
            </w:pPr>
            <w:r>
              <w:t xml:space="preserve">Compute IRR, resolve disagreements</w:t>
            </w:r>
          </w:p>
        </w:tc>
        <w:tc>
          <w:p>
            <w:pPr>
              <w:pStyle w:val="Compact"/>
              <w:jc w:val="left"/>
            </w:pPr>
            <w:r>
              <w:t xml:space="preserve">Adjudicated scores; IRR statistic</w:t>
            </w:r>
          </w:p>
        </w:tc>
      </w:tr>
      <w:tr>
        <w:tc>
          <w:p>
            <w:pPr>
              <w:pStyle w:val="Compact"/>
              <w:jc w:val="left"/>
            </w:pPr>
            <w:r>
              <w:t xml:space="preserve">6. Root-cause classification</w:t>
            </w:r>
          </w:p>
        </w:tc>
        <w:tc>
          <w:p>
            <w:pPr>
              <w:pStyle w:val="Compact"/>
              <w:jc w:val="left"/>
            </w:pPr>
            <w:r>
              <w:t xml:space="preserve">Name the failure pattern(s)</w:t>
            </w:r>
          </w:p>
        </w:tc>
        <w:tc>
          <w:p>
            <w:pPr>
              <w:pStyle w:val="Compact"/>
              <w:jc w:val="left"/>
            </w:pPr>
            <w:r>
              <w:t xml:space="preserve">Diagnosis statement</w:t>
            </w:r>
          </w:p>
        </w:tc>
      </w:tr>
      <w:tr>
        <w:tc>
          <w:p>
            <w:pPr>
              <w:pStyle w:val="Compact"/>
              <w:jc w:val="left"/>
            </w:pPr>
            <w:r>
              <w:t xml:space="preserve">7. Internal quality review</w:t>
            </w:r>
          </w:p>
        </w:tc>
        <w:tc>
          <w:p>
            <w:pPr>
              <w:pStyle w:val="Compact"/>
              <w:jc w:val="left"/>
            </w:pPr>
            <w:r>
              <w:t xml:space="preserve">Enforce standards before publication</w:t>
            </w:r>
          </w:p>
        </w:tc>
        <w:tc>
          <w:p>
            <w:pPr>
              <w:pStyle w:val="Compact"/>
              <w:jc w:val="left"/>
            </w:pPr>
            <w:r>
              <w:t xml:space="preserve">Review sign-off</w:t>
            </w:r>
          </w:p>
        </w:tc>
      </w:tr>
      <w:tr>
        <w:tc>
          <w:p>
            <w:pPr>
              <w:pStyle w:val="Compact"/>
              <w:jc w:val="left"/>
            </w:pPr>
            <w:r>
              <w:t xml:space="preserve">8. Reform blueprint</w:t>
            </w:r>
          </w:p>
        </w:tc>
        <w:tc>
          <w:p>
            <w:pPr>
              <w:pStyle w:val="Compact"/>
              <w:jc w:val="left"/>
            </w:pPr>
            <w:r>
              <w:t xml:space="preserve">Design co-located architecture</w:t>
            </w:r>
          </w:p>
        </w:tc>
        <w:tc>
          <w:p>
            <w:pPr>
              <w:pStyle w:val="Compact"/>
              <w:jc w:val="left"/>
            </w:pPr>
            <w:r>
              <w:t xml:space="preserve">Blueprint document</w:t>
            </w:r>
          </w:p>
        </w:tc>
      </w:tr>
      <w:tr>
        <w:tc>
          <w:p>
            <w:pPr>
              <w:pStyle w:val="Compact"/>
              <w:jc w:val="left"/>
            </w:pPr>
            <w:r>
              <w:t xml:space="preserve">9. Stakeholder validation</w:t>
            </w:r>
          </w:p>
        </w:tc>
        <w:tc>
          <w:p>
            <w:pPr>
              <w:pStyle w:val="Compact"/>
              <w:jc w:val="left"/>
            </w:pPr>
            <w:r>
              <w:t xml:space="preserve">Right of reply and factual correction</w:t>
            </w:r>
          </w:p>
        </w:tc>
        <w:tc>
          <w:p>
            <w:pPr>
              <w:pStyle w:val="Compact"/>
              <w:jc w:val="left"/>
            </w:pPr>
            <w:r>
              <w:t xml:space="preserve">Institution response memo</w:t>
            </w:r>
          </w:p>
        </w:tc>
      </w:tr>
      <w:tr>
        <w:tc>
          <w:p>
            <w:pPr>
              <w:pStyle w:val="Compact"/>
              <w:jc w:val="left"/>
            </w:pPr>
            <w:r>
              <w:t xml:space="preserve">10. Publication and tracking</w:t>
            </w:r>
          </w:p>
        </w:tc>
        <w:tc>
          <w:p>
            <w:pPr>
              <w:pStyle w:val="Compact"/>
              <w:jc w:val="left"/>
            </w:pPr>
            <w:r>
              <w:t xml:space="preserve">Release and commit to re-scoring</w:t>
            </w:r>
          </w:p>
        </w:tc>
        <w:tc>
          <w:p>
            <w:pPr>
              <w:pStyle w:val="Compact"/>
              <w:jc w:val="left"/>
            </w:pPr>
            <w:r>
              <w:t xml:space="preserve">Published diagnostic + replication package</w:t>
            </w:r>
          </w:p>
        </w:tc>
      </w:tr>
    </w:tbl>
    <w:p>
      <w:r>
        <w:pict>
          <v:rect style="width:0;height:1.5pt" o:hralign="center" o:hrstd="t" o:hr="t"/>
        </w:pict>
      </w:r>
    </w:p>
    <w:bookmarkEnd w:id="42"/>
    <w:bookmarkEnd w:id="43"/>
    <w:bookmarkStart w:id="51" w:name="X4ce72342442fb5c3a6a08f472450b0f766e5481"/>
    <w:p>
      <w:pPr>
        <w:pStyle w:val="Heading2"/>
      </w:pPr>
      <w:r>
        <w:t xml:space="preserve">5. Part III — Adapting RAARICLE™ Beyond South Africa: the United States States Case</w:t>
      </w:r>
    </w:p>
    <w:p>
      <w:pPr>
        <w:pStyle w:val="FirstParagraph"/>
      </w:pPr>
      <w:r>
        <w:t xml:space="preserve">The framework’s theoretical architecture is jurisdiction-agnostic. The eight elements describe requirements for any public function in any governance system; the five patterns describe universal structural failure modes. What is jurisdiction-specific is the</w:t>
      </w:r>
      <w:r>
        <w:t xml:space="preserve"> </w:t>
      </w:r>
      <w:r>
        <w:rPr>
          <w:bCs/>
          <w:b/>
        </w:rPr>
        <w:t xml:space="preserve">indicator translation layer</w:t>
      </w:r>
      <w:r>
        <w:t xml:space="preserve"> </w:t>
      </w:r>
      <w:r>
        <w:t xml:space="preserve">— the concrete legal, fiscal and administrative tests that operationalise each element in a given constitutional context — and the</w:t>
      </w:r>
      <w:r>
        <w:t xml:space="preserve"> </w:t>
      </w:r>
      <w:r>
        <w:rPr>
          <w:bCs/>
          <w:b/>
        </w:rPr>
        <w:t xml:space="preserve">data infrastructure</w:t>
      </w:r>
      <w:r>
        <w:t xml:space="preserve"> </w:t>
      </w:r>
      <w:r>
        <w:t xml:space="preserve">— which public sources provide the evidence.</w:t>
      </w:r>
    </w:p>
    <w:p>
      <w:pPr>
        <w:pStyle w:val="BodyText"/>
      </w:pPr>
      <w:r>
        <w:t xml:space="preserve">This section demonstrates, using United States states as the test case, that adaptation is a bounded codebook exercise rather than a reconceptualisation. The demonstration matters for academic credibility (framework generality is a claim that academic reviewers test) and for practitioner credibility (multilateral clients buy frameworks that work across their portfolio, not frameworks tied to one country).</w:t>
      </w:r>
    </w:p>
    <w:bookmarkStart w:id="44" w:name="why-us-states-are-a-useful-test-case"/>
    <w:p>
      <w:pPr>
        <w:pStyle w:val="Heading3"/>
      </w:pPr>
      <w:r>
        <w:t xml:space="preserve">5.1 Why US States are a Useful Test Case</w:t>
      </w:r>
    </w:p>
    <w:p>
      <w:pPr>
        <w:pStyle w:val="FirstParagraph"/>
      </w:pPr>
      <w:r>
        <w:t xml:space="preserve">US states are an unusually demanding stress test for RAARICLE™.</w:t>
      </w:r>
    </w:p>
    <w:p>
      <w:pPr>
        <w:numPr>
          <w:ilvl w:val="0"/>
          <w:numId w:val="1009"/>
        </w:numPr>
        <w:pStyle w:val="Compact"/>
      </w:pPr>
      <w:r>
        <w:rPr>
          <w:bCs/>
          <w:b/>
        </w:rPr>
        <w:t xml:space="preserve">Federalism without concurrent competences as in South Africa.</w:t>
      </w:r>
      <w:r>
        <w:t xml:space="preserve"> </w:t>
      </w:r>
      <w:r>
        <w:t xml:space="preserve">The US Constitution’s Tenth Amendment reserves unenumerated powers to the states, producing a different authority structure from South Africa’s Schedule 4 concurrent competences. If RAARICLE™ can diagnose in the US federal system, it can plausibly diagnose in most federal systems.</w:t>
      </w:r>
    </w:p>
    <w:p>
      <w:pPr>
        <w:numPr>
          <w:ilvl w:val="0"/>
          <w:numId w:val="1009"/>
        </w:numPr>
        <w:pStyle w:val="Compact"/>
      </w:pPr>
      <w:r>
        <w:rPr>
          <w:bCs/>
          <w:b/>
        </w:rPr>
        <w:t xml:space="preserve">Dillon’s Rule and Home Rule variation.</w:t>
      </w:r>
      <w:r>
        <w:t xml:space="preserve"> </w:t>
      </w:r>
      <w:r>
        <w:t xml:space="preserve">US municipalities derive their authority from states in one of two regimes: Dillon’s Rule (municipalities have only powers expressly granted by the state) or Home Rule (municipalities have charter-granted authority subject to state limits). This produces within-country variation in Authority that South Africa does not exhibit.</w:t>
      </w:r>
    </w:p>
    <w:p>
      <w:pPr>
        <w:numPr>
          <w:ilvl w:val="0"/>
          <w:numId w:val="1009"/>
        </w:numPr>
        <w:pStyle w:val="Compact"/>
      </w:pPr>
      <w:r>
        <w:rPr>
          <w:bCs/>
          <w:b/>
        </w:rPr>
        <w:t xml:space="preserve">Independently elected executive officers.</w:t>
      </w:r>
      <w:r>
        <w:t xml:space="preserve"> </w:t>
      </w:r>
      <w:r>
        <w:t xml:space="preserve">Many states have independently elected Attorneys General, Secretaries of State, State Treasurers, State Auditors and Public Utility Commissioners. This fragments Accountability along a dimension South Africa’s Westminster-derived system lacks.</w:t>
      </w:r>
    </w:p>
    <w:p>
      <w:pPr>
        <w:numPr>
          <w:ilvl w:val="0"/>
          <w:numId w:val="1009"/>
        </w:numPr>
        <w:pStyle w:val="Compact"/>
      </w:pPr>
      <w:r>
        <w:rPr>
          <w:bCs/>
          <w:b/>
        </w:rPr>
        <w:t xml:space="preserve">Fifty-state laboratory.</w:t>
      </w:r>
      <w:r>
        <w:t xml:space="preserve"> </w:t>
      </w:r>
      <w:r>
        <w:t xml:space="preserve">The N=50 across comparable functions allows statistical power for validation studies that a single country cannot provide. Applied research on US state governance has used this laboratory for fifty years (Elazar on political culture; Gray-Hanson-Peterson on state politics and policy; Volden-Wiseman on legislative effectiveness).</w:t>
      </w:r>
    </w:p>
    <w:p>
      <w:pPr>
        <w:numPr>
          <w:ilvl w:val="0"/>
          <w:numId w:val="1009"/>
        </w:numPr>
        <w:pStyle w:val="Compact"/>
      </w:pPr>
      <w:r>
        <w:rPr>
          <w:bCs/>
          <w:b/>
        </w:rPr>
        <w:t xml:space="preserve">Data maturity.</w:t>
      </w:r>
      <w:r>
        <w:t xml:space="preserve"> </w:t>
      </w:r>
      <w:r>
        <w:t xml:space="preserve">US states publish audited financials (CAFRs / ACFRs), Single Audit reports, performance reports, and Freedom of Information Act records. Data infrastructure is denser than in most African and Asian contexts.</w:t>
      </w:r>
    </w:p>
    <w:bookmarkEnd w:id="44"/>
    <w:bookmarkStart w:id="45" w:name="Xe301781b66d27567e5a5b685af4f44b457c7220"/>
    <w:p>
      <w:pPr>
        <w:pStyle w:val="Heading3"/>
      </w:pPr>
      <w:r>
        <w:t xml:space="preserve">5.2 Indicator Translation: Worked Example for Water Utility Governance</w:t>
      </w:r>
    </w:p>
    <w:p>
      <w:pPr>
        <w:pStyle w:val="FirstParagraph"/>
      </w:pPr>
      <w:r>
        <w:t xml:space="preserve">The South African indicator library for water services (MRD Table in Section 8.1) translates to US state water utility governance as follows. The element questions are unchanged; the indicators are re-specified to the US legal and data context.</w:t>
      </w:r>
    </w:p>
    <w:tbl>
      <w:tblPr>
        <w:tblStyle w:val="Table"/>
        <w:tblW w:type="pct" w:w="5000.0"/>
        <w:tblLook w:firstRow="1" w:lastRow="0" w:firstColumn="0" w:lastColumn="0" w:noHBand="0" w:noVBand="0" w:val="0020"/>
      </w:tblPr>
      <w:tblGrid>
        <w:gridCol w:w="783"/>
        <w:gridCol w:w="3046"/>
        <w:gridCol w:w="2698"/>
        <w:gridCol w:w="1392"/>
      </w:tblGrid>
      <w:tr>
        <w:tc>
          <w:p>
            <w:pPr>
              <w:pStyle w:val="Compact"/>
              <w:jc w:val="left"/>
            </w:pPr>
            <w:r>
              <w:t xml:space="preserve">Element</w:t>
            </w:r>
          </w:p>
        </w:tc>
        <w:tc>
          <w:p>
            <w:pPr>
              <w:pStyle w:val="Compact"/>
              <w:jc w:val="left"/>
            </w:pPr>
            <w:r>
              <w:t xml:space="preserve">South African indicator (example)</w:t>
            </w:r>
          </w:p>
        </w:tc>
        <w:tc>
          <w:p>
            <w:pPr>
              <w:pStyle w:val="Compact"/>
              <w:jc w:val="left"/>
            </w:pPr>
            <w:r>
              <w:t xml:space="preserve">US state equivalent indicator</w:t>
            </w:r>
          </w:p>
        </w:tc>
        <w:tc>
          <w:p>
            <w:pPr>
              <w:pStyle w:val="Compact"/>
              <w:jc w:val="left"/>
            </w:pPr>
            <w:r>
              <w:t xml:space="preserve">US data source</w:t>
            </w:r>
          </w:p>
        </w:tc>
      </w:tr>
      <w:tr>
        <w:tc>
          <w:p>
            <w:pPr>
              <w:pStyle w:val="Compact"/>
              <w:jc w:val="left"/>
            </w:pPr>
            <w:r>
              <w:rPr>
                <w:bCs/>
                <w:b/>
              </w:rPr>
              <w:t xml:space="preserve">Responsibility</w:t>
            </w:r>
          </w:p>
        </w:tc>
        <w:tc>
          <w:p>
            <w:pPr>
              <w:pStyle w:val="Compact"/>
              <w:jc w:val="left"/>
            </w:pPr>
            <w:r>
              <w:t xml:space="preserve">Is the Water Services Authority function held by the same entity as the Water Services Provider?</w:t>
            </w:r>
          </w:p>
        </w:tc>
        <w:tc>
          <w:p>
            <w:pPr>
              <w:pStyle w:val="Compact"/>
              <w:jc w:val="left"/>
            </w:pPr>
            <w:r>
              <w:t xml:space="preserve">Is the water utility regulator separated from the utility operator (investor-owned vs. municipally owned vs. special district; state PUC oversight vs. municipal self-oversight)?</w:t>
            </w:r>
          </w:p>
        </w:tc>
        <w:tc>
          <w:p>
            <w:pPr>
              <w:pStyle w:val="Compact"/>
              <w:jc w:val="left"/>
            </w:pPr>
            <w:r>
              <w:t xml:space="preserve">State Public Utility Commission filings; EPA SDWIS database; American Water Works Association utility surveys</w:t>
            </w:r>
          </w:p>
        </w:tc>
      </w:tr>
      <w:tr>
        <w:tc>
          <w:p>
            <w:pPr>
              <w:pStyle w:val="Compact"/>
              <w:jc w:val="left"/>
            </w:pPr>
            <w:r>
              <w:rPr>
                <w:bCs/>
                <w:b/>
              </w:rPr>
              <w:t xml:space="preserve">Accountability</w:t>
            </w:r>
          </w:p>
        </w:tc>
        <w:tc>
          <w:p>
            <w:pPr>
              <w:pStyle w:val="Compact"/>
              <w:jc w:val="left"/>
            </w:pPr>
            <w:r>
              <w:t xml:space="preserve">Is there one named individual accountable for water service outcomes in a Section 57 performance contract?</w:t>
            </w:r>
          </w:p>
        </w:tc>
        <w:tc>
          <w:p>
            <w:pPr>
              <w:pStyle w:val="Compact"/>
              <w:jc w:val="left"/>
            </w:pPr>
            <w:r>
              <w:t xml:space="preserve">Is there a named accountable officer (utility CEO, city water director) with a performance contract filed with the regulator, and are performance metrics published?</w:t>
            </w:r>
          </w:p>
        </w:tc>
        <w:tc>
          <w:p>
            <w:pPr>
              <w:pStyle w:val="Compact"/>
              <w:jc w:val="left"/>
            </w:pPr>
            <w:r>
              <w:t xml:space="preserve">Utility annual reports; state comptroller filings; Form M-1 filings for investor-owned utilities</w:t>
            </w:r>
          </w:p>
        </w:tc>
      </w:tr>
      <w:tr>
        <w:tc>
          <w:p>
            <w:pPr>
              <w:pStyle w:val="Compact"/>
              <w:jc w:val="left"/>
            </w:pPr>
            <w:r>
              <w:rPr>
                <w:bCs/>
                <w:b/>
              </w:rPr>
              <w:t xml:space="preserve">Authority</w:t>
            </w:r>
          </w:p>
        </w:tc>
        <w:tc>
          <w:p>
            <w:pPr>
              <w:pStyle w:val="Compact"/>
              <w:jc w:val="left"/>
            </w:pPr>
            <w:r>
              <w:t xml:space="preserve">Can the entity execute a water infrastructure decision within 30 days using only its own powers?</w:t>
            </w:r>
          </w:p>
        </w:tc>
        <w:tc>
          <w:p>
            <w:pPr>
              <w:pStyle w:val="Compact"/>
              <w:jc w:val="left"/>
            </w:pPr>
            <w:r>
              <w:t xml:space="preserve">Can the utility issue revenue bonds, set rates, and execute capital projects without requiring state legislative approval or voter referendum for routine actions? Does it have Home Rule authority on water?</w:t>
            </w:r>
          </w:p>
        </w:tc>
        <w:tc>
          <w:p>
            <w:pPr>
              <w:pStyle w:val="Compact"/>
              <w:jc w:val="left"/>
            </w:pPr>
            <w:r>
              <w:t xml:space="preserve">State Constitution; municipal charter; state bond authorisation statutes; state PUC rate-case records</w:t>
            </w:r>
          </w:p>
        </w:tc>
      </w:tr>
      <w:tr>
        <w:tc>
          <w:p>
            <w:pPr>
              <w:pStyle w:val="Compact"/>
              <w:jc w:val="left"/>
            </w:pPr>
            <w:r>
              <w:rPr>
                <w:bCs/>
                <w:b/>
              </w:rPr>
              <w:t xml:space="preserve">Resources</w:t>
            </w:r>
          </w:p>
        </w:tc>
        <w:tc>
          <w:p>
            <w:pPr>
              <w:pStyle w:val="Compact"/>
              <w:jc w:val="left"/>
            </w:pPr>
            <w:r>
              <w:t xml:space="preserve">Is water services revenue ring-fenced from general municipal revenue?</w:t>
            </w:r>
          </w:p>
        </w:tc>
        <w:tc>
          <w:p>
            <w:pPr>
              <w:pStyle w:val="Compact"/>
              <w:jc w:val="left"/>
            </w:pPr>
            <w:r>
              <w:t xml:space="preserve">Is the water enterprise fund legally ring-fenced (enterprise fund accounting required by GASB 34)? Can general-fund transfers occur, and are they disclosed?</w:t>
            </w:r>
          </w:p>
        </w:tc>
        <w:tc>
          <w:p>
            <w:pPr>
              <w:pStyle w:val="Compact"/>
              <w:jc w:val="left"/>
            </w:pPr>
            <w:r>
              <w:t xml:space="preserve">Annual Comprehensive Financial Report (ACFR); GASB 34 enterprise fund statements; bond covenants</w:t>
            </w:r>
          </w:p>
        </w:tc>
      </w:tr>
      <w:tr>
        <w:tc>
          <w:p>
            <w:pPr>
              <w:pStyle w:val="Compact"/>
              <w:jc w:val="left"/>
            </w:pPr>
            <w:r>
              <w:rPr>
                <w:bCs/>
                <w:b/>
              </w:rPr>
              <w:t xml:space="preserve">Information</w:t>
            </w:r>
          </w:p>
        </w:tc>
        <w:tc>
          <w:p>
            <w:pPr>
              <w:pStyle w:val="Compact"/>
              <w:jc w:val="left"/>
            </w:pPr>
            <w:r>
              <w:t xml:space="preserve">Does the entity have real-time monitoring of water quality at treatment works?</w:t>
            </w:r>
          </w:p>
        </w:tc>
        <w:tc>
          <w:p>
            <w:pPr>
              <w:pStyle w:val="Compact"/>
              <w:jc w:val="left"/>
            </w:pPr>
            <w:r>
              <w:t xml:space="preserve">Does the utility report to EPA’s Safe Drinking Water Information System (SDWIS) in real time? Is lead-and-copper monitoring data published under the Lead and Copper Rule? Are Consumer Confidence Reports compliant?</w:t>
            </w:r>
          </w:p>
        </w:tc>
        <w:tc>
          <w:p>
            <w:pPr>
              <w:pStyle w:val="Compact"/>
              <w:jc w:val="left"/>
            </w:pPr>
            <w:r>
              <w:t xml:space="preserve">EPA SDWIS; state primacy agency records; utility CCRs</w:t>
            </w:r>
          </w:p>
        </w:tc>
      </w:tr>
      <w:tr>
        <w:tc>
          <w:p>
            <w:pPr>
              <w:pStyle w:val="Compact"/>
              <w:jc w:val="left"/>
            </w:pPr>
            <w:r>
              <w:rPr>
                <w:bCs/>
                <w:b/>
              </w:rPr>
              <w:t xml:space="preserve">Capability</w:t>
            </w:r>
          </w:p>
        </w:tc>
        <w:tc>
          <w:p>
            <w:pPr>
              <w:pStyle w:val="Compact"/>
              <w:jc w:val="left"/>
            </w:pPr>
            <w:r>
              <w:t xml:space="preserve">Does the WSA have a qualified civil/water engineer on staff?</w:t>
            </w:r>
          </w:p>
        </w:tc>
        <w:tc>
          <w:p>
            <w:pPr>
              <w:pStyle w:val="Compact"/>
              <w:jc w:val="left"/>
            </w:pPr>
            <w:r>
              <w:t xml:space="preserve">Does the utility employ state-licensed operators at the required classification for plant size (state operator certification programmes under the Safe Drinking Water Act)? Are certified operator vacancies reported?</w:t>
            </w:r>
          </w:p>
        </w:tc>
        <w:tc>
          <w:p>
            <w:pPr>
              <w:pStyle w:val="Compact"/>
              <w:jc w:val="left"/>
            </w:pPr>
            <w:r>
              <w:t xml:space="preserve">State operator certification database; utility operator certificate filings</w:t>
            </w:r>
          </w:p>
        </w:tc>
      </w:tr>
      <w:tr>
        <w:tc>
          <w:p>
            <w:pPr>
              <w:pStyle w:val="Compact"/>
              <w:jc w:val="left"/>
            </w:pPr>
            <w:r>
              <w:rPr>
                <w:bCs/>
                <w:b/>
              </w:rPr>
              <w:t xml:space="preserve">Legitimacy</w:t>
            </w:r>
          </w:p>
        </w:tc>
        <w:tc>
          <w:p>
            <w:pPr>
              <w:pStyle w:val="Compact"/>
              <w:jc w:val="left"/>
            </w:pPr>
            <w:r>
              <w:t xml:space="preserve">Has the entity’s WSA status been formally gazetted?</w:t>
            </w:r>
          </w:p>
        </w:tc>
        <w:tc>
          <w:p>
            <w:pPr>
              <w:pStyle w:val="Compact"/>
              <w:jc w:val="left"/>
            </w:pPr>
            <w:r>
              <w:t xml:space="preserve">Does the utility have a valid Certificate of Convenience and Necessity (CCN) or its state equivalent? Is the service territory formally defined and recognised?</w:t>
            </w:r>
          </w:p>
        </w:tc>
        <w:tc>
          <w:p>
            <w:pPr>
              <w:pStyle w:val="Compact"/>
              <w:jc w:val="left"/>
            </w:pPr>
            <w:r>
              <w:t xml:space="preserve">State PUC; state water resources agency</w:t>
            </w:r>
          </w:p>
        </w:tc>
      </w:tr>
      <w:tr>
        <w:tc>
          <w:p>
            <w:pPr>
              <w:pStyle w:val="Compact"/>
              <w:jc w:val="left"/>
            </w:pPr>
            <w:r>
              <w:rPr>
                <w:bCs/>
                <w:b/>
              </w:rPr>
              <w:t xml:space="preserve">Enforcement</w:t>
            </w:r>
          </w:p>
        </w:tc>
        <w:tc>
          <w:p>
            <w:pPr>
              <w:pStyle w:val="Compact"/>
              <w:jc w:val="left"/>
            </w:pPr>
            <w:r>
              <w:t xml:space="preserve">Are there automatic, pre-defined consequences for Blue Drop non-compliance?</w:t>
            </w:r>
          </w:p>
        </w:tc>
        <w:tc>
          <w:p>
            <w:pPr>
              <w:pStyle w:val="Compact"/>
              <w:jc w:val="left"/>
            </w:pPr>
            <w:r>
              <w:t xml:space="preserve">Do Safe Drinking Water Act violations produce automatic administrative penalties (EPA or state primacy agency enforcement)? Are consent decrees or administrative orders issued on a pre-defined schedule for repeat violators?</w:t>
            </w:r>
          </w:p>
        </w:tc>
        <w:tc>
          <w:p>
            <w:pPr>
              <w:pStyle w:val="Compact"/>
              <w:jc w:val="left"/>
            </w:pPr>
            <w:r>
              <w:t xml:space="preserve">EPA ECHO enforcement database; state primacy agency enforcement records</w:t>
            </w:r>
          </w:p>
        </w:tc>
      </w:tr>
    </w:tbl>
    <w:p>
      <w:pPr>
        <w:pStyle w:val="BodyText"/>
      </w:pPr>
      <w:r>
        <w:t xml:space="preserve">The structure of the table — element, question, indicator, data source — is identical to the South African version. The</w:t>
      </w:r>
      <w:r>
        <w:t xml:space="preserve"> </w:t>
      </w:r>
      <w:r>
        <w:rPr>
          <w:iCs/>
          <w:i/>
        </w:rPr>
        <w:t xml:space="preserve">content</w:t>
      </w:r>
      <w:r>
        <w:t xml:space="preserve"> </w:t>
      </w:r>
      <w:r>
        <w:t xml:space="preserve">is different in ways that reflect real institutional variation, not framework modification.</w:t>
      </w:r>
    </w:p>
    <w:bookmarkEnd w:id="45"/>
    <w:bookmarkStart w:id="46" w:name="data-source-substitution-map"/>
    <w:p>
      <w:pPr>
        <w:pStyle w:val="Heading3"/>
      </w:pPr>
      <w:r>
        <w:t xml:space="preserve">5.3 Data Source Substitution Map</w:t>
      </w:r>
    </w:p>
    <w:p>
      <w:pPr>
        <w:pStyle w:val="FirstParagraph"/>
      </w:pPr>
      <w:r>
        <w:t xml:space="preserve">The broader data-source substitution follows a consistent pattern. South African sources map to US equivalents at similar points in the value chain.</w:t>
      </w:r>
    </w:p>
    <w:tbl>
      <w:tblPr>
        <w:tblStyle w:val="Table"/>
        <w:tblW w:type="pct" w:w="5000.0"/>
        <w:tblLook w:firstRow="1" w:lastRow="0" w:firstColumn="0" w:lastColumn="0" w:noHBand="0" w:noVBand="0" w:val="0020"/>
      </w:tblPr>
      <w:tblGrid>
        <w:gridCol w:w="3484"/>
        <w:gridCol w:w="4435"/>
      </w:tblGrid>
      <w:tr>
        <w:tc>
          <w:p>
            <w:pPr>
              <w:pStyle w:val="Compact"/>
              <w:jc w:val="left"/>
            </w:pPr>
            <w:r>
              <w:t xml:space="preserve">South African source</w:t>
            </w:r>
          </w:p>
        </w:tc>
        <w:tc>
          <w:p>
            <w:pPr>
              <w:pStyle w:val="Compact"/>
              <w:jc w:val="left"/>
            </w:pPr>
            <w:r>
              <w:t xml:space="preserve">US federal-state equivalent</w:t>
            </w:r>
          </w:p>
        </w:tc>
      </w:tr>
      <w:tr>
        <w:tc>
          <w:p>
            <w:pPr>
              <w:pStyle w:val="Compact"/>
              <w:jc w:val="left"/>
            </w:pPr>
            <w:r>
              <w:t xml:space="preserve">Auditor-General (AGSA)</w:t>
            </w:r>
          </w:p>
        </w:tc>
        <w:tc>
          <w:p>
            <w:pPr>
              <w:pStyle w:val="Compact"/>
              <w:jc w:val="left"/>
            </w:pPr>
            <w:r>
              <w:t xml:space="preserve">State Auditor / Comptroller; federal Single Audit Clearinghouse; GAO for federal programmes</w:t>
            </w:r>
          </w:p>
        </w:tc>
      </w:tr>
      <w:tr>
        <w:tc>
          <w:p>
            <w:pPr>
              <w:pStyle w:val="Compact"/>
              <w:jc w:val="left"/>
            </w:pPr>
            <w:r>
              <w:t xml:space="preserve">National Treasury MFMA data</w:t>
            </w:r>
          </w:p>
        </w:tc>
        <w:tc>
          <w:p>
            <w:pPr>
              <w:pStyle w:val="Compact"/>
              <w:jc w:val="left"/>
            </w:pPr>
            <w:r>
              <w:t xml:space="preserve">State Department of Revenue; state bond commissions; MSRB EMMA for municipal bond disclosures</w:t>
            </w:r>
          </w:p>
        </w:tc>
      </w:tr>
      <w:tr>
        <w:tc>
          <w:p>
            <w:pPr>
              <w:pStyle w:val="Compact"/>
              <w:jc w:val="left"/>
            </w:pPr>
            <w:r>
              <w:t xml:space="preserve">DPME monitoring and evaluation</w:t>
            </w:r>
          </w:p>
        </w:tc>
        <w:tc>
          <w:p>
            <w:pPr>
              <w:pStyle w:val="Compact"/>
              <w:jc w:val="left"/>
            </w:pPr>
            <w:r>
              <w:t xml:space="preserve">State performance management offices; federal agency PARTs/Annual Performance Reports; Pew Results First</w:t>
            </w:r>
          </w:p>
        </w:tc>
      </w:tr>
      <w:tr>
        <w:tc>
          <w:p>
            <w:pPr>
              <w:pStyle w:val="Compact"/>
              <w:jc w:val="left"/>
            </w:pPr>
            <w:r>
              <w:t xml:space="preserve">Stats SA</w:t>
            </w:r>
          </w:p>
        </w:tc>
        <w:tc>
          <w:p>
            <w:pPr>
              <w:pStyle w:val="Compact"/>
              <w:jc w:val="left"/>
            </w:pPr>
            <w:r>
              <w:t xml:space="preserve">US Census Bureau; Bureau of Economic Analysis; Bureau of Labor Statistics; state statistical centres</w:t>
            </w:r>
          </w:p>
        </w:tc>
      </w:tr>
      <w:tr>
        <w:tc>
          <w:p>
            <w:pPr>
              <w:pStyle w:val="Compact"/>
              <w:jc w:val="left"/>
            </w:pPr>
            <w:r>
              <w:t xml:space="preserve">DWS Blue/Green/No Drop</w:t>
            </w:r>
          </w:p>
        </w:tc>
        <w:tc>
          <w:p>
            <w:pPr>
              <w:pStyle w:val="Compact"/>
              <w:jc w:val="left"/>
            </w:pPr>
            <w:r>
              <w:t xml:space="preserve">EPA SDWIS; EPA ECHO; state primacy agency reports</w:t>
            </w:r>
          </w:p>
        </w:tc>
      </w:tr>
      <w:tr>
        <w:tc>
          <w:p>
            <w:pPr>
              <w:pStyle w:val="Compact"/>
              <w:jc w:val="left"/>
            </w:pPr>
            <w:r>
              <w:t xml:space="preserve">SAICE Infrastructure Report Card</w:t>
            </w:r>
          </w:p>
        </w:tc>
        <w:tc>
          <w:p>
            <w:pPr>
              <w:pStyle w:val="Compact"/>
              <w:jc w:val="left"/>
            </w:pPr>
            <w:r>
              <w:t xml:space="preserve">ASCE Infrastructure Report Card (national and state editions)</w:t>
            </w:r>
          </w:p>
        </w:tc>
      </w:tr>
      <w:tr>
        <w:tc>
          <w:p>
            <w:pPr>
              <w:pStyle w:val="Compact"/>
              <w:jc w:val="left"/>
            </w:pPr>
            <w:r>
              <w:t xml:space="preserve">Parliamentary Monitoring Group</w:t>
            </w:r>
          </w:p>
        </w:tc>
        <w:tc>
          <w:p>
            <w:pPr>
              <w:pStyle w:val="Compact"/>
              <w:jc w:val="left"/>
            </w:pPr>
            <w:r>
              <w:t xml:space="preserve">State legislative research bureaus; National Conference of State Legislatures (NCSL); Committee reports on state legislature websites</w:t>
            </w:r>
          </w:p>
        </w:tc>
      </w:tr>
      <w:tr>
        <w:tc>
          <w:p>
            <w:pPr>
              <w:pStyle w:val="Compact"/>
              <w:jc w:val="left"/>
            </w:pPr>
            <w:r>
              <w:t xml:space="preserve">SALGA</w:t>
            </w:r>
          </w:p>
        </w:tc>
        <w:tc>
          <w:p>
            <w:pPr>
              <w:pStyle w:val="Compact"/>
              <w:jc w:val="left"/>
            </w:pPr>
            <w:r>
              <w:t xml:space="preserve">National League of Cities; National Association of Counties; International City/County Management Association (ICMA)</w:t>
            </w:r>
          </w:p>
        </w:tc>
      </w:tr>
      <w:tr>
        <w:tc>
          <w:p>
            <w:pPr>
              <w:pStyle w:val="Compact"/>
              <w:jc w:val="left"/>
            </w:pPr>
            <w:r>
              <w:t xml:space="preserve">NERSA</w:t>
            </w:r>
          </w:p>
        </w:tc>
        <w:tc>
          <w:p>
            <w:pPr>
              <w:pStyle w:val="Compact"/>
              <w:jc w:val="left"/>
            </w:pPr>
            <w:r>
              <w:t xml:space="preserve">State Public Utility Commissions; FERC for interstate regulation</w:t>
            </w:r>
          </w:p>
        </w:tc>
      </w:tr>
      <w:tr>
        <w:tc>
          <w:p>
            <w:pPr>
              <w:pStyle w:val="Compact"/>
              <w:jc w:val="left"/>
            </w:pPr>
            <w:r>
              <w:t xml:space="preserve">District Health Barometer</w:t>
            </w:r>
          </w:p>
        </w:tc>
        <w:tc>
          <w:p>
            <w:pPr>
              <w:pStyle w:val="Compact"/>
              <w:jc w:val="left"/>
            </w:pPr>
            <w:r>
              <w:t xml:space="preserve">CMS State Medicaid dashboards; CDC state health profiles; Commonwealth Fund state scorecards</w:t>
            </w:r>
          </w:p>
        </w:tc>
      </w:tr>
    </w:tbl>
    <w:bookmarkEnd w:id="46"/>
    <w:bookmarkStart w:id="47" w:name="X30e08aff218ada7106f3e3673f04a1deddc42fc"/>
    <w:p>
      <w:pPr>
        <w:pStyle w:val="Heading3"/>
      </w:pPr>
      <w:r>
        <w:t xml:space="preserve">5.4 Constitutional and Legal-Regime Adaptations</w:t>
      </w:r>
    </w:p>
    <w:p>
      <w:pPr>
        <w:pStyle w:val="FirstParagraph"/>
      </w:pPr>
      <w:r>
        <w:t xml:space="preserve">Three adaptations of the framework’s diagnostic logic are required for US application, each of which is mechanical rather than theoretical.</w:t>
      </w:r>
    </w:p>
    <w:p>
      <w:pPr>
        <w:pStyle w:val="BodyText"/>
      </w:pPr>
      <w:r>
        <w:rPr>
          <w:bCs/>
          <w:b/>
        </w:rPr>
        <w:t xml:space="preserve">The 30-day authority test.</w:t>
      </w:r>
      <w:r>
        <w:t xml:space="preserve"> </w:t>
      </w:r>
      <w:r>
        <w:t xml:space="preserve">In South Africa, the 30-day test asks whether a municipality can execute a decision within 30 days using only its own powers. In the US, the equivalent test must account for: (i) whether the utility or agency operates under Dillon’s Rule or Home Rule; (ii) whether rate changes require state PUC approval (for regulated investor-owned utilities) or council approval alone (for municipal utilities); and (iii) whether capital expenditures above a threshold require a public vote. The test becomes:</w:t>
      </w:r>
      <w:r>
        <w:t xml:space="preserve"> </w:t>
      </w:r>
      <w:r>
        <w:rPr>
          <w:iCs/>
          <w:i/>
        </w:rPr>
        <w:t xml:space="preserve">Can the entity execute a decision within 30 days given its legal regime, and if not, is the delay structural (PUC rate-case cycle) or discretionary (internal approval layers)?</w:t>
      </w:r>
    </w:p>
    <w:p>
      <w:pPr>
        <w:pStyle w:val="BodyText"/>
      </w:pPr>
      <w:r>
        <w:rPr>
          <w:bCs/>
          <w:b/>
        </w:rPr>
        <w:t xml:space="preserve">Resource ring-fencing.</w:t>
      </w:r>
      <w:r>
        <w:t xml:space="preserve"> </w:t>
      </w:r>
      <w:r>
        <w:t xml:space="preserve">The South African test is whether revenue is ring-fenced from general municipal revenue. In the US, GASB 34 already requires enterprise fund accounting for fee-funded services, so the surface-level test is usually passed. The deeper test — has the ring-fence been breached by general-fund transfers, deferred capital maintenance, or below-cost rate-setting for political reasons — requires inspection of transfer schedules and rate-case testimony. The element is the same; the indicator is more subtle.</w:t>
      </w:r>
    </w:p>
    <w:p>
      <w:pPr>
        <w:pStyle w:val="BodyText"/>
      </w:pPr>
      <w:r>
        <w:rPr>
          <w:bCs/>
          <w:b/>
        </w:rPr>
        <w:t xml:space="preserve">Anti-capture architecture.</w:t>
      </w:r>
      <w:r>
        <w:t xml:space="preserve"> </w:t>
      </w:r>
      <w:r>
        <w:t xml:space="preserve">The five capture vectors (political, commercial, labour, regulatory, information) all operate in US states but take different forms. Political capture runs through primary elections and gubernatorial appointment rather than cadre deployment. Commercial capture involves federal procurement law (FAR) and state analogues. Labour capture involves collective bargaining agreements protected by state public-sector labour law (which varies sharply between, say, Wisconsin and New York). Regulatory capture has a US-specific literature (Stigler; Laffont-Tirole; Carpenter-Moss). Information capture includes FOIA-exemption engineering and the increasing use of private emails and messaging apps by officials. The framework’s five vectors remain valid; the indicators adapt to the US mechanisms.</w:t>
      </w:r>
    </w:p>
    <w:bookmarkEnd w:id="47"/>
    <w:bookmarkStart w:id="48" w:name="X9b1bbade5bc682cc5d63c55eae3455dfa4ddaeb"/>
    <w:p>
      <w:pPr>
        <w:pStyle w:val="Heading3"/>
      </w:pPr>
      <w:r>
        <w:t xml:space="preserve">5.5 Illustrative Case Outline: Diagnosing Drinking Water Governance in Michigan</w:t>
      </w:r>
    </w:p>
    <w:p>
      <w:pPr>
        <w:pStyle w:val="FirstParagraph"/>
      </w:pPr>
      <w:r>
        <w:t xml:space="preserve">A US-state pilot diagnostic could begin with Michigan drinking water governance, using the Flint water crisis as the well-documented failure case that tests the framework’s explanatory reach outside South Africa.</w:t>
      </w:r>
    </w:p>
    <w:p>
      <w:pPr>
        <w:numPr>
          <w:ilvl w:val="0"/>
          <w:numId w:val="1010"/>
        </w:numPr>
        <w:pStyle w:val="Compact"/>
      </w:pPr>
      <w:r>
        <w:rPr>
          <w:bCs/>
          <w:b/>
        </w:rPr>
        <w:t xml:space="preserve">Responsibility:</w:t>
      </w:r>
      <w:r>
        <w:t xml:space="preserve"> </w:t>
      </w:r>
      <w:r>
        <w:t xml:space="preserve">Fragmented across the City of Flint (operator), the Michigan Department of Environmental Quality (primacy agency), and the emergency manager regime imposed under Public Act 436. RAARICLE™ score: 2.</w:t>
      </w:r>
    </w:p>
    <w:p>
      <w:pPr>
        <w:numPr>
          <w:ilvl w:val="0"/>
          <w:numId w:val="1010"/>
        </w:numPr>
        <w:pStyle w:val="Compact"/>
      </w:pPr>
      <w:r>
        <w:rPr>
          <w:bCs/>
          <w:b/>
        </w:rPr>
        <w:t xml:space="preserve">Accountability:</w:t>
      </w:r>
      <w:r>
        <w:t xml:space="preserve"> </w:t>
      </w:r>
      <w:r>
        <w:t xml:space="preserve">Formally with the emergency manager, but democratic accountability was suspended during the emergency-management period — a structural Accountability failure. Score: 1.</w:t>
      </w:r>
    </w:p>
    <w:p>
      <w:pPr>
        <w:numPr>
          <w:ilvl w:val="0"/>
          <w:numId w:val="1010"/>
        </w:numPr>
        <w:pStyle w:val="Compact"/>
      </w:pPr>
      <w:r>
        <w:rPr>
          <w:bCs/>
          <w:b/>
        </w:rPr>
        <w:t xml:space="preserve">Authority:</w:t>
      </w:r>
      <w:r>
        <w:t xml:space="preserve"> </w:t>
      </w:r>
      <w:r>
        <w:t xml:space="preserve">The emergency manager possessed strong formal authority, but the authority to switch water sources bypassed the routine engineering governance of the utility. Authority was present but misaligned from the engineering capability needed to exercise it. Score: 2.</w:t>
      </w:r>
    </w:p>
    <w:p>
      <w:pPr>
        <w:numPr>
          <w:ilvl w:val="0"/>
          <w:numId w:val="1010"/>
        </w:numPr>
        <w:pStyle w:val="Compact"/>
      </w:pPr>
      <w:r>
        <w:rPr>
          <w:bCs/>
          <w:b/>
        </w:rPr>
        <w:t xml:space="preserve">Resources:</w:t>
      </w:r>
      <w:r>
        <w:t xml:space="preserve"> </w:t>
      </w:r>
      <w:r>
        <w:t xml:space="preserve">State cost-saving imperatives drove the source-water switch. Resources were insufficient to implement corrosion control simultaneously. Score: 2.</w:t>
      </w:r>
    </w:p>
    <w:p>
      <w:pPr>
        <w:numPr>
          <w:ilvl w:val="0"/>
          <w:numId w:val="1010"/>
        </w:numPr>
        <w:pStyle w:val="Compact"/>
      </w:pPr>
      <w:r>
        <w:rPr>
          <w:bCs/>
          <w:b/>
        </w:rPr>
        <w:t xml:space="preserve">Information:</w:t>
      </w:r>
      <w:r>
        <w:t xml:space="preserve"> </w:t>
      </w:r>
      <w:r>
        <w:t xml:space="preserve">MDEQ misread the Lead and Copper Rule; sample invalidation practices masked true exposure. Information was generated but filtered. Score: 1.</w:t>
      </w:r>
    </w:p>
    <w:p>
      <w:pPr>
        <w:numPr>
          <w:ilvl w:val="0"/>
          <w:numId w:val="1010"/>
        </w:numPr>
        <w:pStyle w:val="Compact"/>
      </w:pPr>
      <w:r>
        <w:rPr>
          <w:bCs/>
          <w:b/>
        </w:rPr>
        <w:t xml:space="preserve">Capability:</w:t>
      </w:r>
      <w:r>
        <w:t xml:space="preserve"> </w:t>
      </w:r>
      <w:r>
        <w:t xml:space="preserve">Gaps in corrosion control expertise at MDEQ and the utility were determinative. Score: 2.</w:t>
      </w:r>
    </w:p>
    <w:p>
      <w:pPr>
        <w:numPr>
          <w:ilvl w:val="0"/>
          <w:numId w:val="1010"/>
        </w:numPr>
        <w:pStyle w:val="Compact"/>
      </w:pPr>
      <w:r>
        <w:rPr>
          <w:bCs/>
          <w:b/>
        </w:rPr>
        <w:t xml:space="preserve">Legitimacy:</w:t>
      </w:r>
      <w:r>
        <w:t xml:space="preserve"> </w:t>
      </w:r>
      <w:r>
        <w:t xml:space="preserve">The emergency-management regime’s democratic legitimacy was contested locally even where its legal validity was not. Score: 2.</w:t>
      </w:r>
    </w:p>
    <w:p>
      <w:pPr>
        <w:numPr>
          <w:ilvl w:val="0"/>
          <w:numId w:val="1010"/>
        </w:numPr>
        <w:pStyle w:val="Compact"/>
      </w:pPr>
      <w:r>
        <w:rPr>
          <w:bCs/>
          <w:b/>
        </w:rPr>
        <w:t xml:space="preserve">Enforcement:</w:t>
      </w:r>
      <w:r>
        <w:t xml:space="preserve"> </w:t>
      </w:r>
      <w:r>
        <w:t xml:space="preserve">EPA delayed escalation; MDEQ underenforced; consequences for officials followed only post-crisis, not pre-crisis. Score: 1.</w:t>
      </w:r>
    </w:p>
    <w:p>
      <w:pPr>
        <w:pStyle w:val="FirstParagraph"/>
      </w:pPr>
      <w:r>
        <w:rPr>
          <w:bCs/>
          <w:b/>
        </w:rPr>
        <w:t xml:space="preserve">Structural root cause:</w:t>
      </w:r>
      <w:r>
        <w:t xml:space="preserve"> </w:t>
      </w:r>
      <w:r>
        <w:t xml:space="preserve">A combination of misalignment (authority displaced from the normal governance chain by emergency management) and information capture (regulatory data filtered to support a predetermined conclusion). This is a classification the framework produces; it is falsifiable by the documentary record assembled in the Snyder-era state and federal investigations, the class-action proceedings, and the Flint Water Advisory Task Force report.</w:t>
      </w:r>
    </w:p>
    <w:p>
      <w:pPr>
        <w:pStyle w:val="BodyText"/>
      </w:pPr>
      <w:r>
        <w:t xml:space="preserve">The point is not that RAARICLE™</w:t>
      </w:r>
      <w:r>
        <w:t xml:space="preserve"> </w:t>
      </w:r>
      <w:r>
        <w:t xml:space="preserve">“</w:t>
      </w:r>
      <w:r>
        <w:t xml:space="preserve">explains Flint</w:t>
      </w:r>
      <w:r>
        <w:t xml:space="preserve">”</w:t>
      </w:r>
      <w:r>
        <w:t xml:space="preserve"> </w:t>
      </w:r>
      <w:r>
        <w:t xml:space="preserve">in a way that prior work does not. The point is that the framework’s diagnostic categories apply to the Flint record without modification, that the scores are traceable to public documents, and that the root-cause classification is consistent with the conclusions reached by independent reviews. This is the necessary demonstration of cross-jurisdictional generality.</w:t>
      </w:r>
    </w:p>
    <w:bookmarkEnd w:id="48"/>
    <w:bookmarkStart w:id="49" w:name="Xd55cca7e779777d3b6df3793f7ed34e417517bd"/>
    <w:p>
      <w:pPr>
        <w:pStyle w:val="Heading3"/>
      </w:pPr>
      <w:r>
        <w:t xml:space="preserve">5.6 Candidate US Functions for a Pilot Programme</w:t>
      </w:r>
    </w:p>
    <w:p>
      <w:pPr>
        <w:pStyle w:val="FirstParagraph"/>
      </w:pPr>
      <w:r>
        <w:t xml:space="preserve">A deliberate US pilot should target functions with (i) high data maturity, (ii) cross-state variation that enables comparison, and (iii) active governance reform debates that create demand for diagnostic analysis.</w:t>
      </w:r>
    </w:p>
    <w:tbl>
      <w:tblPr>
        <w:tblStyle w:val="Table"/>
        <w:tblW w:type="pct" w:w="5000.0"/>
        <w:tblLook w:firstRow="1" w:lastRow="0" w:firstColumn="0" w:lastColumn="0" w:noHBand="0" w:noVBand="0" w:val="0020"/>
      </w:tblPr>
      <w:tblGrid>
        <w:gridCol w:w="1414"/>
        <w:gridCol w:w="3111"/>
        <w:gridCol w:w="3394"/>
      </w:tblGrid>
      <w:tr>
        <w:tc>
          <w:p>
            <w:pPr>
              <w:pStyle w:val="Compact"/>
              <w:jc w:val="left"/>
            </w:pPr>
            <w:r>
              <w:t xml:space="preserve">Function</w:t>
            </w:r>
          </w:p>
        </w:tc>
        <w:tc>
          <w:p>
            <w:pPr>
              <w:pStyle w:val="Compact"/>
              <w:jc w:val="left"/>
            </w:pPr>
            <w:r>
              <w:t xml:space="preserve">Why it’s a good pilot</w:t>
            </w:r>
          </w:p>
        </w:tc>
        <w:tc>
          <w:p>
            <w:pPr>
              <w:pStyle w:val="Compact"/>
              <w:jc w:val="left"/>
            </w:pPr>
            <w:r>
              <w:t xml:space="preserve">Candidate data partners</w:t>
            </w:r>
          </w:p>
        </w:tc>
      </w:tr>
      <w:tr>
        <w:tc>
          <w:p>
            <w:pPr>
              <w:pStyle w:val="Compact"/>
              <w:jc w:val="left"/>
            </w:pPr>
            <w:r>
              <w:t xml:space="preserve">K–12 education</w:t>
            </w:r>
          </w:p>
        </w:tc>
        <w:tc>
          <w:p>
            <w:pPr>
              <w:pStyle w:val="Compact"/>
              <w:jc w:val="left"/>
            </w:pPr>
            <w:r>
              <w:t xml:space="preserve">N=50 states × strong federal data; NAEP; EdStats; cross-state variation in governance models</w:t>
            </w:r>
          </w:p>
        </w:tc>
        <w:tc>
          <w:p>
            <w:pPr>
              <w:pStyle w:val="Compact"/>
              <w:jc w:val="left"/>
            </w:pPr>
            <w:r>
              <w:t xml:space="preserve">RAND; Urban Institute; Education Commission of the States</w:t>
            </w:r>
          </w:p>
        </w:tc>
      </w:tr>
      <w:tr>
        <w:tc>
          <w:p>
            <w:pPr>
              <w:pStyle w:val="Compact"/>
              <w:jc w:val="left"/>
            </w:pPr>
            <w:r>
              <w:t xml:space="preserve">Medicaid administration</w:t>
            </w:r>
          </w:p>
        </w:tc>
        <w:tc>
          <w:p>
            <w:pPr>
              <w:pStyle w:val="Compact"/>
              <w:jc w:val="left"/>
            </w:pPr>
            <w:r>
              <w:t xml:space="preserve">Federal-state programme with sharp governance variation (expansion vs non-expansion; managed care vs FFS)</w:t>
            </w:r>
          </w:p>
        </w:tc>
        <w:tc>
          <w:p>
            <w:pPr>
              <w:pStyle w:val="Compact"/>
              <w:jc w:val="left"/>
            </w:pPr>
            <w:r>
              <w:t xml:space="preserve">Commonwealth Fund; Kaiser Family Foundation; MACPAC</w:t>
            </w:r>
          </w:p>
        </w:tc>
      </w:tr>
      <w:tr>
        <w:tc>
          <w:p>
            <w:pPr>
              <w:pStyle w:val="Compact"/>
              <w:jc w:val="left"/>
            </w:pPr>
            <w:r>
              <w:t xml:space="preserve">Drinking water utilities</w:t>
            </w:r>
          </w:p>
        </w:tc>
        <w:tc>
          <w:p>
            <w:pPr>
              <w:pStyle w:val="Compact"/>
              <w:jc w:val="left"/>
            </w:pPr>
            <w:r>
              <w:t xml:space="preserve">EPA SDWIS and ECHO provide structured data; post-Flint attention sustains demand</w:t>
            </w:r>
          </w:p>
        </w:tc>
        <w:tc>
          <w:p>
            <w:pPr>
              <w:pStyle w:val="Compact"/>
              <w:jc w:val="left"/>
            </w:pPr>
            <w:r>
              <w:t xml:space="preserve">EPA; AWWA; Pacific Institute</w:t>
            </w:r>
          </w:p>
        </w:tc>
      </w:tr>
      <w:tr>
        <w:tc>
          <w:p>
            <w:pPr>
              <w:pStyle w:val="Compact"/>
              <w:jc w:val="left"/>
            </w:pPr>
            <w:r>
              <w:t xml:space="preserve">Unemployment insurance administration</w:t>
            </w:r>
          </w:p>
        </w:tc>
        <w:tc>
          <w:p>
            <w:pPr>
              <w:pStyle w:val="Compact"/>
              <w:jc w:val="left"/>
            </w:pPr>
            <w:r>
              <w:t xml:space="preserve">Pandemic exposure of state UI systems created structural-reform demand</w:t>
            </w:r>
          </w:p>
        </w:tc>
        <w:tc>
          <w:p>
            <w:pPr>
              <w:pStyle w:val="Compact"/>
              <w:jc w:val="left"/>
            </w:pPr>
            <w:r>
              <w:t xml:space="preserve">Century Foundation; Brookings; state-level policy centres</w:t>
            </w:r>
          </w:p>
        </w:tc>
      </w:tr>
      <w:tr>
        <w:tc>
          <w:p>
            <w:pPr>
              <w:pStyle w:val="Compact"/>
              <w:jc w:val="left"/>
            </w:pPr>
            <w:r>
              <w:t xml:space="preserve">State DOT project delivery</w:t>
            </w:r>
          </w:p>
        </w:tc>
        <w:tc>
          <w:p>
            <w:pPr>
              <w:pStyle w:val="Compact"/>
              <w:jc w:val="left"/>
            </w:pPr>
            <w:r>
              <w:t xml:space="preserve">ASCE Report Card; FHWA data; comparable across states</w:t>
            </w:r>
          </w:p>
        </w:tc>
        <w:tc>
          <w:p>
            <w:pPr>
              <w:pStyle w:val="Compact"/>
              <w:jc w:val="left"/>
            </w:pPr>
            <w:r>
              <w:t xml:space="preserve">ASCE; Eno Transportation Center; TRB</w:t>
            </w:r>
          </w:p>
        </w:tc>
      </w:tr>
    </w:tbl>
    <w:bookmarkEnd w:id="49"/>
    <w:bookmarkStart w:id="50" w:name="X543eaada00271f659b2ea10bb30865e89ce3eed"/>
    <w:p>
      <w:pPr>
        <w:pStyle w:val="Heading3"/>
      </w:pPr>
      <w:r>
        <w:t xml:space="preserve">5.7 What an International Expansion Does for Credibility</w:t>
      </w:r>
    </w:p>
    <w:p>
      <w:pPr>
        <w:pStyle w:val="FirstParagraph"/>
      </w:pPr>
      <w:r>
        <w:t xml:space="preserve">Successful adaptation to the United States produces four credibility benefits.</w:t>
      </w:r>
    </w:p>
    <w:p>
      <w:pPr>
        <w:numPr>
          <w:ilvl w:val="0"/>
          <w:numId w:val="1011"/>
        </w:numPr>
        <w:pStyle w:val="Compact"/>
      </w:pPr>
      <w:r>
        <w:rPr>
          <w:bCs/>
          <w:b/>
        </w:rPr>
        <w:t xml:space="preserve">Generality is demonstrated, not asserted.</w:t>
      </w:r>
      <w:r>
        <w:t xml:space="preserve"> </w:t>
      </w:r>
      <w:r>
        <w:t xml:space="preserve">Reviewers who suspect the framework is a theory of South African pathology are answered by a working US application.</w:t>
      </w:r>
    </w:p>
    <w:p>
      <w:pPr>
        <w:numPr>
          <w:ilvl w:val="0"/>
          <w:numId w:val="1011"/>
        </w:numPr>
        <w:pStyle w:val="Compact"/>
      </w:pPr>
      <w:r>
        <w:rPr>
          <w:bCs/>
          <w:b/>
        </w:rPr>
        <w:t xml:space="preserve">Access to additional publication venues.</w:t>
      </w:r>
      <w:r>
        <w:t xml:space="preserve"> </w:t>
      </w:r>
      <w:r>
        <w:t xml:space="preserve">US-state-politics journals (State Politics &amp; Policy Quarterly, Publius: The Journal of Federalism) and US public-administration journals (American Review of Public Administration, Public Administration Review) become available to an international application.</w:t>
      </w:r>
    </w:p>
    <w:p>
      <w:pPr>
        <w:numPr>
          <w:ilvl w:val="0"/>
          <w:numId w:val="1011"/>
        </w:numPr>
        <w:pStyle w:val="Compact"/>
      </w:pPr>
      <w:r>
        <w:rPr>
          <w:bCs/>
          <w:b/>
        </w:rPr>
        <w:t xml:space="preserve">Access to US research partners.</w:t>
      </w:r>
      <w:r>
        <w:t xml:space="preserve"> </w:t>
      </w:r>
      <w:r>
        <w:t xml:space="preserve">Nonprofit research institutions (Pew, Urban, Brookings, RAND) and US university faculty become plausible collaborators once there is a working US case to point to.</w:t>
      </w:r>
    </w:p>
    <w:p>
      <w:pPr>
        <w:numPr>
          <w:ilvl w:val="0"/>
          <w:numId w:val="1011"/>
        </w:numPr>
        <w:pStyle w:val="Compact"/>
      </w:pPr>
      <w:r>
        <w:rPr>
          <w:bCs/>
          <w:b/>
        </w:rPr>
        <w:t xml:space="preserve">Market expansion.</w:t>
      </w:r>
      <w:r>
        <w:t xml:space="preserve"> </w:t>
      </w:r>
      <w:r>
        <w:t xml:space="preserve">US states, large cities and federal oversight bodies (GAO; federal Inspectors General) become potential diagnostic clients.</w:t>
      </w:r>
    </w:p>
    <w:p>
      <w:pPr>
        <w:pStyle w:val="FirstParagraph"/>
      </w:pPr>
      <w:r>
        <w:t xml:space="preserve">A parallel adaptation exercise for European (UK nations and regions; German Länder), Latin American (Brazilian states and large municipios) and Asian (Indian states) systems should follow the US pilot. Each requires its own indicator translation layer; each expands the framework’s credible reach.</w:t>
      </w:r>
    </w:p>
    <w:p>
      <w:r>
        <w:pict>
          <v:rect style="width:0;height:1.5pt" o:hralign="center" o:hrstd="t" o:hr="t"/>
        </w:pict>
      </w:r>
    </w:p>
    <w:bookmarkEnd w:id="50"/>
    <w:bookmarkEnd w:id="51"/>
    <w:bookmarkStart w:id="57" w:name="X8923336abaac1397c9ff5a9555cb27f2fe7eb39"/>
    <w:p>
      <w:pPr>
        <w:pStyle w:val="Heading2"/>
      </w:pPr>
      <w:r>
        <w:t xml:space="preserve">6. Part IV — Sequenced Roadmap to Credibility (2026–2030)</w:t>
      </w:r>
    </w:p>
    <w:p>
      <w:pPr>
        <w:pStyle w:val="FirstParagraph"/>
      </w:pPr>
      <w:r>
        <w:t xml:space="preserve">Credibility is earned in order. Steps out of sequence do not compound.</w:t>
      </w:r>
    </w:p>
    <w:bookmarkStart w:id="52" w:name="year-1-2026-foundation"/>
    <w:p>
      <w:pPr>
        <w:pStyle w:val="Heading3"/>
      </w:pPr>
      <w:r>
        <w:t xml:space="preserve">Year 1 (2026) — Foundation</w:t>
      </w:r>
    </w:p>
    <w:p>
      <w:pPr>
        <w:numPr>
          <w:ilvl w:val="0"/>
          <w:numId w:val="1012"/>
        </w:numPr>
        <w:pStyle w:val="Compact"/>
      </w:pPr>
      <w:r>
        <w:t xml:space="preserve">Publish the foundational methodology paper as an SSRN working paper.</w:t>
      </w:r>
    </w:p>
    <w:p>
      <w:pPr>
        <w:numPr>
          <w:ilvl w:val="0"/>
          <w:numId w:val="1012"/>
        </w:numPr>
        <w:pStyle w:val="Compact"/>
      </w:pPr>
      <w:r>
        <w:t xml:space="preserve">Formalise the water-services indicator library v1 and publish the codebook.</w:t>
      </w:r>
    </w:p>
    <w:p>
      <w:pPr>
        <w:numPr>
          <w:ilvl w:val="0"/>
          <w:numId w:val="1012"/>
        </w:numPr>
        <w:pStyle w:val="Compact"/>
      </w:pPr>
      <w:r>
        <w:t xml:space="preserve">Release the open-source scoring algorithm.</w:t>
      </w:r>
    </w:p>
    <w:p>
      <w:pPr>
        <w:numPr>
          <w:ilvl w:val="0"/>
          <w:numId w:val="1012"/>
        </w:numPr>
        <w:pStyle w:val="Compact"/>
      </w:pPr>
      <w:r>
        <w:t xml:space="preserve">Sign an MOU with one South African academic institution.</w:t>
      </w:r>
    </w:p>
    <w:p>
      <w:pPr>
        <w:numPr>
          <w:ilvl w:val="0"/>
          <w:numId w:val="1012"/>
        </w:numPr>
        <w:pStyle w:val="Compact"/>
      </w:pPr>
      <w:r>
        <w:t xml:space="preserve">Constitute the advisory board with at least two non-South African members.</w:t>
      </w:r>
    </w:p>
    <w:p>
      <w:pPr>
        <w:numPr>
          <w:ilvl w:val="0"/>
          <w:numId w:val="1012"/>
        </w:numPr>
        <w:pStyle w:val="Compact"/>
      </w:pPr>
      <w:r>
        <w:t xml:space="preserve">Complete the ten-municipality inter-rater reliability pilot.</w:t>
      </w:r>
    </w:p>
    <w:bookmarkEnd w:id="52"/>
    <w:bookmarkStart w:id="53" w:name="year-2-2027-validation"/>
    <w:p>
      <w:pPr>
        <w:pStyle w:val="Heading3"/>
      </w:pPr>
      <w:r>
        <w:t xml:space="preserve">Year 2 (2027) — Validation</w:t>
      </w:r>
    </w:p>
    <w:p>
      <w:pPr>
        <w:numPr>
          <w:ilvl w:val="0"/>
          <w:numId w:val="1013"/>
        </w:numPr>
        <w:pStyle w:val="Compact"/>
      </w:pPr>
      <w:r>
        <w:t xml:space="preserve">Publish the inter-rater reliability study as a working paper; submit to</w:t>
      </w:r>
      <w:r>
        <w:t xml:space="preserve"> </w:t>
      </w:r>
      <w:r>
        <w:rPr>
          <w:iCs/>
          <w:i/>
        </w:rPr>
        <w:t xml:space="preserve">Governance</w:t>
      </w:r>
      <w:r>
        <w:t xml:space="preserve">.</w:t>
      </w:r>
    </w:p>
    <w:p>
      <w:pPr>
        <w:numPr>
          <w:ilvl w:val="0"/>
          <w:numId w:val="1013"/>
        </w:numPr>
        <w:pStyle w:val="Compact"/>
      </w:pPr>
      <w:r>
        <w:t xml:space="preserve">Expand the indicator library to three additional functions (education, electricity, healthcare).</w:t>
      </w:r>
    </w:p>
    <w:p>
      <w:pPr>
        <w:numPr>
          <w:ilvl w:val="0"/>
          <w:numId w:val="1013"/>
        </w:numPr>
        <w:pStyle w:val="Compact"/>
      </w:pPr>
      <w:r>
        <w:t xml:space="preserve">Begin the predictive validation study (50 municipalities tracked against audit outcomes).</w:t>
      </w:r>
    </w:p>
    <w:p>
      <w:pPr>
        <w:numPr>
          <w:ilvl w:val="0"/>
          <w:numId w:val="1013"/>
        </w:numPr>
        <w:pStyle w:val="Compact"/>
      </w:pPr>
      <w:r>
        <w:t xml:space="preserve">Publish the first five public diagnostic reports with full replication packages.</w:t>
      </w:r>
    </w:p>
    <w:p>
      <w:pPr>
        <w:numPr>
          <w:ilvl w:val="0"/>
          <w:numId w:val="1013"/>
        </w:numPr>
        <w:pStyle w:val="Compact"/>
      </w:pPr>
      <w:r>
        <w:t xml:space="preserve">Launch the Observatory dashboard alpha.</w:t>
      </w:r>
    </w:p>
    <w:p>
      <w:pPr>
        <w:numPr>
          <w:ilvl w:val="0"/>
          <w:numId w:val="1013"/>
        </w:numPr>
        <w:pStyle w:val="Compact"/>
      </w:pPr>
      <w:r>
        <w:t xml:space="preserve">Begin the US indicator translation for one pilot function (drinking water).</w:t>
      </w:r>
    </w:p>
    <w:bookmarkEnd w:id="53"/>
    <w:bookmarkStart w:id="54" w:name="year-3-2028-publication"/>
    <w:p>
      <w:pPr>
        <w:pStyle w:val="Heading3"/>
      </w:pPr>
      <w:r>
        <w:t xml:space="preserve">Year 3 (2028) — Publication</w:t>
      </w:r>
    </w:p>
    <w:p>
      <w:pPr>
        <w:numPr>
          <w:ilvl w:val="0"/>
          <w:numId w:val="1014"/>
        </w:numPr>
        <w:pStyle w:val="Compact"/>
      </w:pPr>
      <w:r>
        <w:t xml:space="preserve">Methodology paper accepted in a peer-reviewed governance journal.</w:t>
      </w:r>
    </w:p>
    <w:p>
      <w:pPr>
        <w:numPr>
          <w:ilvl w:val="0"/>
          <w:numId w:val="1014"/>
        </w:numPr>
        <w:pStyle w:val="Compact"/>
      </w:pPr>
      <w:r>
        <w:t xml:space="preserve">Submit the comparative-country paper (South Africa + one African comparator + one OECD comparator).</w:t>
      </w:r>
    </w:p>
    <w:p>
      <w:pPr>
        <w:numPr>
          <w:ilvl w:val="0"/>
          <w:numId w:val="1014"/>
        </w:numPr>
        <w:pStyle w:val="Compact"/>
      </w:pPr>
      <w:r>
        <w:t xml:space="preserve">Complete the US pilot for drinking water utility governance across five states.</w:t>
      </w:r>
    </w:p>
    <w:p>
      <w:pPr>
        <w:numPr>
          <w:ilvl w:val="0"/>
          <w:numId w:val="1014"/>
        </w:numPr>
        <w:pStyle w:val="Compact"/>
      </w:pPr>
      <w:r>
        <w:t xml:space="preserve">Secure a multilateral engagement (World Bank, UNDP, AfDB or equivalent) using the framework.</w:t>
      </w:r>
    </w:p>
    <w:p>
      <w:pPr>
        <w:numPr>
          <w:ilvl w:val="0"/>
          <w:numId w:val="1014"/>
        </w:numPr>
        <w:pStyle w:val="Compact"/>
      </w:pPr>
      <w:r>
        <w:t xml:space="preserve">Constitute the stewardship entity.</w:t>
      </w:r>
    </w:p>
    <w:bookmarkEnd w:id="54"/>
    <w:bookmarkStart w:id="55" w:name="year-4-2029-consolidation"/>
    <w:p>
      <w:pPr>
        <w:pStyle w:val="Heading3"/>
      </w:pPr>
      <w:r>
        <w:t xml:space="preserve">Year 4 (2029) — Consolidation</w:t>
      </w:r>
    </w:p>
    <w:p>
      <w:pPr>
        <w:numPr>
          <w:ilvl w:val="0"/>
          <w:numId w:val="1015"/>
        </w:numPr>
        <w:pStyle w:val="Compact"/>
      </w:pPr>
      <w:r>
        <w:t xml:space="preserve">Publish the predictive validation results.</w:t>
      </w:r>
    </w:p>
    <w:p>
      <w:pPr>
        <w:numPr>
          <w:ilvl w:val="0"/>
          <w:numId w:val="1015"/>
        </w:numPr>
        <w:pStyle w:val="Compact"/>
      </w:pPr>
      <w:r>
        <w:t xml:space="preserve">Publish the comparative-country study.</w:t>
      </w:r>
    </w:p>
    <w:p>
      <w:pPr>
        <w:numPr>
          <w:ilvl w:val="0"/>
          <w:numId w:val="1015"/>
        </w:numPr>
        <w:pStyle w:val="Compact"/>
      </w:pPr>
      <w:r>
        <w:t xml:space="preserve">Expand US coverage to a second function.</w:t>
      </w:r>
    </w:p>
    <w:p>
      <w:pPr>
        <w:numPr>
          <w:ilvl w:val="0"/>
          <w:numId w:val="1015"/>
        </w:numPr>
        <w:pStyle w:val="Compact"/>
      </w:pPr>
      <w:r>
        <w:t xml:space="preserve">Establish a formal analyst certification programme.</w:t>
      </w:r>
    </w:p>
    <w:bookmarkEnd w:id="55"/>
    <w:bookmarkStart w:id="56" w:name="year-5-2030-standing"/>
    <w:p>
      <w:pPr>
        <w:pStyle w:val="Heading3"/>
      </w:pPr>
      <w:r>
        <w:t xml:space="preserve">Year 5 (2030) — Standing</w:t>
      </w:r>
    </w:p>
    <w:p>
      <w:pPr>
        <w:numPr>
          <w:ilvl w:val="0"/>
          <w:numId w:val="1016"/>
        </w:numPr>
        <w:pStyle w:val="Compact"/>
      </w:pPr>
      <w:r>
        <w:t xml:space="preserve">RAARICLE™ cited in multilateral governance assessment reports.</w:t>
      </w:r>
    </w:p>
    <w:p>
      <w:pPr>
        <w:numPr>
          <w:ilvl w:val="0"/>
          <w:numId w:val="1016"/>
        </w:numPr>
        <w:pStyle w:val="Compact"/>
      </w:pPr>
      <w:r>
        <w:t xml:space="preserve">Used in at least three national-level public-sector reform programmes outside South Africa.</w:t>
      </w:r>
    </w:p>
    <w:p>
      <w:pPr>
        <w:numPr>
          <w:ilvl w:val="0"/>
          <w:numId w:val="1016"/>
        </w:numPr>
        <w:pStyle w:val="Compact"/>
      </w:pPr>
      <w:r>
        <w:t xml:space="preserve">Taught in at least one graduate programme as a methods module.</w:t>
      </w:r>
    </w:p>
    <w:p>
      <w:pPr>
        <w:numPr>
          <w:ilvl w:val="0"/>
          <w:numId w:val="1016"/>
        </w:numPr>
        <w:pStyle w:val="Compact"/>
      </w:pPr>
      <w:r>
        <w:t xml:space="preserve">Observatory data used in peer-reviewed research by external teams.</w:t>
      </w:r>
    </w:p>
    <w:p>
      <w:pPr>
        <w:pStyle w:val="FirstParagraph"/>
      </w:pPr>
      <w:r>
        <w:t xml:space="preserve">Credibility at this point ceases to be an active pursuit and becomes an operating condition.</w:t>
      </w:r>
    </w:p>
    <w:p>
      <w:r>
        <w:pict>
          <v:rect style="width:0;height:1.5pt" o:hralign="center" o:hrstd="t" o:hr="t"/>
        </w:pict>
      </w:r>
    </w:p>
    <w:bookmarkEnd w:id="56"/>
    <w:bookmarkEnd w:id="57"/>
    <w:bookmarkStart w:id="58" w:name="X5cdff9a989fe94ef2efd516fc8010b37aca7901"/>
    <w:p>
      <w:pPr>
        <w:pStyle w:val="Heading2"/>
      </w:pPr>
      <w:r>
        <w:t xml:space="preserve">7. Appendix A — How Comparator Frameworks Earned Their Standing</w:t>
      </w:r>
    </w:p>
    <w:p>
      <w:pPr>
        <w:pStyle w:val="FirstParagraph"/>
      </w:pPr>
      <w:r>
        <w:t xml:space="preserve">A brief audit of how competing frameworks acquired academic and practitioner credibility clarifies what RAARICLE™ must replicate.</w:t>
      </w:r>
    </w:p>
    <w:tbl>
      <w:tblPr>
        <w:tblStyle w:val="Table"/>
        <w:tblW w:type="pct" w:w="5000.0"/>
        <w:tblLook w:firstRow="1" w:lastRow="0" w:firstColumn="0" w:lastColumn="0" w:noHBand="0" w:noVBand="0" w:val="0020"/>
      </w:tblPr>
      <w:tblGrid>
        <w:gridCol w:w="3004"/>
        <w:gridCol w:w="4915"/>
      </w:tblGrid>
      <w:tr>
        <w:tc>
          <w:p>
            <w:pPr>
              <w:pStyle w:val="Compact"/>
              <w:jc w:val="left"/>
            </w:pPr>
            <w:r>
              <w:t xml:space="preserve">Framework</w:t>
            </w:r>
          </w:p>
        </w:tc>
        <w:tc>
          <w:p>
            <w:pPr>
              <w:pStyle w:val="Compact"/>
              <w:jc w:val="left"/>
            </w:pPr>
            <w:r>
              <w:t xml:space="preserve">Credibility path</w:t>
            </w:r>
          </w:p>
        </w:tc>
      </w:tr>
      <w:tr>
        <w:tc>
          <w:p>
            <w:pPr>
              <w:pStyle w:val="Compact"/>
              <w:jc w:val="left"/>
            </w:pPr>
            <w:r>
              <w:rPr>
                <w:bCs/>
                <w:b/>
              </w:rPr>
              <w:t xml:space="preserve">World Governance Indicators (WGI)</w:t>
            </w:r>
          </w:p>
        </w:tc>
        <w:tc>
          <w:p>
            <w:pPr>
              <w:pStyle w:val="Compact"/>
              <w:jc w:val="left"/>
            </w:pPr>
            <w:r>
              <w:t xml:space="preserve">Kaufmann-Kraay-Mastruzzi methodology papers in Policy Research Working Paper series; replicable data release; transparent aggregation method; decades of peer-reviewed critique and response</w:t>
            </w:r>
          </w:p>
        </w:tc>
      </w:tr>
      <w:tr>
        <w:tc>
          <w:p>
            <w:pPr>
              <w:pStyle w:val="Compact"/>
              <w:jc w:val="left"/>
            </w:pPr>
            <w:r>
              <w:rPr>
                <w:bCs/>
                <w:b/>
              </w:rPr>
              <w:t xml:space="preserve">V-Dem</w:t>
            </w:r>
          </w:p>
        </w:tc>
        <w:tc>
          <w:p>
            <w:pPr>
              <w:pStyle w:val="Compact"/>
              <w:jc w:val="left"/>
            </w:pPr>
            <w:r>
              <w:t xml:space="preserve">University of Gothenburg institutional home; multi-country expert panels with documented selection protocol; open datasets at V-Dem.net; dozens of peer-reviewed methodology papers; high-quality interface</w:t>
            </w:r>
          </w:p>
        </w:tc>
      </w:tr>
      <w:tr>
        <w:tc>
          <w:p>
            <w:pPr>
              <w:pStyle w:val="Compact"/>
              <w:jc w:val="left"/>
            </w:pPr>
            <w:r>
              <w:rPr>
                <w:bCs/>
                <w:b/>
              </w:rPr>
              <w:t xml:space="preserve">Mo Ibrahim Index</w:t>
            </w:r>
          </w:p>
        </w:tc>
        <w:tc>
          <w:p>
            <w:pPr>
              <w:pStyle w:val="Compact"/>
              <w:jc w:val="left"/>
            </w:pPr>
            <w:r>
              <w:t xml:space="preserve">Foundation-backed with independent academic review board; transparent methodology; annual release with public data; cross-country comparability</w:t>
            </w:r>
          </w:p>
        </w:tc>
      </w:tr>
      <w:tr>
        <w:tc>
          <w:p>
            <w:pPr>
              <w:pStyle w:val="Compact"/>
              <w:jc w:val="left"/>
            </w:pPr>
            <w:r>
              <w:rPr>
                <w:bCs/>
                <w:b/>
              </w:rPr>
              <w:t xml:space="preserve">Bertelsmann Transformation Index</w:t>
            </w:r>
          </w:p>
        </w:tc>
        <w:tc>
          <w:p>
            <w:pPr>
              <w:pStyle w:val="Compact"/>
              <w:jc w:val="left"/>
            </w:pPr>
            <w:r>
              <w:t xml:space="preserve">Foundation-backed with country-expert panels; published methodology; decades of continuous release</w:t>
            </w:r>
          </w:p>
        </w:tc>
      </w:tr>
      <w:tr>
        <w:tc>
          <w:p>
            <w:pPr>
              <w:pStyle w:val="Compact"/>
              <w:jc w:val="left"/>
            </w:pPr>
            <w:r>
              <w:rPr>
                <w:bCs/>
                <w:b/>
              </w:rPr>
              <w:t xml:space="preserve">World Bank CPIA</w:t>
            </w:r>
          </w:p>
        </w:tc>
        <w:tc>
          <w:p>
            <w:pPr>
              <w:pStyle w:val="Compact"/>
              <w:jc w:val="left"/>
            </w:pPr>
            <w:r>
              <w:t xml:space="preserve">Internal World Bank assessment with published methodology; used to allocate IDA resources; subject to ongoing external critique that is responded to publicly</w:t>
            </w:r>
          </w:p>
        </w:tc>
      </w:tr>
      <w:tr>
        <w:tc>
          <w:p>
            <w:pPr>
              <w:pStyle w:val="Compact"/>
              <w:jc w:val="left"/>
            </w:pPr>
            <w:r>
              <w:rPr>
                <w:bCs/>
                <w:b/>
              </w:rPr>
              <w:t xml:space="preserve">Government at a Glance (OECD)</w:t>
            </w:r>
          </w:p>
        </w:tc>
        <w:tc>
          <w:p>
            <w:pPr>
              <w:pStyle w:val="Compact"/>
              <w:jc w:val="left"/>
            </w:pPr>
            <w:r>
              <w:t xml:space="preserve">OECD institutional home; government-agreed methodology; biennial release; public data</w:t>
            </w:r>
          </w:p>
        </w:tc>
      </w:tr>
      <w:tr>
        <w:tc>
          <w:p>
            <w:pPr>
              <w:pStyle w:val="Compact"/>
              <w:jc w:val="left"/>
            </w:pPr>
            <w:r>
              <w:rPr>
                <w:bCs/>
                <w:b/>
              </w:rPr>
              <w:t xml:space="preserve">PEFA (Public Expenditure and Financial Accountability)</w:t>
            </w:r>
          </w:p>
        </w:tc>
        <w:tc>
          <w:p>
            <w:pPr>
              <w:pStyle w:val="Compact"/>
              <w:jc w:val="left"/>
            </w:pPr>
            <w:r>
              <w:t xml:space="preserve">Multilateral consortium (World Bank, EU, DFID etc.) as stewardship entity; published methodology; certified assessor programme; cross-country comparability</w:t>
            </w:r>
          </w:p>
        </w:tc>
      </w:tr>
    </w:tbl>
    <w:p>
      <w:pPr>
        <w:pStyle w:val="BodyText"/>
      </w:pPr>
      <w:r>
        <w:t xml:space="preserve">The pattern is unmistakable: institutional home, published methodology, replicable data, peer review, public release on a fixed cadence. RAARICLE™ must travel the same road.</w:t>
      </w:r>
    </w:p>
    <w:p>
      <w:r>
        <w:pict>
          <v:rect style="width:0;height:1.5pt" o:hralign="center" o:hrstd="t" o:hr="t"/>
        </w:pict>
      </w:r>
    </w:p>
    <w:bookmarkEnd w:id="58"/>
    <w:bookmarkStart w:id="59" w:name="Xc9744bcd58ba8e4943d6c6bdfa76b6ff7c08b93"/>
    <w:p>
      <w:pPr>
        <w:pStyle w:val="Heading2"/>
      </w:pPr>
      <w:r>
        <w:t xml:space="preserve">8. Appendix B — Risks to Credibility and How to Pre-empt Them</w:t>
      </w:r>
    </w:p>
    <w:tbl>
      <w:tblPr>
        <w:tblStyle w:val="Table"/>
        <w:tblW w:type="pct" w:w="5000.0"/>
        <w:tblLook w:firstRow="1" w:lastRow="0" w:firstColumn="0" w:lastColumn="0" w:noHBand="0" w:noVBand="0" w:val="0020"/>
      </w:tblPr>
      <w:tblGrid>
        <w:gridCol w:w="1584"/>
        <w:gridCol w:w="2904"/>
        <w:gridCol w:w="3432"/>
      </w:tblGrid>
      <w:tr>
        <w:tc>
          <w:p>
            <w:pPr>
              <w:pStyle w:val="Compact"/>
              <w:jc w:val="left"/>
            </w:pPr>
            <w:r>
              <w:t xml:space="preserve">Risk</w:t>
            </w:r>
          </w:p>
        </w:tc>
        <w:tc>
          <w:p>
            <w:pPr>
              <w:pStyle w:val="Compact"/>
              <w:jc w:val="left"/>
            </w:pPr>
            <w:r>
              <w:t xml:space="preserve">Mechanism</w:t>
            </w:r>
          </w:p>
        </w:tc>
        <w:tc>
          <w:p>
            <w:pPr>
              <w:pStyle w:val="Compact"/>
              <w:jc w:val="left"/>
            </w:pPr>
            <w:r>
              <w:t xml:space="preserve">Pre-emption</w:t>
            </w:r>
          </w:p>
        </w:tc>
      </w:tr>
      <w:tr>
        <w:tc>
          <w:p>
            <w:pPr>
              <w:pStyle w:val="Compact"/>
              <w:jc w:val="left"/>
            </w:pPr>
            <w:r>
              <w:t xml:space="preserve">“</w:t>
            </w:r>
            <w:r>
              <w:t xml:space="preserve">It’s a South African tool</w:t>
            </w:r>
            <w:r>
              <w:t xml:space="preserve">”</w:t>
            </w:r>
          </w:p>
        </w:tc>
        <w:tc>
          <w:p>
            <w:pPr>
              <w:pStyle w:val="Compact"/>
              <w:jc w:val="left"/>
            </w:pPr>
            <w:r>
              <w:t xml:space="preserve">All diagnostics are South African; reviewers generalise</w:t>
            </w:r>
          </w:p>
        </w:tc>
        <w:tc>
          <w:p>
            <w:pPr>
              <w:pStyle w:val="Compact"/>
              <w:jc w:val="left"/>
            </w:pPr>
            <w:r>
              <w:t xml:space="preserve">Complete the US pilot early; publish a comparative paper</w:t>
            </w:r>
          </w:p>
        </w:tc>
      </w:tr>
      <w:tr>
        <w:tc>
          <w:p>
            <w:pPr>
              <w:pStyle w:val="Compact"/>
              <w:jc w:val="left"/>
            </w:pPr>
            <w:r>
              <w:t xml:space="preserve">“</w:t>
            </w:r>
            <w:r>
              <w:t xml:space="preserve">It’s a blog-authored framework</w:t>
            </w:r>
            <w:r>
              <w:t xml:space="preserve">”</w:t>
            </w:r>
          </w:p>
        </w:tc>
        <w:tc>
          <w:p>
            <w:pPr>
              <w:pStyle w:val="Compact"/>
              <w:jc w:val="left"/>
            </w:pPr>
            <w:r>
              <w:t xml:space="preserve">No institutional signatory</w:t>
            </w:r>
          </w:p>
        </w:tc>
        <w:tc>
          <w:p>
            <w:pPr>
              <w:pStyle w:val="Compact"/>
              <w:jc w:val="left"/>
            </w:pPr>
            <w:r>
              <w:t xml:space="preserve">Sign the academic MOU; publish with at least one non-Tshepo co-author</w:t>
            </w:r>
          </w:p>
        </w:tc>
      </w:tr>
      <w:tr>
        <w:tc>
          <w:p>
            <w:pPr>
              <w:pStyle w:val="Compact"/>
              <w:jc w:val="left"/>
            </w:pPr>
            <w:r>
              <w:t xml:space="preserve">“</w:t>
            </w:r>
            <w:r>
              <w:t xml:space="preserve">Scores are subjective</w:t>
            </w:r>
            <w:r>
              <w:t xml:space="preserve">”</w:t>
            </w:r>
          </w:p>
        </w:tc>
        <w:tc>
          <w:p>
            <w:pPr>
              <w:pStyle w:val="Compact"/>
              <w:jc w:val="left"/>
            </w:pPr>
            <w:r>
              <w:t xml:space="preserve">Qualitative assignment without documented codebook</w:t>
            </w:r>
          </w:p>
        </w:tc>
        <w:tc>
          <w:p>
            <w:pPr>
              <w:pStyle w:val="Compact"/>
              <w:jc w:val="left"/>
            </w:pPr>
            <w:r>
              <w:t xml:space="preserve">Publish the codebook; demonstrate IRR ≥ 0.7</w:t>
            </w:r>
          </w:p>
        </w:tc>
      </w:tr>
      <w:tr>
        <w:tc>
          <w:p>
            <w:pPr>
              <w:pStyle w:val="Compact"/>
              <w:jc w:val="left"/>
            </w:pPr>
            <w:r>
              <w:t xml:space="preserve">“</w:t>
            </w:r>
            <w:r>
              <w:t xml:space="preserve">It’s not falsifiable</w:t>
            </w:r>
            <w:r>
              <w:t xml:space="preserve">”</w:t>
            </w:r>
          </w:p>
        </w:tc>
        <w:tc>
          <w:p>
            <w:pPr>
              <w:pStyle w:val="Compact"/>
              <w:jc w:val="left"/>
            </w:pPr>
            <w:r>
              <w:t xml:space="preserve">Co-location thesis stated as claim rather than hypothesis</w:t>
            </w:r>
          </w:p>
        </w:tc>
        <w:tc>
          <w:p>
            <w:pPr>
              <w:pStyle w:val="Compact"/>
              <w:jc w:val="left"/>
            </w:pPr>
            <w:r>
              <w:t xml:space="preserve">State the thesis as a falsifiable proposition; pre-register the predictive validation protocol</w:t>
            </w:r>
          </w:p>
        </w:tc>
      </w:tr>
      <w:tr>
        <w:tc>
          <w:p>
            <w:pPr>
              <w:pStyle w:val="Compact"/>
              <w:jc w:val="left"/>
            </w:pPr>
            <w:r>
              <w:t xml:space="preserve">“</w:t>
            </w:r>
            <w:r>
              <w:t xml:space="preserve">It competes with WGI/Mo Ibrahim/V-Dem</w:t>
            </w:r>
            <w:r>
              <w:t xml:space="preserve">”</w:t>
            </w:r>
          </w:p>
        </w:tc>
        <w:tc>
          <w:p>
            <w:pPr>
              <w:pStyle w:val="Compact"/>
              <w:jc w:val="left"/>
            </w:pPr>
            <w:r>
              <w:t xml:space="preserve">Reviewers see substitution rather than complement</w:t>
            </w:r>
          </w:p>
        </w:tc>
        <w:tc>
          <w:p>
            <w:pPr>
              <w:pStyle w:val="Compact"/>
              <w:jc w:val="left"/>
            </w:pPr>
            <w:r>
              <w:t xml:space="preserve">Position RAARICLE™ as measuring</w:t>
            </w:r>
            <w:r>
              <w:t xml:space="preserve"> </w:t>
            </w:r>
            <w:r>
              <w:rPr>
                <w:iCs/>
                <w:i/>
              </w:rPr>
              <w:t xml:space="preserve">design</w:t>
            </w:r>
            <w:r>
              <w:t xml:space="preserve">, not</w:t>
            </w:r>
            <w:r>
              <w:t xml:space="preserve"> </w:t>
            </w:r>
            <w:r>
              <w:rPr>
                <w:iCs/>
                <w:i/>
              </w:rPr>
              <w:t xml:space="preserve">outcome</w:t>
            </w:r>
            <w:r>
              <w:t xml:space="preserve">; cite and build on the existing indices rather than dismissing them</w:t>
            </w:r>
          </w:p>
        </w:tc>
      </w:tr>
      <w:tr>
        <w:tc>
          <w:p>
            <w:pPr>
              <w:pStyle w:val="Compact"/>
              <w:jc w:val="left"/>
            </w:pPr>
            <w:r>
              <w:t xml:space="preserve">“</w:t>
            </w:r>
            <w:r>
              <w:t xml:space="preserve">It’s a commercial tool dressed as research</w:t>
            </w:r>
            <w:r>
              <w:t xml:space="preserve">”</w:t>
            </w:r>
          </w:p>
        </w:tc>
        <w:tc>
          <w:p>
            <w:pPr>
              <w:pStyle w:val="Compact"/>
              <w:jc w:val="left"/>
            </w:pPr>
            <w:r>
              <w:t xml:space="preserve">Paid diagnostics may bias findings</w:t>
            </w:r>
          </w:p>
        </w:tc>
        <w:tc>
          <w:p>
            <w:pPr>
              <w:pStyle w:val="Compact"/>
              <w:jc w:val="left"/>
            </w:pPr>
            <w:r>
              <w:t xml:space="preserve">Publish the funding policy; insulate validation research from client engagements; pre-register findings</w:t>
            </w:r>
          </w:p>
        </w:tc>
      </w:tr>
      <w:tr>
        <w:tc>
          <w:p>
            <w:pPr>
              <w:pStyle w:val="Compact"/>
              <w:jc w:val="left"/>
            </w:pPr>
            <w:r>
              <w:t xml:space="preserve">“</w:t>
            </w:r>
            <w:r>
              <w:t xml:space="preserve">It oversimplifies political reality</w:t>
            </w:r>
            <w:r>
              <w:t xml:space="preserve">”</w:t>
            </w:r>
          </w:p>
        </w:tc>
        <w:tc>
          <w:p>
            <w:pPr>
              <w:pStyle w:val="Compact"/>
              <w:jc w:val="left"/>
            </w:pPr>
            <w:r>
              <w:t xml:space="preserve">Eight elements reduce rich political dynamics to a scoreable grid</w:t>
            </w:r>
          </w:p>
        </w:tc>
        <w:tc>
          <w:p>
            <w:pPr>
              <w:pStyle w:val="Compact"/>
              <w:jc w:val="left"/>
            </w:pPr>
            <w:r>
              <w:t xml:space="preserve">Acknowledge the reduction explicitly in every paper; treat the framework as a diagnostic heuristic, not a complete theory of politics</w:t>
            </w:r>
          </w:p>
        </w:tc>
      </w:tr>
      <w:tr>
        <w:tc>
          <w:p>
            <w:pPr>
              <w:pStyle w:val="Compact"/>
              <w:jc w:val="left"/>
            </w:pPr>
            <w:r>
              <w:t xml:space="preserve">“</w:t>
            </w:r>
            <w:r>
              <w:t xml:space="preserve">It will be captured by its clients</w:t>
            </w:r>
            <w:r>
              <w:t xml:space="preserve">”</w:t>
            </w:r>
          </w:p>
        </w:tc>
        <w:tc>
          <w:p>
            <w:pPr>
              <w:pStyle w:val="Compact"/>
              <w:jc w:val="left"/>
            </w:pPr>
            <w:r>
              <w:t xml:space="preserve">Multilateral engagements create pressure to soften findings</w:t>
            </w:r>
          </w:p>
        </w:tc>
        <w:tc>
          <w:p>
            <w:pPr>
              <w:pStyle w:val="Compact"/>
              <w:jc w:val="left"/>
            </w:pPr>
            <w:r>
              <w:t xml:space="preserve">Establish the advisory board and stewardship entity; publish diagnostics even when unwelcome to clients</w:t>
            </w:r>
          </w:p>
        </w:tc>
      </w:tr>
    </w:tbl>
    <w:p>
      <w:r>
        <w:pict>
          <v:rect style="width:0;height:1.5pt" o:hralign="center" o:hrstd="t" o:hr="t"/>
        </w:pict>
      </w:r>
    </w:p>
    <w:bookmarkEnd w:id="59"/>
    <w:bookmarkStart w:id="69" w:name="Xaf3becf6d295a7af21deacfe28c31c6c3c8715f"/>
    <w:p>
      <w:pPr>
        <w:pStyle w:val="Heading2"/>
      </w:pPr>
      <w:r>
        <w:t xml:space="preserve">9. Appendix C — Developing This Work into a Masters or PhD Thesis in Institutional Design and Governance</w:t>
      </w:r>
    </w:p>
    <w:p>
      <w:pPr>
        <w:pStyle w:val="FirstParagraph"/>
      </w:pPr>
      <w:r>
        <w:t xml:space="preserve">The credibility programme described in this document has an underappreciated secondary property: it is structured almost exactly as a research degree. The theoretical foundation is a literature review and conceptual paper; the measurement infrastructure is a methods chapter; the validation architecture is an empirical chapter or set of chapters; the comparative international application is a cross-case analysis. Converting the RAARICLE™ programme into a Masters or PhD thesis therefore does double duty: it advances the framework’s credibility and it earns a formal academic credential that itself resolves the provenance gap identified in Section 2.</w:t>
      </w:r>
    </w:p>
    <w:p>
      <w:pPr>
        <w:pStyle w:val="BodyText"/>
      </w:pPr>
      <w:r>
        <w:t xml:space="preserve">This appendix specifies how that conversion would work, at both Masters and doctoral levels.</w:t>
      </w:r>
    </w:p>
    <w:bookmarkStart w:id="60" w:name="Xebf3f7422b97f24ea0c7c95bfc13f116abd06ba"/>
    <w:p>
      <w:pPr>
        <w:pStyle w:val="Heading3"/>
      </w:pPr>
      <w:r>
        <w:t xml:space="preserve">C.1 Fit With the Existing Academic Literature</w:t>
      </w:r>
    </w:p>
    <w:p>
      <w:pPr>
        <w:pStyle w:val="FirstParagraph"/>
      </w:pPr>
      <w:r>
        <w:t xml:space="preserve">The research programme sits at the intersection of four established literatures, each of which provides the prior art a thesis must engage.</w:t>
      </w:r>
    </w:p>
    <w:tbl>
      <w:tblPr>
        <w:tblStyle w:val="Table"/>
        <w:tblW w:type="pct" w:w="5000.0"/>
        <w:tblLook w:firstRow="1" w:lastRow="0" w:firstColumn="0" w:lastColumn="0" w:noHBand="0" w:noVBand="0" w:val="0020"/>
      </w:tblPr>
      <w:tblGrid>
        <w:gridCol w:w="1558"/>
        <w:gridCol w:w="2986"/>
        <w:gridCol w:w="3375"/>
      </w:tblGrid>
      <w:tr>
        <w:tc>
          <w:p>
            <w:pPr>
              <w:pStyle w:val="Compact"/>
              <w:jc w:val="left"/>
            </w:pPr>
            <w:r>
              <w:t xml:space="preserve">Literature</w:t>
            </w:r>
          </w:p>
        </w:tc>
        <w:tc>
          <w:p>
            <w:pPr>
              <w:pStyle w:val="Compact"/>
              <w:jc w:val="left"/>
            </w:pPr>
            <w:r>
              <w:t xml:space="preserve">Key scholars and works</w:t>
            </w:r>
          </w:p>
        </w:tc>
        <w:tc>
          <w:p>
            <w:pPr>
              <w:pStyle w:val="Compact"/>
              <w:jc w:val="left"/>
            </w:pPr>
            <w:r>
              <w:t xml:space="preserve">RAARICLE™’s contribution</w:t>
            </w:r>
          </w:p>
        </w:tc>
      </w:tr>
      <w:tr>
        <w:tc>
          <w:p>
            <w:pPr>
              <w:pStyle w:val="Compact"/>
              <w:jc w:val="left"/>
            </w:pPr>
            <w:r>
              <w:t xml:space="preserve">Institutional analysis and development</w:t>
            </w:r>
          </w:p>
        </w:tc>
        <w:tc>
          <w:p>
            <w:pPr>
              <w:pStyle w:val="Compact"/>
              <w:jc w:val="left"/>
            </w:pPr>
            <w:r>
              <w:t xml:space="preserve">Elinor Ostrom (Governing the Commons; IAD Framework); Douglass North (Institutions, Institutional Change and Economic Performance); Acemoglu &amp; Robinson (Why Nations Fail)</w:t>
            </w:r>
          </w:p>
        </w:tc>
        <w:tc>
          <w:p>
            <w:pPr>
              <w:pStyle w:val="Compact"/>
              <w:jc w:val="left"/>
            </w:pPr>
            <w:r>
              <w:t xml:space="preserve">A sub-national, function-level operationalisation of institutional design that IAD describes at the commons level and North/Acemoglu describe at the national level</w:t>
            </w:r>
          </w:p>
        </w:tc>
      </w:tr>
      <w:tr>
        <w:tc>
          <w:p>
            <w:pPr>
              <w:pStyle w:val="Compact"/>
              <w:jc w:val="left"/>
            </w:pPr>
            <w:r>
              <w:t xml:space="preserve">State capacity and public-sector reform</w:t>
            </w:r>
          </w:p>
        </w:tc>
        <w:tc>
          <w:p>
            <w:pPr>
              <w:pStyle w:val="Compact"/>
              <w:jc w:val="left"/>
            </w:pPr>
            <w:r>
              <w:t xml:space="preserve">Francis Fukuyama (State-Building; Political Order); Matt Andrews, Lant Pritchett &amp; Michael Woolcock (Building State Capability, PDIA); Sue Unsworth (political settlements)</w:t>
            </w:r>
          </w:p>
        </w:tc>
        <w:tc>
          <w:p>
            <w:pPr>
              <w:pStyle w:val="Compact"/>
              <w:jc w:val="left"/>
            </w:pPr>
            <w:r>
              <w:t xml:space="preserve">A design-side diagnostic that complements PDIA’s problem-driven adaptation by identifying</w:t>
            </w:r>
            <w:r>
              <w:t xml:space="preserve"> </w:t>
            </w:r>
            <w:r>
              <w:rPr>
                <w:iCs/>
                <w:i/>
              </w:rPr>
              <w:t xml:space="preserve">which</w:t>
            </w:r>
            <w:r>
              <w:t xml:space="preserve"> </w:t>
            </w:r>
            <w:r>
              <w:t xml:space="preserve">structural misalignment produces the problem</w:t>
            </w:r>
          </w:p>
        </w:tc>
      </w:tr>
      <w:tr>
        <w:tc>
          <w:p>
            <w:pPr>
              <w:pStyle w:val="Compact"/>
              <w:jc w:val="left"/>
            </w:pPr>
            <w:r>
              <w:t xml:space="preserve">Measurement of governance</w:t>
            </w:r>
          </w:p>
        </w:tc>
        <w:tc>
          <w:p>
            <w:pPr>
              <w:pStyle w:val="Compact"/>
              <w:jc w:val="left"/>
            </w:pPr>
            <w:r>
              <w:t xml:space="preserve">Kaufmann, Kraay &amp; Mastruzzi (World Governance Indicators); V-Dem methodology papers (Coppedge et al.); Marcus Melo &amp; Carlos Pereira (Making Brazil Work)</w:t>
            </w:r>
          </w:p>
        </w:tc>
        <w:tc>
          <w:p>
            <w:pPr>
              <w:pStyle w:val="Compact"/>
              <w:jc w:val="left"/>
            </w:pPr>
            <w:r>
              <w:t xml:space="preserve">A shift from perception-based and outcome-based measurement to design-based measurement with observable indicators</w:t>
            </w:r>
          </w:p>
        </w:tc>
      </w:tr>
      <w:tr>
        <w:tc>
          <w:p>
            <w:pPr>
              <w:pStyle w:val="Compact"/>
              <w:jc w:val="left"/>
            </w:pPr>
            <w:r>
              <w:t xml:space="preserve">Federalism and multi-level governance</w:t>
            </w:r>
          </w:p>
        </w:tc>
        <w:tc>
          <w:p>
            <w:pPr>
              <w:pStyle w:val="Compact"/>
              <w:jc w:val="left"/>
            </w:pPr>
            <w:r>
              <w:t xml:space="preserve">Daniel Elazar (American Federalism); Jonathan Rodden (Hamilton’s Paradox); Ronald Watts (Comparing Federal Systems); Alberto Diaz-Cayeros (Federalism, Fiscal Authority and Centralization)</w:t>
            </w:r>
          </w:p>
        </w:tc>
        <w:tc>
          <w:p>
            <w:pPr>
              <w:pStyle w:val="Compact"/>
              <w:jc w:val="left"/>
            </w:pPr>
            <w:r>
              <w:t xml:space="preserve">A diagnostic that makes inter-sphere misalignment observable and scoreable rather than narratively described</w:t>
            </w:r>
          </w:p>
        </w:tc>
      </w:tr>
    </w:tbl>
    <w:p>
      <w:pPr>
        <w:pStyle w:val="BodyText"/>
      </w:pPr>
      <w:r>
        <w:t xml:space="preserve">A thesis must position RAARICLE™ explicitly against each of these literatures — not merely cite them. The argument should be that the co-location thesis is a</w:t>
      </w:r>
      <w:r>
        <w:t xml:space="preserve"> </w:t>
      </w:r>
      <w:r>
        <w:rPr>
          <w:iCs/>
          <w:i/>
        </w:rPr>
        <w:t xml:space="preserve">bridge construct</w:t>
      </w:r>
      <w:r>
        <w:t xml:space="preserve">: it connects the macro institutionalism of North/Acemoglu to the commons-level granularity of Ostrom, at the meso level of the public function, which is the level at which service delivery actually succeeds or fails.</w:t>
      </w:r>
    </w:p>
    <w:bookmarkEnd w:id="60"/>
    <w:bookmarkStart w:id="61" w:name="c.2-masters-thesis-three-viable-scopes"/>
    <w:p>
      <w:pPr>
        <w:pStyle w:val="Heading3"/>
      </w:pPr>
      <w:r>
        <w:t xml:space="preserve">C.2 Masters Thesis — Three Viable Scopes</w:t>
      </w:r>
    </w:p>
    <w:p>
      <w:pPr>
        <w:pStyle w:val="FirstParagraph"/>
      </w:pPr>
      <w:r>
        <w:t xml:space="preserve">A Masters thesis is typically 20,000–40,000 words, defended in 12–24 months, and must demonstrate original analysis rather than original theory. Three scopes are viable; each is sufficient on its own and should not be combined.</w:t>
      </w:r>
    </w:p>
    <w:p>
      <w:pPr>
        <w:pStyle w:val="BodyText"/>
      </w:pPr>
      <w:r>
        <w:rPr>
          <w:bCs/>
          <w:b/>
        </w:rPr>
        <w:t xml:space="preserve">Scope M1 — Inter-rater reliability study for one function.</w:t>
      </w:r>
      <w:r>
        <w:t xml:space="preserve"> </w:t>
      </w:r>
      <w:r>
        <w:t xml:space="preserve">Apply the water-services indicator library to 10 South African municipalities with two independent coders. Compute Cohen’s kappa and intraclass correlation. Diagnose codebook ambiguities. Produce a revised codebook v2 with test-retest data. Contribution: the first empirical demonstration that RAARICLE™ can be applied reproducibly. Methods: psychometrics; content analysis; structured expert interviews to resolve ambiguities. This is the</w:t>
      </w:r>
      <w:r>
        <w:t xml:space="preserve"> </w:t>
      </w:r>
      <w:r>
        <w:rPr>
          <w:bCs/>
          <w:b/>
        </w:rPr>
        <w:t xml:space="preserve">lowest-risk, highest-yield</w:t>
      </w:r>
      <w:r>
        <w:t xml:space="preserve"> </w:t>
      </w:r>
      <w:r>
        <w:t xml:space="preserve">Masters scope because it directly produces Pillar B and D.2 deliverables.</w:t>
      </w:r>
    </w:p>
    <w:p>
      <w:pPr>
        <w:pStyle w:val="BodyText"/>
      </w:pPr>
      <w:r>
        <w:rPr>
          <w:bCs/>
          <w:b/>
        </w:rPr>
        <w:t xml:space="preserve">Scope M2 — Comparative case study of two municipalities.</w:t>
      </w:r>
      <w:r>
        <w:t xml:space="preserve"> </w:t>
      </w:r>
      <w:r>
        <w:t xml:space="preserve">Select a matched pair (one chronically failing, one comparable peer that performs better) and apply the full ten-phase RAARICLE™ protocol to each. Use process tracing to identify the structural differences that produce the outcome divergence. Contribution: a theory-building case comparison that tests whether the co-location thesis holds in observed variation. Methods: qualitative comparative analysis (Ragin); Bayesian process tracing (Bennett &amp; Checkel); document analysis; elite interviews. This scope suits a candidate with qualitative methods strength and institutional access to at least one municipality.</w:t>
      </w:r>
    </w:p>
    <w:p>
      <w:pPr>
        <w:pStyle w:val="BodyText"/>
      </w:pPr>
      <w:r>
        <w:rPr>
          <w:bCs/>
          <w:b/>
        </w:rPr>
        <w:t xml:space="preserve">Scope M3 — Theoretical positioning paper.</w:t>
      </w:r>
      <w:r>
        <w:t xml:space="preserve"> </w:t>
      </w:r>
      <w:r>
        <w:t xml:space="preserve">A review and critique chapter that positions RAARICLE™ against WGI, V-Dem, Mo Ibrahim, CPIA, PEFA and the PDIA research programme, arguing the conceptual space that a design-based meso-level framework occupies. Contribution: clarifies the framework’s theoretical novelty and sharpens its falsifiability claims. Methods: systematic literature review; conceptual analysis. This is the</w:t>
      </w:r>
      <w:r>
        <w:t xml:space="preserve"> </w:t>
      </w:r>
      <w:r>
        <w:rPr>
          <w:bCs/>
          <w:b/>
        </w:rPr>
        <w:t xml:space="preserve">lowest-resource, most-portable</w:t>
      </w:r>
      <w:r>
        <w:t xml:space="preserve"> </w:t>
      </w:r>
      <w:r>
        <w:t xml:space="preserve">scope but produces the thinnest empirical contribution. Appropriate where access to empirical data is constrained or the candidate’s programme privileges conceptual work.</w:t>
      </w:r>
    </w:p>
    <w:p>
      <w:pPr>
        <w:pStyle w:val="BodyText"/>
      </w:pPr>
      <w:r>
        <w:t xml:space="preserve">Across all three scopes, the RAARICLE™ framework becomes the thesis’s</w:t>
      </w:r>
      <w:r>
        <w:t xml:space="preserve"> </w:t>
      </w:r>
      <w:r>
        <w:rPr>
          <w:iCs/>
          <w:i/>
        </w:rPr>
        <w:t xml:space="preserve">object</w:t>
      </w:r>
      <w:r>
        <w:t xml:space="preserve"> </w:t>
      </w:r>
      <w:r>
        <w:t xml:space="preserve">of analysis, not merely its tool. This framing is important: a Masters examiner will not accept a thesis that applies a framework uncritically. The candidate must be willing to say, in defence, where the framework is weakest and what the thesis has not resolved.</w:t>
      </w:r>
    </w:p>
    <w:bookmarkEnd w:id="61"/>
    <w:bookmarkStart w:id="62" w:name="c.3-phd-thesis-the-three-paper-format"/>
    <w:p>
      <w:pPr>
        <w:pStyle w:val="Heading3"/>
      </w:pPr>
      <w:r>
        <w:t xml:space="preserve">C.3 PhD Thesis — The Three-Paper Format</w:t>
      </w:r>
    </w:p>
    <w:p>
      <w:pPr>
        <w:pStyle w:val="FirstParagraph"/>
      </w:pPr>
      <w:r>
        <w:t xml:space="preserve">A PhD in public policy, political science or development studies is now commonly structured as three journal-ready papers plus a framing introduction and conclusion (the</w:t>
      </w:r>
      <w:r>
        <w:t xml:space="preserve"> </w:t>
      </w:r>
      <w:r>
        <w:t xml:space="preserve">“</w:t>
      </w:r>
      <w:r>
        <w:t xml:space="preserve">three-paper</w:t>
      </w:r>
      <w:r>
        <w:t xml:space="preserve">”</w:t>
      </w:r>
      <w:r>
        <w:t xml:space="preserve"> </w:t>
      </w:r>
      <w:r>
        <w:t xml:space="preserve">or</w:t>
      </w:r>
      <w:r>
        <w:t xml:space="preserve"> </w:t>
      </w:r>
      <w:r>
        <w:t xml:space="preserve">“</w:t>
      </w:r>
      <w:r>
        <w:t xml:space="preserve">sandwich</w:t>
      </w:r>
      <w:r>
        <w:t xml:space="preserve">”</w:t>
      </w:r>
      <w:r>
        <w:t xml:space="preserve"> </w:t>
      </w:r>
      <w:r>
        <w:t xml:space="preserve">thesis), typically 80,000–100,000 words, defended in 3–5 years. The RAARICLE™ research programme maps naturally onto this format.</w:t>
      </w:r>
    </w:p>
    <w:p>
      <w:pPr>
        <w:pStyle w:val="BodyText"/>
      </w:pPr>
      <w:r>
        <w:rPr>
          <w:bCs/>
          <w:b/>
        </w:rPr>
        <w:t xml:space="preserve">Paper 1 — Theoretical contribution:</w:t>
      </w:r>
      <w:r>
        <w:rPr>
          <w:bCs/>
          <w:b/>
        </w:rPr>
        <w:t xml:space="preserve"> </w:t>
      </w:r>
      <w:r>
        <w:rPr>
          <w:bCs/>
          <w:b/>
        </w:rPr>
        <w:t xml:space="preserve">“</w:t>
      </w:r>
      <w:r>
        <w:rPr>
          <w:bCs/>
          <w:b/>
        </w:rPr>
        <w:t xml:space="preserve">Co-location as an Institutional Design Principle.</w:t>
      </w:r>
      <w:r>
        <w:rPr>
          <w:bCs/>
          <w:b/>
        </w:rPr>
        <w:t xml:space="preserve">”</w:t>
      </w:r>
      <w:r>
        <w:t xml:space="preserve"> </w:t>
      </w:r>
      <w:r>
        <w:t xml:space="preserve">A conceptual paper that formalises the MECE claim and the co-location thesis, derives the eight elements from first principles with reference to Ostromian institutional analysis and Weberian bureaucratic theory, states the co-location thesis as a falsifiable proposition, and positions the framework against the competing literatures. Target venue:</w:t>
      </w:r>
      <w:r>
        <w:t xml:space="preserve"> </w:t>
      </w:r>
      <w:r>
        <w:rPr>
          <w:iCs/>
          <w:i/>
        </w:rPr>
        <w:t xml:space="preserve">Governance</w:t>
      </w:r>
      <w:r>
        <w:t xml:space="preserve"> </w:t>
      </w:r>
      <w:r>
        <w:t xml:space="preserve">or</w:t>
      </w:r>
      <w:r>
        <w:t xml:space="preserve"> </w:t>
      </w:r>
      <w:r>
        <w:rPr>
          <w:iCs/>
          <w:i/>
        </w:rPr>
        <w:t xml:space="preserve">Public Administration Review</w:t>
      </w:r>
      <w:r>
        <w:t xml:space="preserve">. This paper earns the doctoral candidate the right to use RAARICLE™ as their own contribution rather than an imported tool.</w:t>
      </w:r>
    </w:p>
    <w:p>
      <w:pPr>
        <w:pStyle w:val="BodyText"/>
      </w:pPr>
      <w:r>
        <w:rPr>
          <w:bCs/>
          <w:b/>
        </w:rPr>
        <w:t xml:space="preserve">Paper 2 — Measurement contribution:</w:t>
      </w:r>
      <w:r>
        <w:rPr>
          <w:bCs/>
          <w:b/>
        </w:rPr>
        <w:t xml:space="preserve"> </w:t>
      </w:r>
      <w:r>
        <w:rPr>
          <w:bCs/>
          <w:b/>
        </w:rPr>
        <w:t xml:space="preserve">“</w:t>
      </w:r>
      <w:r>
        <w:rPr>
          <w:bCs/>
          <w:b/>
        </w:rPr>
        <w:t xml:space="preserve">Operationalising Institutional Design: An Indicator Library and Reliability Study for Water Services Governance.</w:t>
      </w:r>
      <w:r>
        <w:rPr>
          <w:bCs/>
          <w:b/>
        </w:rPr>
        <w:t xml:space="preserve">”</w:t>
      </w:r>
      <w:r>
        <w:t xml:space="preserve"> </w:t>
      </w:r>
      <w:r>
        <w:t xml:space="preserve">A methods paper that publishes the indicator library, the codebook, the scoring algorithm, and the results of an inter-rater reliability study across 20–30 cases with three independent coders. Reports Cohen’s kappa, intraclass correlation, and codebook stability metrics. Target venue:</w:t>
      </w:r>
      <w:r>
        <w:t xml:space="preserve"> </w:t>
      </w:r>
      <w:r>
        <w:rPr>
          <w:iCs/>
          <w:i/>
        </w:rPr>
        <w:t xml:space="preserve">Journal of Politics</w:t>
      </w:r>
      <w:r>
        <w:t xml:space="preserve"> </w:t>
      </w:r>
      <w:r>
        <w:t xml:space="preserve">Methods section,</w:t>
      </w:r>
      <w:r>
        <w:t xml:space="preserve"> </w:t>
      </w:r>
      <w:r>
        <w:rPr>
          <w:iCs/>
          <w:i/>
        </w:rPr>
        <w:t xml:space="preserve">Political Analysis</w:t>
      </w:r>
      <w:r>
        <w:t xml:space="preserve">, or</w:t>
      </w:r>
      <w:r>
        <w:t xml:space="preserve"> </w:t>
      </w:r>
      <w:r>
        <w:rPr>
          <w:iCs/>
          <w:i/>
        </w:rPr>
        <w:t xml:space="preserve">Public Administration Review</w:t>
      </w:r>
      <w:r>
        <w:t xml:space="preserve">. This paper earns the right to the claim that RAARICLE™ is measurable, not merely theoretical.</w:t>
      </w:r>
    </w:p>
    <w:p>
      <w:pPr>
        <w:pStyle w:val="BodyText"/>
      </w:pPr>
      <w:r>
        <w:rPr>
          <w:bCs/>
          <w:b/>
        </w:rPr>
        <w:t xml:space="preserve">Paper 3 — Empirical contribution (one of two options).</w:t>
      </w:r>
    </w:p>
    <w:p>
      <w:pPr>
        <w:numPr>
          <w:ilvl w:val="0"/>
          <w:numId w:val="1017"/>
        </w:numPr>
      </w:pPr>
      <w:r>
        <w:rPr>
          <w:bCs/>
          <w:b/>
        </w:rPr>
        <w:t xml:space="preserve">Option 3A — Predictive validity paper.</w:t>
      </w:r>
      <w:r>
        <w:t xml:space="preserve"> </w:t>
      </w:r>
      <w:r>
        <w:t xml:space="preserve">Score 50–100 municipalities on a single function at time T, then track observable outcomes (audit results, service delivery indicators, fiscal distress) at time T+2. Test whether RAARICLE™ element scores predict outcomes better than financial viability ratios and prior audit outcomes. Pre-register the prediction protocol on OSF. Target venue:</w:t>
      </w:r>
      <w:r>
        <w:t xml:space="preserve"> </w:t>
      </w:r>
      <w:r>
        <w:rPr>
          <w:iCs/>
          <w:i/>
        </w:rPr>
        <w:t xml:space="preserve">Journal of Development Economics</w:t>
      </w:r>
      <w:r>
        <w:t xml:space="preserve">,</w:t>
      </w:r>
      <w:r>
        <w:t xml:space="preserve"> </w:t>
      </w:r>
      <w:r>
        <w:rPr>
          <w:iCs/>
          <w:i/>
        </w:rPr>
        <w:t xml:space="preserve">World Development</w:t>
      </w:r>
      <w:r>
        <w:t xml:space="preserve">, or</w:t>
      </w:r>
      <w:r>
        <w:t xml:space="preserve"> </w:t>
      </w:r>
      <w:r>
        <w:rPr>
          <w:iCs/>
          <w:i/>
        </w:rPr>
        <w:t xml:space="preserve">American Journal of Political Science</w:t>
      </w:r>
      <w:r>
        <w:t xml:space="preserve">.</w:t>
      </w:r>
    </w:p>
    <w:p>
      <w:pPr>
        <w:numPr>
          <w:ilvl w:val="0"/>
          <w:numId w:val="1017"/>
        </w:numPr>
      </w:pPr>
      <w:r>
        <w:rPr>
          <w:bCs/>
          <w:b/>
        </w:rPr>
        <w:t xml:space="preserve">Option 3B — Cross-jurisdictional comparative paper.</w:t>
      </w:r>
      <w:r>
        <w:t xml:space="preserve"> </w:t>
      </w:r>
      <w:r>
        <w:t xml:space="preserve">Apply the framework to one function (e.g. drinking water utility regulation) across two or three jurisdictions with different constitutional architectures — South Africa, one other African case, and one US state or OECD comparator. Test whether the framework’s categories travel, document the indicator translation exercise, and produce a comparative diagnostic matrix. Target venue:</w:t>
      </w:r>
      <w:r>
        <w:t xml:space="preserve"> </w:t>
      </w:r>
      <w:r>
        <w:rPr>
          <w:iCs/>
          <w:i/>
        </w:rPr>
        <w:t xml:space="preserve">Governance</w:t>
      </w:r>
      <w:r>
        <w:t xml:space="preserve">,</w:t>
      </w:r>
      <w:r>
        <w:t xml:space="preserve"> </w:t>
      </w:r>
      <w:r>
        <w:rPr>
          <w:iCs/>
          <w:i/>
        </w:rPr>
        <w:t xml:space="preserve">Publius: The Journal of Federalism</w:t>
      </w:r>
      <w:r>
        <w:t xml:space="preserve">, or</w:t>
      </w:r>
      <w:r>
        <w:t xml:space="preserve"> </w:t>
      </w:r>
      <w:r>
        <w:rPr>
          <w:iCs/>
          <w:i/>
        </w:rPr>
        <w:t xml:space="preserve">Regulation &amp; Governance</w:t>
      </w:r>
      <w:r>
        <w:t xml:space="preserve">.</w:t>
      </w:r>
    </w:p>
    <w:p>
      <w:pPr>
        <w:pStyle w:val="FirstParagraph"/>
      </w:pPr>
      <w:r>
        <w:t xml:space="preserve">Option 3A offers stronger causal-inference payoff and is more publishable in economics-leaning journals. Option 3B offers broader geographic reach and positions the candidate for multilateral-track careers. A candidate choosing Option 3B implicitly commits to the US/international adaptation work described in Part III of this document.</w:t>
      </w:r>
    </w:p>
    <w:p>
      <w:pPr>
        <w:pStyle w:val="BodyText"/>
      </w:pPr>
      <w:r>
        <w:rPr>
          <w:bCs/>
          <w:b/>
        </w:rPr>
        <w:t xml:space="preserve">Framing chapters.</w:t>
      </w:r>
      <w:r>
        <w:t xml:space="preserve"> </w:t>
      </w:r>
      <w:r>
        <w:t xml:space="preserve">The introduction situates the three papers in the combined research question —</w:t>
      </w:r>
      <w:r>
        <w:t xml:space="preserve"> </w:t>
      </w:r>
      <w:r>
        <w:rPr>
          <w:iCs/>
          <w:i/>
        </w:rPr>
        <w:t xml:space="preserve">“</w:t>
      </w:r>
      <w:r>
        <w:rPr>
          <w:iCs/>
          <w:i/>
        </w:rPr>
        <w:t xml:space="preserve">under what conditions does institutional design explain public-function performance, and can design be measured, travelled, and reformed?</w:t>
      </w:r>
      <w:r>
        <w:rPr>
          <w:iCs/>
          <w:i/>
        </w:rPr>
        <w:t xml:space="preserve">”</w:t>
      </w:r>
      <w:r>
        <w:t xml:space="preserve"> </w:t>
      </w:r>
      <w:r>
        <w:t xml:space="preserve">— and the conclusion synthesises findings into an integrated argument about design-based governance assessment, identifying the remaining research frontier.</w:t>
      </w:r>
    </w:p>
    <w:bookmarkEnd w:id="62"/>
    <w:bookmarkStart w:id="63" w:name="X6e7f8b25a98772f8d7dcf12bae873f539a342ed"/>
    <w:p>
      <w:pPr>
        <w:pStyle w:val="Heading3"/>
      </w:pPr>
      <w:r>
        <w:t xml:space="preserve">C.4 Candidate Institutions and Supervisors</w:t>
      </w:r>
    </w:p>
    <w:p>
      <w:pPr>
        <w:pStyle w:val="FirstParagraph"/>
      </w:pPr>
      <w:r>
        <w:t xml:space="preserve">The choice of institution matters disproportionately for a thesis on institutional design. Four categories of programme are well-matched to this research; the candidate should target at least one in each category when applying.</w:t>
      </w:r>
    </w:p>
    <w:p>
      <w:pPr>
        <w:pStyle w:val="BodyText"/>
      </w:pPr>
      <w:r>
        <w:rPr>
          <w:bCs/>
          <w:b/>
        </w:rPr>
        <w:t xml:space="preserve">South African institutions (strong local access, lower cost, important for home-country credibility):</w:t>
      </w:r>
    </w:p>
    <w:p>
      <w:pPr>
        <w:numPr>
          <w:ilvl w:val="0"/>
          <w:numId w:val="1018"/>
        </w:numPr>
        <w:pStyle w:val="Compact"/>
      </w:pPr>
      <w:r>
        <w:rPr>
          <w:bCs/>
          <w:b/>
        </w:rPr>
        <w:t xml:space="preserve">Wits School of Governance (PhD in Governance)</w:t>
      </w:r>
      <w:r>
        <w:t xml:space="preserve"> </w:t>
      </w:r>
      <w:r>
        <w:t xml:space="preserve">— Alex van den Heever on social policy governance; Ivor Chipkin on state capture and institutional failure. Strong empirical access and a doctoral cohort focused on South African governance problems.</w:t>
      </w:r>
    </w:p>
    <w:p>
      <w:pPr>
        <w:numPr>
          <w:ilvl w:val="0"/>
          <w:numId w:val="1018"/>
        </w:numPr>
        <w:pStyle w:val="Compact"/>
      </w:pPr>
      <w:r>
        <w:rPr>
          <w:bCs/>
          <w:b/>
        </w:rPr>
        <w:t xml:space="preserve">University of Cape Town, Graduate School of Development Policy and Practice</w:t>
      </w:r>
      <w:r>
        <w:t xml:space="preserve"> </w:t>
      </w:r>
      <w:r>
        <w:t xml:space="preserve">— Anthony Black, Brian Levy (also affiliated with Johns Hopkins SAIS) on governance reform; close fit with the political-settlements literature.</w:t>
      </w:r>
    </w:p>
    <w:p>
      <w:pPr>
        <w:numPr>
          <w:ilvl w:val="0"/>
          <w:numId w:val="1018"/>
        </w:numPr>
        <w:pStyle w:val="Compact"/>
      </w:pPr>
      <w:r>
        <w:rPr>
          <w:bCs/>
          <w:b/>
        </w:rPr>
        <w:t xml:space="preserve">Stellenbosch School of Public Leadership</w:t>
      </w:r>
      <w:r>
        <w:t xml:space="preserve"> </w:t>
      </w:r>
      <w:r>
        <w:t xml:space="preserve">— Erwin Schwella historically; strong in public-sector governance and ethics.</w:t>
      </w:r>
    </w:p>
    <w:p>
      <w:pPr>
        <w:pStyle w:val="FirstParagraph"/>
      </w:pPr>
      <w:r>
        <w:rPr>
          <w:bCs/>
          <w:b/>
        </w:rPr>
        <w:t xml:space="preserve">United Kingdom (strong methodological training, international reach):</w:t>
      </w:r>
    </w:p>
    <w:p>
      <w:pPr>
        <w:numPr>
          <w:ilvl w:val="0"/>
          <w:numId w:val="1019"/>
        </w:numPr>
        <w:pStyle w:val="Compact"/>
      </w:pPr>
      <w:r>
        <w:rPr>
          <w:bCs/>
          <w:b/>
        </w:rPr>
        <w:t xml:space="preserve">Oxford, Blavatnik School of Government (DPhil in Public Policy)</w:t>
      </w:r>
      <w:r>
        <w:t xml:space="preserve"> </w:t>
      </w:r>
      <w:r>
        <w:t xml:space="preserve">— Ngaire Woods on multilateral governance; Thomas Elston on administrative reform. Close to Building State Capability ideas; strong publication culture.</w:t>
      </w:r>
    </w:p>
    <w:p>
      <w:pPr>
        <w:numPr>
          <w:ilvl w:val="0"/>
          <w:numId w:val="1019"/>
        </w:numPr>
        <w:pStyle w:val="Compact"/>
      </w:pPr>
      <w:r>
        <w:rPr>
          <w:bCs/>
          <w:b/>
        </w:rPr>
        <w:t xml:space="preserve">LSE, Department of International Development (PhD)</w:t>
      </w:r>
      <w:r>
        <w:t xml:space="preserve"> </w:t>
      </w:r>
      <w:r>
        <w:t xml:space="preserve">— Tim Allen, Stuart Corbridge historically on state capacity in developing countries; strong on the politics of public-sector reform.</w:t>
      </w:r>
    </w:p>
    <w:p>
      <w:pPr>
        <w:numPr>
          <w:ilvl w:val="0"/>
          <w:numId w:val="1019"/>
        </w:numPr>
        <w:pStyle w:val="Compact"/>
      </w:pPr>
      <w:r>
        <w:rPr>
          <w:bCs/>
          <w:b/>
        </w:rPr>
        <w:t xml:space="preserve">University of Manchester, Global Development Institute</w:t>
      </w:r>
      <w:r>
        <w:t xml:space="preserve"> </w:t>
      </w:r>
      <w:r>
        <w:t xml:space="preserve">— David Hulme and colleagues on effective states and inclusive development.</w:t>
      </w:r>
    </w:p>
    <w:p>
      <w:pPr>
        <w:pStyle w:val="FirstParagraph"/>
      </w:pPr>
      <w:r>
        <w:rPr>
          <w:bCs/>
          <w:b/>
        </w:rPr>
        <w:t xml:space="preserve">United States (strong for cross-jurisdictional work and measurement):</w:t>
      </w:r>
    </w:p>
    <w:p>
      <w:pPr>
        <w:numPr>
          <w:ilvl w:val="0"/>
          <w:numId w:val="1020"/>
        </w:numPr>
        <w:pStyle w:val="Compact"/>
      </w:pPr>
      <w:r>
        <w:rPr>
          <w:bCs/>
          <w:b/>
        </w:rPr>
        <w:t xml:space="preserve">Harvard Kennedy School, PhD in Public Policy</w:t>
      </w:r>
      <w:r>
        <w:t xml:space="preserve"> </w:t>
      </w:r>
      <w:r>
        <w:t xml:space="preserve">— Matt Andrews, Lant Pritchett (now Oxford/LSE affiliated), Michael Woolcock (World Bank) on the Building State Capability programme. This is the single closest theoretical fit globally.</w:t>
      </w:r>
    </w:p>
    <w:p>
      <w:pPr>
        <w:numPr>
          <w:ilvl w:val="0"/>
          <w:numId w:val="1020"/>
        </w:numPr>
        <w:pStyle w:val="Compact"/>
      </w:pPr>
      <w:r>
        <w:rPr>
          <w:bCs/>
          <w:b/>
        </w:rPr>
        <w:t xml:space="preserve">Princeton, School of Public and International Affairs</w:t>
      </w:r>
      <w:r>
        <w:t xml:space="preserve"> </w:t>
      </w:r>
      <w:r>
        <w:t xml:space="preserve">— Jennifer Widner on institutions in Africa; Leonard Wantchekon on political economy of development.</w:t>
      </w:r>
    </w:p>
    <w:p>
      <w:pPr>
        <w:numPr>
          <w:ilvl w:val="0"/>
          <w:numId w:val="1020"/>
        </w:numPr>
        <w:pStyle w:val="Compact"/>
      </w:pPr>
      <w:r>
        <w:rPr>
          <w:bCs/>
          <w:b/>
        </w:rPr>
        <w:t xml:space="preserve">Indiana University, Ostrom Workshop (PhD in Political Science or Public Affairs)</w:t>
      </w:r>
      <w:r>
        <w:t xml:space="preserve"> </w:t>
      </w:r>
      <w:r>
        <w:t xml:space="preserve">— the direct inheritor of Elinor Ostrom’s IAD framework; an unusually precise theoretical fit for RAARICLE™’s institutional-design focus.</w:t>
      </w:r>
    </w:p>
    <w:p>
      <w:pPr>
        <w:numPr>
          <w:ilvl w:val="0"/>
          <w:numId w:val="1020"/>
        </w:numPr>
        <w:pStyle w:val="Compact"/>
      </w:pPr>
      <w:r>
        <w:rPr>
          <w:bCs/>
          <w:b/>
        </w:rPr>
        <w:t xml:space="preserve">Duke, Sanford School of Public Policy</w:t>
      </w:r>
      <w:r>
        <w:t xml:space="preserve"> </w:t>
      </w:r>
      <w:r>
        <w:t xml:space="preserve">— Judith Kelley on international organisations and indicators; strong on governance measurement.</w:t>
      </w:r>
    </w:p>
    <w:p>
      <w:pPr>
        <w:pStyle w:val="FirstParagraph"/>
      </w:pPr>
      <w:r>
        <w:rPr>
          <w:bCs/>
          <w:b/>
        </w:rPr>
        <w:t xml:space="preserve">Continental Europe (strong on comparative governance and federalism):</w:t>
      </w:r>
    </w:p>
    <w:p>
      <w:pPr>
        <w:numPr>
          <w:ilvl w:val="0"/>
          <w:numId w:val="1021"/>
        </w:numPr>
        <w:pStyle w:val="Compact"/>
      </w:pPr>
      <w:r>
        <w:rPr>
          <w:bCs/>
          <w:b/>
        </w:rPr>
        <w:t xml:space="preserve">Hertie School, Berlin (PhD in Governance)</w:t>
      </w:r>
      <w:r>
        <w:t xml:space="preserve"> </w:t>
      </w:r>
      <w:r>
        <w:t xml:space="preserve">— Mark Hallerberg on fiscal governance; Cornelia Woll on the state-market interface.</w:t>
      </w:r>
    </w:p>
    <w:p>
      <w:pPr>
        <w:numPr>
          <w:ilvl w:val="0"/>
          <w:numId w:val="1021"/>
        </w:numPr>
        <w:pStyle w:val="Compact"/>
      </w:pPr>
      <w:r>
        <w:rPr>
          <w:bCs/>
          <w:b/>
        </w:rPr>
        <w:t xml:space="preserve">ETH Zurich, Centre for Development and Cooperation</w:t>
      </w:r>
      <w:r>
        <w:t xml:space="preserve"> </w:t>
      </w:r>
      <w:r>
        <w:t xml:space="preserve">— strong on service delivery in developing-country contexts.</w:t>
      </w:r>
    </w:p>
    <w:p>
      <w:pPr>
        <w:numPr>
          <w:ilvl w:val="0"/>
          <w:numId w:val="1021"/>
        </w:numPr>
        <w:pStyle w:val="Compact"/>
      </w:pPr>
      <w:r>
        <w:rPr>
          <w:bCs/>
          <w:b/>
        </w:rPr>
        <w:t xml:space="preserve">Sciences Po, École de Affaires Publiques</w:t>
      </w:r>
      <w:r>
        <w:t xml:space="preserve"> </w:t>
      </w:r>
      <w:r>
        <w:t xml:space="preserve">— comparative public policy traditions; French-language access to Francophone-Africa cases.</w:t>
      </w:r>
    </w:p>
    <w:p>
      <w:pPr>
        <w:numPr>
          <w:ilvl w:val="0"/>
          <w:numId w:val="1021"/>
        </w:numPr>
        <w:pStyle w:val="Compact"/>
      </w:pPr>
      <w:r>
        <w:rPr>
          <w:bCs/>
          <w:b/>
        </w:rPr>
        <w:t xml:space="preserve">Maastricht School of Governance (UNU-MERIT)</w:t>
      </w:r>
      <w:r>
        <w:t xml:space="preserve"> </w:t>
      </w:r>
      <w:r>
        <w:t xml:space="preserve">— strong on governance indicators and cross-country measurement.</w:t>
      </w:r>
    </w:p>
    <w:p>
      <w:pPr>
        <w:pStyle w:val="FirstParagraph"/>
      </w:pPr>
      <w:r>
        <w:t xml:space="preserve">The candidate should engage at least two potential supervisors in pre-application conversations, sending the methodology working paper as a concrete artefact. Supervisors select candidates partly on intellectual independence; a candidate who arrives with a published working paper and a clear research agenda is materially stronger than one who arrives with only a topic.</w:t>
      </w:r>
    </w:p>
    <w:bookmarkEnd w:id="63"/>
    <w:bookmarkStart w:id="64" w:name="c.5-methodological-toolkit-required"/>
    <w:p>
      <w:pPr>
        <w:pStyle w:val="Heading3"/>
      </w:pPr>
      <w:r>
        <w:t xml:space="preserve">C.5 Methodological Toolkit Required</w:t>
      </w:r>
    </w:p>
    <w:p>
      <w:pPr>
        <w:pStyle w:val="FirstParagraph"/>
      </w:pPr>
      <w:r>
        <w:t xml:space="preserve">A credible thesis requires demonstrable proficiency across several methods. The candidate should build or document competence in each.</w:t>
      </w:r>
    </w:p>
    <w:tbl>
      <w:tblPr>
        <w:tblStyle w:val="Table"/>
        <w:tblW w:type="pct" w:w="5000.0"/>
        <w:tblLook w:firstRow="1" w:lastRow="0" w:firstColumn="0" w:lastColumn="0" w:noHBand="0" w:noVBand="0" w:val="0020"/>
      </w:tblPr>
      <w:tblGrid>
        <w:gridCol w:w="1195"/>
        <w:gridCol w:w="3436"/>
        <w:gridCol w:w="3287"/>
      </w:tblGrid>
      <w:tr>
        <w:tc>
          <w:p>
            <w:pPr>
              <w:pStyle w:val="Compact"/>
              <w:jc w:val="left"/>
            </w:pPr>
            <w:r>
              <w:t xml:space="preserve">Method</w:t>
            </w:r>
          </w:p>
        </w:tc>
        <w:tc>
          <w:p>
            <w:pPr>
              <w:pStyle w:val="Compact"/>
              <w:jc w:val="left"/>
            </w:pPr>
            <w:r>
              <w:t xml:space="preserve">Purpose in the thesis</w:t>
            </w:r>
          </w:p>
        </w:tc>
        <w:tc>
          <w:p>
            <w:pPr>
              <w:pStyle w:val="Compact"/>
              <w:jc w:val="left"/>
            </w:pPr>
            <w:r>
              <w:t xml:space="preserve">Recommended training</w:t>
            </w:r>
          </w:p>
        </w:tc>
      </w:tr>
      <w:tr>
        <w:tc>
          <w:p>
            <w:pPr>
              <w:pStyle w:val="Compact"/>
              <w:jc w:val="left"/>
            </w:pPr>
            <w:r>
              <w:t xml:space="preserve">Systematic literature review</w:t>
            </w:r>
          </w:p>
        </w:tc>
        <w:tc>
          <w:p>
            <w:pPr>
              <w:pStyle w:val="Compact"/>
              <w:jc w:val="left"/>
            </w:pPr>
            <w:r>
              <w:t xml:space="preserve">Position RAARICLE™ against the four parent literatures</w:t>
            </w:r>
          </w:p>
        </w:tc>
        <w:tc>
          <w:p>
            <w:pPr>
              <w:pStyle w:val="Compact"/>
              <w:jc w:val="left"/>
            </w:pPr>
            <w:r>
              <w:t xml:space="preserve">Cochrane or Campbell Collaboration protocols; PRISMA</w:t>
            </w:r>
          </w:p>
        </w:tc>
      </w:tr>
      <w:tr>
        <w:tc>
          <w:p>
            <w:pPr>
              <w:pStyle w:val="Compact"/>
              <w:jc w:val="left"/>
            </w:pPr>
            <w:r>
              <w:t xml:space="preserve">Conceptual analysis and formal definition</w:t>
            </w:r>
          </w:p>
        </w:tc>
        <w:tc>
          <w:p>
            <w:pPr>
              <w:pStyle w:val="Compact"/>
              <w:jc w:val="left"/>
            </w:pPr>
            <w:r>
              <w:t xml:space="preserve">Specify the eight elements with necessary and sufficient conditions</w:t>
            </w:r>
          </w:p>
        </w:tc>
        <w:tc>
          <w:p>
            <w:pPr>
              <w:pStyle w:val="Compact"/>
              <w:jc w:val="left"/>
            </w:pPr>
            <w:r>
              <w:t xml:space="preserve">Gerring’s</w:t>
            </w:r>
            <w:r>
              <w:t xml:space="preserve"> </w:t>
            </w:r>
            <w:r>
              <w:rPr>
                <w:iCs/>
                <w:i/>
              </w:rPr>
              <w:t xml:space="preserve">Concept Formation in the Social Sciences</w:t>
            </w:r>
            <w:r>
              <w:t xml:space="preserve">; Goertz’s</w:t>
            </w:r>
            <w:r>
              <w:t xml:space="preserve"> </w:t>
            </w:r>
            <w:r>
              <w:rPr>
                <w:iCs/>
                <w:i/>
              </w:rPr>
              <w:t xml:space="preserve">Social Science Concepts</w:t>
            </w:r>
          </w:p>
        </w:tc>
      </w:tr>
      <w:tr>
        <w:tc>
          <w:p>
            <w:pPr>
              <w:pStyle w:val="Compact"/>
              <w:jc w:val="left"/>
            </w:pPr>
            <w:r>
              <w:t xml:space="preserve">Content analysis and document coding</w:t>
            </w:r>
          </w:p>
        </w:tc>
        <w:tc>
          <w:p>
            <w:pPr>
              <w:pStyle w:val="Compact"/>
              <w:jc w:val="left"/>
            </w:pPr>
            <w:r>
              <w:t xml:space="preserve">Build and apply the indicator library</w:t>
            </w:r>
          </w:p>
        </w:tc>
        <w:tc>
          <w:p>
            <w:pPr>
              <w:pStyle w:val="Compact"/>
              <w:jc w:val="left"/>
            </w:pPr>
            <w:r>
              <w:t xml:space="preserve">Krippendorff; software: NVivo, ATLAS.ti, or MAXQDA</w:t>
            </w:r>
          </w:p>
        </w:tc>
      </w:tr>
      <w:tr>
        <w:tc>
          <w:p>
            <w:pPr>
              <w:pStyle w:val="Compact"/>
              <w:jc w:val="left"/>
            </w:pPr>
            <w:r>
              <w:t xml:space="preserve">Inter-rater reliability statistics</w:t>
            </w:r>
          </w:p>
        </w:tc>
        <w:tc>
          <w:p>
            <w:pPr>
              <w:pStyle w:val="Compact"/>
              <w:jc w:val="left"/>
            </w:pPr>
            <w:r>
              <w:t xml:space="preserve">Demonstrate reproducibility</w:t>
            </w:r>
          </w:p>
        </w:tc>
        <w:tc>
          <w:p>
            <w:pPr>
              <w:pStyle w:val="Compact"/>
              <w:jc w:val="left"/>
            </w:pPr>
            <w:r>
              <w:t xml:space="preserve">Cohen’s kappa, Krippendorff’s alpha, ICC; Hallgren (2012) tutorial; software: R (</w:t>
            </w:r>
            <w:r>
              <w:rPr>
                <w:rStyle w:val="VerbatimChar"/>
              </w:rPr>
              <w:t xml:space="preserve">irr</w:t>
            </w:r>
            <w:r>
              <w:t xml:space="preserve"> </w:t>
            </w:r>
            <w:r>
              <w:t xml:space="preserve">package)</w:t>
            </w:r>
          </w:p>
        </w:tc>
      </w:tr>
      <w:tr>
        <w:tc>
          <w:p>
            <w:pPr>
              <w:pStyle w:val="Compact"/>
              <w:jc w:val="left"/>
            </w:pPr>
            <w:r>
              <w:t xml:space="preserve">Qualitative comparative analysis (QCA)</w:t>
            </w:r>
          </w:p>
        </w:tc>
        <w:tc>
          <w:p>
            <w:pPr>
              <w:pStyle w:val="Compact"/>
              <w:jc w:val="left"/>
            </w:pPr>
            <w:r>
              <w:t xml:space="preserve">Identify configurations of elements associated with outcomes</w:t>
            </w:r>
          </w:p>
        </w:tc>
        <w:tc>
          <w:p>
            <w:pPr>
              <w:pStyle w:val="Compact"/>
              <w:jc w:val="left"/>
            </w:pPr>
            <w:r>
              <w:t xml:space="preserve">Ragin’s</w:t>
            </w:r>
            <w:r>
              <w:t xml:space="preserve"> </w:t>
            </w:r>
            <w:r>
              <w:rPr>
                <w:iCs/>
                <w:i/>
              </w:rPr>
              <w:t xml:space="preserve">Redesigning Social Inquiry</w:t>
            </w:r>
            <w:r>
              <w:t xml:space="preserve">; software: fsQCA, R (</w:t>
            </w:r>
            <w:r>
              <w:rPr>
                <w:rStyle w:val="VerbatimChar"/>
              </w:rPr>
              <w:t xml:space="preserve">QCA</w:t>
            </w:r>
            <w:r>
              <w:t xml:space="preserve"> </w:t>
            </w:r>
            <w:r>
              <w:t xml:space="preserve">package)</w:t>
            </w:r>
          </w:p>
        </w:tc>
      </w:tr>
      <w:tr>
        <w:tc>
          <w:p>
            <w:pPr>
              <w:pStyle w:val="Compact"/>
              <w:jc w:val="left"/>
            </w:pPr>
            <w:r>
              <w:t xml:space="preserve">Process tracing</w:t>
            </w:r>
          </w:p>
        </w:tc>
        <w:tc>
          <w:p>
            <w:pPr>
              <w:pStyle w:val="Compact"/>
              <w:jc w:val="left"/>
            </w:pPr>
            <w:r>
              <w:t xml:space="preserve">Causal analysis within cases</w:t>
            </w:r>
          </w:p>
        </w:tc>
        <w:tc>
          <w:p>
            <w:pPr>
              <w:pStyle w:val="Compact"/>
              <w:jc w:val="left"/>
            </w:pPr>
            <w:r>
              <w:t xml:space="preserve">Bennett &amp; Checkel’s</w:t>
            </w:r>
            <w:r>
              <w:t xml:space="preserve"> </w:t>
            </w:r>
            <w:r>
              <w:rPr>
                <w:iCs/>
                <w:i/>
              </w:rPr>
              <w:t xml:space="preserve">Process Tracing</w:t>
            </w:r>
            <w:r>
              <w:t xml:space="preserve">; Collier’s causal-inference typology</w:t>
            </w:r>
          </w:p>
        </w:tc>
      </w:tr>
      <w:tr>
        <w:tc>
          <w:p>
            <w:pPr>
              <w:pStyle w:val="Compact"/>
              <w:jc w:val="left"/>
            </w:pPr>
            <w:r>
              <w:t xml:space="preserve">Regression and predictive modelling</w:t>
            </w:r>
          </w:p>
        </w:tc>
        <w:tc>
          <w:p>
            <w:pPr>
              <w:pStyle w:val="Compact"/>
              <w:jc w:val="left"/>
            </w:pPr>
            <w:r>
              <w:t xml:space="preserve">Test predictive validity</w:t>
            </w:r>
          </w:p>
        </w:tc>
        <w:tc>
          <w:p>
            <w:pPr>
              <w:pStyle w:val="Compact"/>
              <w:jc w:val="left"/>
            </w:pPr>
            <w:r>
              <w:t xml:space="preserve">Standard econometrics sequence; Angrist &amp; Pischke; software: R or Stata</w:t>
            </w:r>
          </w:p>
        </w:tc>
      </w:tr>
      <w:tr>
        <w:tc>
          <w:p>
            <w:pPr>
              <w:pStyle w:val="Compact"/>
              <w:jc w:val="left"/>
            </w:pPr>
            <w:r>
              <w:t xml:space="preserve">Pre-registration and open science</w:t>
            </w:r>
          </w:p>
        </w:tc>
        <w:tc>
          <w:p>
            <w:pPr>
              <w:pStyle w:val="Compact"/>
              <w:jc w:val="left"/>
            </w:pPr>
            <w:r>
              <w:t xml:space="preserve">Establish credibility of empirical claims</w:t>
            </w:r>
          </w:p>
        </w:tc>
        <w:tc>
          <w:p>
            <w:pPr>
              <w:pStyle w:val="Compact"/>
              <w:jc w:val="left"/>
            </w:pPr>
            <w:r>
              <w:t xml:space="preserve">OSF pre-registration; AEA RCT Registry conventions</w:t>
            </w:r>
          </w:p>
        </w:tc>
      </w:tr>
      <w:tr>
        <w:tc>
          <w:p>
            <w:pPr>
              <w:pStyle w:val="Compact"/>
              <w:jc w:val="left"/>
            </w:pPr>
            <w:r>
              <w:t xml:space="preserve">Elite interviewing and ethics</w:t>
            </w:r>
          </w:p>
        </w:tc>
        <w:tc>
          <w:p>
            <w:pPr>
              <w:pStyle w:val="Compact"/>
              <w:jc w:val="left"/>
            </w:pPr>
            <w:r>
              <w:t xml:space="preserve">Practitioner validation and stakeholder protocols</w:t>
            </w:r>
          </w:p>
        </w:tc>
        <w:tc>
          <w:p>
            <w:pPr>
              <w:pStyle w:val="Compact"/>
              <w:jc w:val="left"/>
            </w:pPr>
            <w:r>
              <w:t xml:space="preserve">Leech’s interviewing guides; IRB/ethics review conventions</w:t>
            </w:r>
          </w:p>
        </w:tc>
      </w:tr>
    </w:tbl>
    <w:p>
      <w:pPr>
        <w:pStyle w:val="BodyText"/>
      </w:pPr>
      <w:r>
        <w:t xml:space="preserve">A PhD candidate who cannot credibly compute an inter-rater reliability statistic and run a pre-registered predictive study will not publish the empirical paper. This is non-negotiable; the candidate must plan methods training in year one.</w:t>
      </w:r>
    </w:p>
    <w:bookmarkEnd w:id="64"/>
    <w:bookmarkStart w:id="65" w:name="c.6-funding-pathways"/>
    <w:p>
      <w:pPr>
        <w:pStyle w:val="Heading3"/>
      </w:pPr>
      <w:r>
        <w:t xml:space="preserve">C.6 Funding Pathways</w:t>
      </w:r>
    </w:p>
    <w:p>
      <w:pPr>
        <w:pStyle w:val="FirstParagraph"/>
      </w:pPr>
      <w:r>
        <w:t xml:space="preserve">South African and international funding sources that align with this research agenda:</w:t>
      </w:r>
    </w:p>
    <w:p>
      <w:pPr>
        <w:numPr>
          <w:ilvl w:val="0"/>
          <w:numId w:val="1022"/>
        </w:numPr>
        <w:pStyle w:val="Compact"/>
      </w:pPr>
      <w:r>
        <w:rPr>
          <w:bCs/>
          <w:b/>
        </w:rPr>
        <w:t xml:space="preserve">NRF (National Research Foundation) Thuthuka or Competitive Doctoral Funding</w:t>
      </w:r>
      <w:r>
        <w:t xml:space="preserve"> </w:t>
      </w:r>
      <w:r>
        <w:t xml:space="preserve">— South African-based doctoral study.</w:t>
      </w:r>
    </w:p>
    <w:p>
      <w:pPr>
        <w:numPr>
          <w:ilvl w:val="0"/>
          <w:numId w:val="1022"/>
        </w:numPr>
        <w:pStyle w:val="Compact"/>
      </w:pPr>
      <w:r>
        <w:rPr>
          <w:bCs/>
          <w:b/>
        </w:rPr>
        <w:t xml:space="preserve">Commonwealth Scholarships</w:t>
      </w:r>
      <w:r>
        <w:t xml:space="preserve"> </w:t>
      </w:r>
      <w:r>
        <w:t xml:space="preserve">— UK study for Commonwealth candidates.</w:t>
      </w:r>
    </w:p>
    <w:p>
      <w:pPr>
        <w:numPr>
          <w:ilvl w:val="0"/>
          <w:numId w:val="1022"/>
        </w:numPr>
        <w:pStyle w:val="Compact"/>
      </w:pPr>
      <w:r>
        <w:rPr>
          <w:bCs/>
          <w:b/>
        </w:rPr>
        <w:t xml:space="preserve">Chevening Scholarships</w:t>
      </w:r>
      <w:r>
        <w:t xml:space="preserve"> </w:t>
      </w:r>
      <w:r>
        <w:t xml:space="preserve">— UK Masters study (one year).</w:t>
      </w:r>
    </w:p>
    <w:p>
      <w:pPr>
        <w:numPr>
          <w:ilvl w:val="0"/>
          <w:numId w:val="1022"/>
        </w:numPr>
        <w:pStyle w:val="Compact"/>
      </w:pPr>
      <w:r>
        <w:rPr>
          <w:bCs/>
          <w:b/>
        </w:rPr>
        <w:t xml:space="preserve">Fulbright Foreign Student Program</w:t>
      </w:r>
      <w:r>
        <w:t xml:space="preserve"> </w:t>
      </w:r>
      <w:r>
        <w:t xml:space="preserve">— US study for non-Americans.</w:t>
      </w:r>
    </w:p>
    <w:p>
      <w:pPr>
        <w:numPr>
          <w:ilvl w:val="0"/>
          <w:numId w:val="1022"/>
        </w:numPr>
        <w:pStyle w:val="Compact"/>
      </w:pPr>
      <w:r>
        <w:rPr>
          <w:bCs/>
          <w:b/>
        </w:rPr>
        <w:t xml:space="preserve">DAAD (German Academic Exchange Service)</w:t>
      </w:r>
      <w:r>
        <w:t xml:space="preserve"> </w:t>
      </w:r>
      <w:r>
        <w:t xml:space="preserve">— German study.</w:t>
      </w:r>
    </w:p>
    <w:p>
      <w:pPr>
        <w:numPr>
          <w:ilvl w:val="0"/>
          <w:numId w:val="1022"/>
        </w:numPr>
        <w:pStyle w:val="Compact"/>
      </w:pPr>
      <w:r>
        <w:rPr>
          <w:bCs/>
          <w:b/>
        </w:rPr>
        <w:t xml:space="preserve">Rhodes Scholarship; Mandela Rhodes Scholarship; Oppenheimer Memorial Trust</w:t>
      </w:r>
      <w:r>
        <w:t xml:space="preserve"> </w:t>
      </w:r>
      <w:r>
        <w:t xml:space="preserve">— competitive elite funding routes.</w:t>
      </w:r>
    </w:p>
    <w:p>
      <w:pPr>
        <w:numPr>
          <w:ilvl w:val="0"/>
          <w:numId w:val="1022"/>
        </w:numPr>
        <w:pStyle w:val="Compact"/>
      </w:pPr>
      <w:r>
        <w:rPr>
          <w:bCs/>
          <w:b/>
        </w:rPr>
        <w:t xml:space="preserve">World Bank Graduate Scholarship Program</w:t>
      </w:r>
      <w:r>
        <w:t xml:space="preserve"> </w:t>
      </w:r>
      <w:r>
        <w:t xml:space="preserve">— for developing-country candidates at partner institutions.</w:t>
      </w:r>
    </w:p>
    <w:p>
      <w:pPr>
        <w:numPr>
          <w:ilvl w:val="0"/>
          <w:numId w:val="1022"/>
        </w:numPr>
        <w:pStyle w:val="Compact"/>
      </w:pPr>
      <w:r>
        <w:rPr>
          <w:bCs/>
          <w:b/>
        </w:rPr>
        <w:t xml:space="preserve">GIZ / AGRA / African Development Bank doctoral scholarships</w:t>
      </w:r>
      <w:r>
        <w:t xml:space="preserve"> </w:t>
      </w:r>
      <w:r>
        <w:t xml:space="preserve">— sector-aligned funders.</w:t>
      </w:r>
    </w:p>
    <w:p>
      <w:pPr>
        <w:numPr>
          <w:ilvl w:val="0"/>
          <w:numId w:val="1022"/>
        </w:numPr>
        <w:pStyle w:val="Compact"/>
      </w:pPr>
      <w:r>
        <w:rPr>
          <w:bCs/>
          <w:b/>
        </w:rPr>
        <w:t xml:space="preserve">Institution-specific funding</w:t>
      </w:r>
      <w:r>
        <w:t xml:space="preserve"> </w:t>
      </w:r>
      <w:r>
        <w:t xml:space="preserve">— Blavatnik, Kennedy School, Princeton SPIA and LSE all offer full funding for strong candidates; the bar is high but the funding is real.</w:t>
      </w:r>
    </w:p>
    <w:p>
      <w:pPr>
        <w:pStyle w:val="FirstParagraph"/>
      </w:pPr>
      <w:r>
        <w:t xml:space="preserve">A well-targeted research proposal — which the MRD and this credibility document together already substantially constitute — is the single strongest asset a candidate brings to funding applications.</w:t>
      </w:r>
    </w:p>
    <w:bookmarkEnd w:id="65"/>
    <w:bookmarkStart w:id="66" w:name="Xc589246e1239bf55e66b6ad3bb3264d613a264a"/>
    <w:p>
      <w:pPr>
        <w:pStyle w:val="Heading3"/>
      </w:pPr>
      <w:r>
        <w:t xml:space="preserve">C.7 Timeline: Integrating the Degree With the Credibility Roadmap</w:t>
      </w:r>
    </w:p>
    <w:p>
      <w:pPr>
        <w:pStyle w:val="FirstParagraph"/>
      </w:pPr>
      <w:r>
        <w:t xml:space="preserve">The thesis is not a separate track from the credibility roadmap in Part IV; it is the same work with academic registration added. A realistic integrated timeline:</w:t>
      </w:r>
    </w:p>
    <w:tbl>
      <w:tblPr>
        <w:tblStyle w:val="Table"/>
        <w:tblW w:type="pct" w:w="5000.0"/>
        <w:tblLook w:firstRow="1" w:lastRow="0" w:firstColumn="0" w:lastColumn="0" w:noHBand="0" w:noVBand="0" w:val="0020"/>
      </w:tblPr>
      <w:tblGrid>
        <w:gridCol w:w="1033"/>
        <w:gridCol w:w="3099"/>
        <w:gridCol w:w="3787"/>
      </w:tblGrid>
      <w:tr>
        <w:tc>
          <w:p>
            <w:pPr>
              <w:pStyle w:val="Compact"/>
              <w:jc w:val="left"/>
            </w:pPr>
            <w:r>
              <w:t xml:space="preserve">Year</w:t>
            </w:r>
          </w:p>
        </w:tc>
        <w:tc>
          <w:p>
            <w:pPr>
              <w:pStyle w:val="Compact"/>
              <w:jc w:val="left"/>
            </w:pPr>
            <w:r>
              <w:t xml:space="preserve">Thesis milestone</w:t>
            </w:r>
          </w:p>
        </w:tc>
        <w:tc>
          <w:p>
            <w:pPr>
              <w:pStyle w:val="Compact"/>
              <w:jc w:val="left"/>
            </w:pPr>
            <w:r>
              <w:t xml:space="preserve">Credibility milestone</w:t>
            </w:r>
          </w:p>
        </w:tc>
      </w:tr>
      <w:tr>
        <w:tc>
          <w:p>
            <w:pPr>
              <w:pStyle w:val="Compact"/>
              <w:jc w:val="left"/>
            </w:pPr>
            <w:r>
              <w:t xml:space="preserve">Pre-registration</w:t>
            </w:r>
          </w:p>
        </w:tc>
        <w:tc>
          <w:p>
            <w:pPr>
              <w:pStyle w:val="Compact"/>
              <w:jc w:val="left"/>
            </w:pPr>
            <w:r>
              <w:t xml:space="preserve">Publish methodology working paper (SSRN); use as writing sample</w:t>
            </w:r>
          </w:p>
        </w:tc>
        <w:tc>
          <w:p>
            <w:pPr>
              <w:pStyle w:val="Compact"/>
              <w:jc w:val="left"/>
            </w:pPr>
            <w:r>
              <w:t xml:space="preserve">Pillar A deliverable; Pillar B codebook v1</w:t>
            </w:r>
          </w:p>
        </w:tc>
      </w:tr>
      <w:tr>
        <w:tc>
          <w:p>
            <w:pPr>
              <w:pStyle w:val="Compact"/>
              <w:jc w:val="left"/>
            </w:pPr>
            <w:r>
              <w:t xml:space="preserve">Year 1 (coursework / confirmation)</w:t>
            </w:r>
          </w:p>
        </w:tc>
        <w:tc>
          <w:p>
            <w:pPr>
              <w:pStyle w:val="Compact"/>
              <w:jc w:val="left"/>
            </w:pPr>
            <w:r>
              <w:t xml:space="preserve">Literature review; theoretical paper draft; methods training</w:t>
            </w:r>
          </w:p>
        </w:tc>
        <w:tc>
          <w:p>
            <w:pPr>
              <w:pStyle w:val="Compact"/>
              <w:jc w:val="left"/>
            </w:pPr>
            <w:r>
              <w:t xml:space="preserve">Paper 1 submitted as working paper; academic MOU signed</w:t>
            </w:r>
          </w:p>
        </w:tc>
      </w:tr>
      <w:tr>
        <w:tc>
          <w:p>
            <w:pPr>
              <w:pStyle w:val="Compact"/>
              <w:jc w:val="left"/>
            </w:pPr>
            <w:r>
              <w:t xml:space="preserve">Year 2</w:t>
            </w:r>
          </w:p>
        </w:tc>
        <w:tc>
          <w:p>
            <w:pPr>
              <w:pStyle w:val="Compact"/>
              <w:jc w:val="left"/>
            </w:pPr>
            <w:r>
              <w:t xml:space="preserve">IRR study fieldwork and analysis</w:t>
            </w:r>
          </w:p>
        </w:tc>
        <w:tc>
          <w:p>
            <w:pPr>
              <w:pStyle w:val="Compact"/>
              <w:jc w:val="left"/>
            </w:pPr>
            <w:r>
              <w:t xml:space="preserve">Pillar D.2 validation complete; Paper 2 submitted</w:t>
            </w:r>
          </w:p>
        </w:tc>
      </w:tr>
      <w:tr>
        <w:tc>
          <w:p>
            <w:pPr>
              <w:pStyle w:val="Compact"/>
              <w:jc w:val="left"/>
            </w:pPr>
            <w:r>
              <w:t xml:space="preserve">Year 3</w:t>
            </w:r>
          </w:p>
        </w:tc>
        <w:tc>
          <w:p>
            <w:pPr>
              <w:pStyle w:val="Compact"/>
              <w:jc w:val="left"/>
            </w:pPr>
            <w:r>
              <w:t xml:space="preserve">Predictive-validity or comparative-cross-jurisdictional study fieldwork</w:t>
            </w:r>
          </w:p>
        </w:tc>
        <w:tc>
          <w:p>
            <w:pPr>
              <w:pStyle w:val="Compact"/>
              <w:jc w:val="left"/>
            </w:pPr>
            <w:r>
              <w:t xml:space="preserve">Pillar D.3 validation in progress; US pilot running</w:t>
            </w:r>
          </w:p>
        </w:tc>
      </w:tr>
      <w:tr>
        <w:tc>
          <w:p>
            <w:pPr>
              <w:pStyle w:val="Compact"/>
              <w:jc w:val="left"/>
            </w:pPr>
            <w:r>
              <w:t xml:space="preserve">Year 4</w:t>
            </w:r>
          </w:p>
        </w:tc>
        <w:tc>
          <w:p>
            <w:pPr>
              <w:pStyle w:val="Compact"/>
              <w:jc w:val="left"/>
            </w:pPr>
            <w:r>
              <w:t xml:space="preserve">Paper 3 draft; thesis integration; viva preparation</w:t>
            </w:r>
          </w:p>
        </w:tc>
        <w:tc>
          <w:p>
            <w:pPr>
              <w:pStyle w:val="Compact"/>
              <w:jc w:val="left"/>
            </w:pPr>
            <w:r>
              <w:t xml:space="preserve">Paper 3 submitted; stewardship entity formed</w:t>
            </w:r>
          </w:p>
        </w:tc>
      </w:tr>
      <w:tr>
        <w:tc>
          <w:p>
            <w:pPr>
              <w:pStyle w:val="Compact"/>
              <w:jc w:val="left"/>
            </w:pPr>
            <w:r>
              <w:t xml:space="preserve">Year 5 (if needed)</w:t>
            </w:r>
          </w:p>
        </w:tc>
        <w:tc>
          <w:p>
            <w:pPr>
              <w:pStyle w:val="Compact"/>
              <w:jc w:val="left"/>
            </w:pPr>
            <w:r>
              <w:t xml:space="preserve">Revisions and defence</w:t>
            </w:r>
          </w:p>
        </w:tc>
        <w:tc>
          <w:p>
            <w:pPr>
              <w:pStyle w:val="Compact"/>
              <w:jc w:val="left"/>
            </w:pPr>
            <w:r>
              <w:t xml:space="preserve">Published framework with three peer-reviewed papers</w:t>
            </w:r>
          </w:p>
        </w:tc>
      </w:tr>
    </w:tbl>
    <w:p>
      <w:pPr>
        <w:pStyle w:val="BodyText"/>
      </w:pPr>
      <w:r>
        <w:t xml:space="preserve">The candidate graduates with a PhD, three publications, an international profile and a framework that is by then institutionally anchored. The thesis and the credibility programme are the same programme described from two different sides.</w:t>
      </w:r>
    </w:p>
    <w:bookmarkEnd w:id="66"/>
    <w:bookmarkStart w:id="67" w:name="c.8-risks-specific-to-the-thesis-route"/>
    <w:p>
      <w:pPr>
        <w:pStyle w:val="Heading3"/>
      </w:pPr>
      <w:r>
        <w:t xml:space="preserve">C.8 Risks Specific to the Thesis Route</w:t>
      </w:r>
    </w:p>
    <w:p>
      <w:pPr>
        <w:pStyle w:val="FirstParagraph"/>
      </w:pPr>
      <w:r>
        <w:t xml:space="preserve">A thesis route is not free; it carries risks the candidate should weigh.</w:t>
      </w:r>
    </w:p>
    <w:tbl>
      <w:tblPr>
        <w:tblStyle w:val="Table"/>
        <w:tblW w:type="pct" w:w="5000.0"/>
        <w:tblLook w:firstRow="1" w:lastRow="0" w:firstColumn="0" w:lastColumn="0" w:noHBand="0" w:noVBand="0" w:val="0020"/>
      </w:tblPr>
      <w:tblGrid>
        <w:gridCol w:w="1697"/>
        <w:gridCol w:w="3111"/>
        <w:gridCol w:w="3111"/>
      </w:tblGrid>
      <w:tr>
        <w:tc>
          <w:p>
            <w:pPr>
              <w:pStyle w:val="Compact"/>
              <w:jc w:val="left"/>
            </w:pPr>
            <w:r>
              <w:t xml:space="preserve">Risk</w:t>
            </w:r>
          </w:p>
        </w:tc>
        <w:tc>
          <w:p>
            <w:pPr>
              <w:pStyle w:val="Compact"/>
              <w:jc w:val="left"/>
            </w:pPr>
            <w:r>
              <w:t xml:space="preserve">Mechanism</w:t>
            </w:r>
          </w:p>
        </w:tc>
        <w:tc>
          <w:p>
            <w:pPr>
              <w:pStyle w:val="Compact"/>
              <w:jc w:val="left"/>
            </w:pPr>
            <w:r>
              <w:t xml:space="preserve">Mitigation</w:t>
            </w:r>
          </w:p>
        </w:tc>
      </w:tr>
      <w:tr>
        <w:tc>
          <w:p>
            <w:pPr>
              <w:pStyle w:val="Compact"/>
              <w:jc w:val="left"/>
            </w:pPr>
            <w:r>
              <w:t xml:space="preserve">Supervisor misalignment</w:t>
            </w:r>
          </w:p>
        </w:tc>
        <w:tc>
          <w:p>
            <w:pPr>
              <w:pStyle w:val="Compact"/>
              <w:jc w:val="left"/>
            </w:pPr>
            <w:r>
              <w:t xml:space="preserve">A supervisor not expert in institutional design redirects the work toward their own methods</w:t>
            </w:r>
          </w:p>
        </w:tc>
        <w:tc>
          <w:p>
            <w:pPr>
              <w:pStyle w:val="Compact"/>
              <w:jc w:val="left"/>
            </w:pPr>
            <w:r>
              <w:t xml:space="preserve">Choose supervisors from the shortlist in Section C.4; ensure at least one is a published institutional-design scholar</w:t>
            </w:r>
          </w:p>
        </w:tc>
      </w:tr>
      <w:tr>
        <w:tc>
          <w:p>
            <w:pPr>
              <w:pStyle w:val="Compact"/>
              <w:jc w:val="left"/>
            </w:pPr>
            <w:r>
              <w:t xml:space="preserve">Ethical complications</w:t>
            </w:r>
          </w:p>
        </w:tc>
        <w:tc>
          <w:p>
            <w:pPr>
              <w:pStyle w:val="Compact"/>
              <w:jc w:val="left"/>
            </w:pPr>
            <w:r>
              <w:t xml:space="preserve">Diagnostics of real institutions may require IRB/ethics approval; interviews with officials create sensitivity</w:t>
            </w:r>
          </w:p>
        </w:tc>
        <w:tc>
          <w:p>
            <w:pPr>
              <w:pStyle w:val="Compact"/>
              <w:jc w:val="left"/>
            </w:pPr>
            <w:r>
              <w:t xml:space="preserve">Build ethics approval into the year-one plan; pre-empt with anonymisation protocols</w:t>
            </w:r>
          </w:p>
        </w:tc>
      </w:tr>
      <w:tr>
        <w:tc>
          <w:p>
            <w:pPr>
              <w:pStyle w:val="Compact"/>
              <w:jc w:val="left"/>
            </w:pPr>
            <w:r>
              <w:t xml:space="preserve">Commercial-academic conflict</w:t>
            </w:r>
          </w:p>
        </w:tc>
        <w:tc>
          <w:p>
            <w:pPr>
              <w:pStyle w:val="Compact"/>
              <w:jc w:val="left"/>
            </w:pPr>
            <w:r>
              <w:t xml:space="preserve">Running RAARICLE™ as a paid consulting product while completing a thesis on it creates COI risk</w:t>
            </w:r>
          </w:p>
        </w:tc>
        <w:tc>
          <w:p>
            <w:pPr>
              <w:pStyle w:val="Compact"/>
              <w:jc w:val="left"/>
            </w:pPr>
            <w:r>
              <w:t xml:space="preserve">Separate client engagements from thesis data; disclose all commercial work to supervisors and in publications</w:t>
            </w:r>
          </w:p>
        </w:tc>
      </w:tr>
      <w:tr>
        <w:tc>
          <w:p>
            <w:pPr>
              <w:pStyle w:val="Compact"/>
              <w:jc w:val="left"/>
            </w:pPr>
            <w:r>
              <w:t xml:space="preserve">Data access</w:t>
            </w:r>
          </w:p>
        </w:tc>
        <w:tc>
          <w:p>
            <w:pPr>
              <w:pStyle w:val="Compact"/>
              <w:jc w:val="left"/>
            </w:pPr>
            <w:r>
              <w:t xml:space="preserve">Municipalities or state agencies may refuse cooperation</w:t>
            </w:r>
          </w:p>
        </w:tc>
        <w:tc>
          <w:p>
            <w:pPr>
              <w:pStyle w:val="Compact"/>
              <w:jc w:val="left"/>
            </w:pPr>
            <w:r>
              <w:t xml:space="preserve">Design the validation around publicly available data where possible; treat cooperation as a bonus, not a dependency</w:t>
            </w:r>
          </w:p>
        </w:tc>
      </w:tr>
      <w:tr>
        <w:tc>
          <w:p>
            <w:pPr>
              <w:pStyle w:val="Compact"/>
              <w:jc w:val="left"/>
            </w:pPr>
            <w:r>
              <w:t xml:space="preserve">Framework ownership</w:t>
            </w:r>
          </w:p>
        </w:tc>
        <w:tc>
          <w:p>
            <w:pPr>
              <w:pStyle w:val="Compact"/>
              <w:jc w:val="left"/>
            </w:pPr>
            <w:r>
              <w:t xml:space="preserve">The institution may claim IP over the thesis’s contributions</w:t>
            </w:r>
          </w:p>
        </w:tc>
        <w:tc>
          <w:p>
            <w:pPr>
              <w:pStyle w:val="Compact"/>
              <w:jc w:val="left"/>
            </w:pPr>
            <w:r>
              <w:t xml:space="preserve">Negotiate IP terms at admission; retain a permissive licence on the framework itself before enrolling</w:t>
            </w:r>
          </w:p>
        </w:tc>
      </w:tr>
      <w:tr>
        <w:tc>
          <w:p>
            <w:pPr>
              <w:pStyle w:val="Compact"/>
              <w:jc w:val="left"/>
            </w:pPr>
            <w:r>
              <w:t xml:space="preserve">Timeline slippage</w:t>
            </w:r>
          </w:p>
        </w:tc>
        <w:tc>
          <w:p>
            <w:pPr>
              <w:pStyle w:val="Compact"/>
              <w:jc w:val="left"/>
            </w:pPr>
            <w:r>
              <w:t xml:space="preserve">PhDs routinely extend beyond the scheduled timeline</w:t>
            </w:r>
          </w:p>
        </w:tc>
        <w:tc>
          <w:p>
            <w:pPr>
              <w:pStyle w:val="Compact"/>
              <w:jc w:val="left"/>
            </w:pPr>
            <w:r>
              <w:t xml:space="preserve">Budget realistically for 5 years rather than 3–4; secure funding that accommodates the realistic timeline</w:t>
            </w:r>
          </w:p>
        </w:tc>
      </w:tr>
      <w:tr>
        <w:tc>
          <w:p>
            <w:pPr>
              <w:pStyle w:val="Compact"/>
              <w:jc w:val="left"/>
            </w:pPr>
            <w:r>
              <w:t xml:space="preserve">Originality challenge</w:t>
            </w:r>
          </w:p>
        </w:tc>
        <w:tc>
          <w:p>
            <w:pPr>
              <w:pStyle w:val="Compact"/>
              <w:jc w:val="left"/>
            </w:pPr>
            <w:r>
              <w:t xml:space="preserve">Examiners may ask whether the work is a framework application rather than an original contribution</w:t>
            </w:r>
          </w:p>
        </w:tc>
        <w:tc>
          <w:p>
            <w:pPr>
              <w:pStyle w:val="Compact"/>
              <w:jc w:val="left"/>
            </w:pPr>
            <w:r>
              <w:t xml:space="preserve">The theoretical paper (Paper 1 in the three-paper format) must carry the originality claim; design it to do so from the start</w:t>
            </w:r>
          </w:p>
        </w:tc>
      </w:tr>
    </w:tbl>
    <w:bookmarkEnd w:id="67"/>
    <w:bookmarkStart w:id="68" w:name="Xaec706427373ee8c3b43dee98e5fea34330829f"/>
    <w:p>
      <w:pPr>
        <w:pStyle w:val="Heading3"/>
      </w:pPr>
      <w:r>
        <w:t xml:space="preserve">C.9 Why This Path Is Worth Considering Seriously</w:t>
      </w:r>
    </w:p>
    <w:p>
      <w:pPr>
        <w:pStyle w:val="FirstParagraph"/>
      </w:pPr>
      <w:r>
        <w:t xml:space="preserve">A successful PhD thesis on the RAARICLE™ programme delivers four outcomes simultaneously that no other credibility path delivers at once.</w:t>
      </w:r>
    </w:p>
    <w:p>
      <w:pPr>
        <w:numPr>
          <w:ilvl w:val="0"/>
          <w:numId w:val="1023"/>
        </w:numPr>
        <w:pStyle w:val="Compact"/>
      </w:pPr>
      <w:r>
        <w:rPr>
          <w:bCs/>
          <w:b/>
        </w:rPr>
        <w:t xml:space="preserve">Institutional provenance in one step.</w:t>
      </w:r>
      <w:r>
        <w:t xml:space="preserve"> </w:t>
      </w:r>
      <w:r>
        <w:t xml:space="preserve">Thesis submission and doctoral award resolve the provenance objection (Pillar E) conclusively and permanently. A framework whose originator is a PhD governance scholar is never again dismissed as</w:t>
      </w:r>
      <w:r>
        <w:t xml:space="preserve"> </w:t>
      </w:r>
      <w:r>
        <w:t xml:space="preserve">“</w:t>
      </w:r>
      <w:r>
        <w:t xml:space="preserve">a blog-authored model.</w:t>
      </w:r>
      <w:r>
        <w:t xml:space="preserve">”</w:t>
      </w:r>
    </w:p>
    <w:p>
      <w:pPr>
        <w:numPr>
          <w:ilvl w:val="0"/>
          <w:numId w:val="1023"/>
        </w:numPr>
        <w:pStyle w:val="Compact"/>
      </w:pPr>
      <w:r>
        <w:rPr>
          <w:bCs/>
          <w:b/>
        </w:rPr>
        <w:t xml:space="preserve">Peer-reviewed publication is mandatory, not optional.</w:t>
      </w:r>
      <w:r>
        <w:t xml:space="preserve"> </w:t>
      </w:r>
      <w:r>
        <w:t xml:space="preserve">The thesis structure forces three publications through review.</w:t>
      </w:r>
    </w:p>
    <w:p>
      <w:pPr>
        <w:numPr>
          <w:ilvl w:val="0"/>
          <w:numId w:val="1023"/>
        </w:numPr>
        <w:pStyle w:val="Compact"/>
      </w:pPr>
      <w:r>
        <w:rPr>
          <w:bCs/>
          <w:b/>
        </w:rPr>
        <w:t xml:space="preserve">International placement.</w:t>
      </w:r>
      <w:r>
        <w:t xml:space="preserve"> </w:t>
      </w:r>
      <w:r>
        <w:t xml:space="preserve">The right programme places the candidate in a global network of governance scholars and multilateral practitioners for the duration of their career.</w:t>
      </w:r>
    </w:p>
    <w:p>
      <w:pPr>
        <w:numPr>
          <w:ilvl w:val="0"/>
          <w:numId w:val="1023"/>
        </w:numPr>
        <w:pStyle w:val="Compact"/>
      </w:pPr>
      <w:r>
        <w:rPr>
          <w:bCs/>
          <w:b/>
        </w:rPr>
        <w:t xml:space="preserve">Credentialing for the stewardship entity.</w:t>
      </w:r>
      <w:r>
        <w:t xml:space="preserve"> </w:t>
      </w:r>
      <w:r>
        <w:t xml:space="preserve">Future directors of a RAARICLE™ stewardship entity will be more credible if the framework’s originator holds the doctoral qualification.</w:t>
      </w:r>
    </w:p>
    <w:p>
      <w:pPr>
        <w:pStyle w:val="FirstParagraph"/>
      </w:pPr>
      <w:r>
        <w:t xml:space="preserve">The cost is substantial — three to five years, displaced income, geographic relocation in some cases. The benefit is that the credibility programme ceases to be an external pursuit and becomes a structural feature of the candidate’s professional life. For a framework whose central claim is that institutional design matters more than personal heroics, choosing a structural route to credibility rather than an opportunistic one is an act of consistency with the framework itself.</w:t>
      </w:r>
    </w:p>
    <w:p>
      <w:r>
        <w:pict>
          <v:rect style="width:0;height:1.5pt" o:hralign="center" o:hrstd="t" o:hr="t"/>
        </w:pict>
      </w:r>
    </w:p>
    <w:bookmarkEnd w:id="68"/>
    <w:bookmarkEnd w:id="69"/>
    <w:bookmarkStart w:id="70" w:name="closing-note"/>
    <w:p>
      <w:pPr>
        <w:pStyle w:val="Heading2"/>
      </w:pPr>
      <w:r>
        <w:t xml:space="preserve">Closing Note</w:t>
      </w:r>
    </w:p>
    <w:p>
      <w:pPr>
        <w:pStyle w:val="FirstParagraph"/>
      </w:pPr>
      <w:r>
        <w:t xml:space="preserve">RAARICLE™ has the characteristic most frameworks lack — a clear theoretical claim with explanatory power. It lacks the institutional infrastructure most frameworks take for granted. The conversion from the first condition to the second is not a matter of marketing; it is a programme of work whose steps are known, sequenced and bounded. The preceding document specifies that programme. Its execution is the difference between a respected framework used by the World Bank and a thoughtful blog cited occasionally in sector reports.</w:t>
      </w:r>
    </w:p>
    <w:p>
      <w:r>
        <w:pict>
          <v:rect style="width:0;height:1.5pt" o:hralign="center" o:hrstd="t" o:hr="t"/>
        </w:pict>
      </w:r>
    </w:p>
    <w:bookmarkEnd w:id="70"/>
    <w:bookmarkStart w:id="71" w:name="document-history"/>
    <w:p>
      <w:pPr>
        <w:pStyle w:val="Heading2"/>
      </w:pPr>
      <w:r>
        <w:t xml:space="preserve">Document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0.1</w:t>
            </w:r>
          </w:p>
        </w:tc>
        <w:tc>
          <w:p>
            <w:pPr>
              <w:pStyle w:val="Compact"/>
              <w:jc w:val="left"/>
            </w:pPr>
            <w:r>
              <w:t xml:space="preserve">2026-04-23</w:t>
            </w:r>
          </w:p>
        </w:tc>
        <w:tc>
          <w:p>
            <w:pPr>
              <w:pStyle w:val="Compact"/>
              <w:jc w:val="left"/>
            </w:pPr>
            <w:r>
              <w:t xml:space="preserve">Tshepo Machele</w:t>
            </w:r>
          </w:p>
        </w:tc>
        <w:tc>
          <w:p>
            <w:pPr>
              <w:pStyle w:val="Compact"/>
              <w:jc w:val="left"/>
            </w:pPr>
            <w:r>
              <w:t xml:space="preserve">Initial draft</w:t>
            </w:r>
          </w:p>
        </w:tc>
      </w:tr>
      <w:tr>
        <w:tc>
          <w:p>
            <w:pPr>
              <w:pStyle w:val="Compact"/>
              <w:jc w:val="left"/>
            </w:pPr>
            <w:r>
              <w:t xml:space="preserve">0.2</w:t>
            </w:r>
          </w:p>
        </w:tc>
        <w:tc>
          <w:p>
            <w:pPr>
              <w:pStyle w:val="Compact"/>
              <w:jc w:val="left"/>
            </w:pPr>
            <w:r>
              <w:t xml:space="preserve">2026-04-23</w:t>
            </w:r>
          </w:p>
        </w:tc>
        <w:tc>
          <w:p>
            <w:pPr>
              <w:pStyle w:val="Compact"/>
              <w:jc w:val="left"/>
            </w:pPr>
            <w:r>
              <w:t xml:space="preserve">Tshepo Machele</w:t>
            </w:r>
          </w:p>
        </w:tc>
        <w:tc>
          <w:p>
            <w:pPr>
              <w:pStyle w:val="Compact"/>
              <w:jc w:val="left"/>
            </w:pPr>
            <w:r>
              <w:t xml:space="preserve">Added Appendix C on Masters/PhD thesis development pathway</w:t>
            </w:r>
          </w:p>
        </w:tc>
      </w:tr>
    </w:tbl>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2026-04-23T21:23:36Z</dcterms:created>
  <dcterms:modified xsi:type="dcterms:W3CDTF">2026-04-23T21:23:36Z</dcterms:modified>
</cp:coreProperties>
</file>

<file path=docProps/custom.xml><?xml version="1.0" encoding="utf-8"?>
<Properties xmlns="http://schemas.openxmlformats.org/officeDocument/2006/custom-properties" xmlns:vt="http://schemas.openxmlformats.org/officeDocument/2006/docPropsVTypes"/>
</file>