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and Remote Working Guidelines</w:t>
      </w:r>
    </w:p>
    <w:p>
      <w:r>
        <w:t>Meridian Infra Ltd - Human Resources</w:t>
      </w:r>
    </w:p>
    <w:p>
      <w:pPr>
        <w:pStyle w:val="Heading1"/>
      </w:pPr>
      <w:r>
        <w:t>Who can work this way</w:t>
      </w:r>
    </w:p>
    <w:p>
      <w:r>
        <w:t>Office-based roles follow a hybrid pattern: at least three days a week in the office, agreed with your manager. Fridays and one more day of your choice can be remote. Field and plant roles are not eligible because the work is on site.</w:t>
      </w:r>
    </w:p>
    <w:p>
      <w:pPr>
        <w:pStyle w:val="Heading1"/>
      </w:pPr>
      <w:r>
        <w:t>Setting up your home office</w:t>
      </w:r>
    </w:p>
    <w:p>
      <w:r>
        <w:t>Employees on the hybrid pattern receive a one-time home office allowance of INR 15,000 for a chair, desk or monitor. Claim it in the finance portal with the receipts within three months of joining the hybrid pattern.</w:t>
      </w:r>
    </w:p>
    <w:p>
      <w:pPr>
        <w:pStyle w:val="Heading1"/>
      </w:pPr>
      <w:r>
        <w:t>Staying connected and secure</w:t>
      </w:r>
    </w:p>
    <w:p>
      <w:r>
        <w:t>Be reachable on Teams during core hours, 10:00 to 16:00. Use the company VPN, keep your laptop updated and never print confidential documents at home.</w:t>
      </w:r>
    </w:p>
    <w:p>
      <w:pPr>
        <w:pStyle w:val="Heading1"/>
      </w:pPr>
      <w:r>
        <w:t>Working from another city</w:t>
      </w:r>
    </w:p>
    <w:p>
      <w:r>
        <w:t>Remote working from another city for more than two weeks needs approval from your manager and HR, because of tax and insurance rules. Working from outside India is not allowed.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and Remote Working Guidelines</dc:title>
  <dc:subject/>
  <dc:creator>Meridian Infra Ltd</dc:creator>
  <cp:keywords/>
  <dc:description>generated by python-docx</dc:description>
  <cp:lastModifiedBy>Meridian Infra Ltd</cp:lastModifiedBy>
  <cp:revision>1</cp:revision>
  <dcterms:created xsi:type="dcterms:W3CDTF">2026-04-01T09:00:00Z</dcterms:created>
  <dcterms:modified xsi:type="dcterms:W3CDTF">2026-04-01T09:00:00Z</dcterms:modified>
  <cp:category/>
</cp:coreProperties>
</file>