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pct"/>
        <w:tblLayout w:type="fixed"/>
        <w:tblLook w:val="0400"/>
      </w:tblPr>
      <w:tblGrid>
        <w:gridCol w:w="1875"/>
        <w:gridCol w:w="1875"/>
        <w:gridCol w:w="2070"/>
        <w:gridCol w:w="1650"/>
        <w:gridCol w:w="1875"/>
        <w:tblGridChange w:id="0">
          <w:tblGrid>
            <w:gridCol w:w="1875"/>
            <w:gridCol w:w="1875"/>
            <w:gridCol w:w="2070"/>
            <w:gridCol w:w="1650"/>
            <w:gridCol w:w="187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spacing w:after="0" w:before="0" w:line="330" w:lineRule="auto"/>
              <w:ind w:left="98" w:right="-239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Know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heart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330" w:lineRule="auto"/>
              <w:ind w:left="98" w:right="-239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Know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after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checking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30" w:lineRule="auto"/>
              <w:ind w:left="98" w:right="-239"/>
              <w:contextualSpacing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shd w:fill="d9d9d9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sure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shd w:fill="d9d9d9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shd w:fill="d9d9d9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don’t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shd w:fill="d9d9d9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know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330" w:lineRule="auto"/>
              <w:ind w:left="98" w:right="-239"/>
              <w:contextualSpacing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Where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shd w:fill="d9d9d9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shd w:fill="d9d9d9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check?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="330" w:lineRule="auto"/>
              <w:ind w:left="98" w:right="-239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instruction structure</w:t>
              <w:br w:type="textWrapping"/>
              <w:t xml:space="preserve">(to X, do 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bpp (bits per pixel)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Settings : dialog box?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   no idea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HAPPY WITH: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bold</w:t>
              <w:br w:type="textWrapping"/>
              <w:t xml:space="preserve">monospace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 interface elements terminology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default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rdp5_only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)</w:t>
              <w:br w:type="textWrapping"/>
              <w:t xml:space="preserve">is this OK?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MMOS?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line="33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| CAUTION color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“breadcrumb” str.</w:t>
              <w:br w:type="textWrapping"/>
              <w:t xml:space="preserve">Main menu &gt;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“use the red entry field”   --- &gt; is this OK?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MMOS?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format (pdf conv.)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 TIP</w:t>
              <w:br w:type="textWrapping"/>
              <w:t xml:space="preserve">| CAUTION</w:t>
            </w:r>
          </w:p>
          <w:p w:rsidR="00000000" w:rsidDel="00000000" w:rsidP="00000000" w:rsidRDefault="00000000" w:rsidRPr="00000000" w14:paraId="00000016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format, color, content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“to avoid incorrect settings”</w:t>
              <w:br w:type="textWrapping"/>
              <w:t xml:space="preserve">is this OK?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MMOS?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“by [GERUND] “</w:t>
              <w:br w:type="textWrapping"/>
              <w:t xml:space="preserve">   structure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hyperlinks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conversion formula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Google?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  <w:t xml:space="preserve">    a</w:t>
              <w:br w:type="textWrapping"/>
              <w:t xml:space="preserve">    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formula - formulae?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MMOS?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providing example</w:t>
              <w:br w:type="textWrapping"/>
              <w:t xml:space="preserve">(milliseconds)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to convert ( _ ?) idle timeout value, 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no idea…</w:t>
              <w:br w:type="textWrapping"/>
              <w:t xml:space="preserve">MMOS?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milliseconds</w:t>
              <w:br w:type="textWrapping"/>
              <w:t xml:space="preserve">in bits per pixel</w:t>
              <w:br w:type="textWrapping"/>
              <w:t xml:space="preserve">(not abbreviated)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spacing w:line="330" w:lineRule="auto"/>
              <w:contextualSpacing w:val="0"/>
              <w:rPr>
                <w:b w:val="1"/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… enter value</w:t>
            </w: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 larger than… field</w:t>
            </w: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no idea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Remote Display Protocol (RDP)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------------- checkbox options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no idea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| 8 | 16 | 32...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5 |TIP : dropdown list?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line="330" w:lineRule="auto"/>
              <w:contextualSpacing w:val="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Devs? </w:t>
              <w:br w:type="textWrapping"/>
              <w:t xml:space="preserve">Admin guide?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(...), for example, (...)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spacing w:line="33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before="0" w:line="462" w:lineRule="auto"/>
        <w:ind w:left="-1484" w:firstLine="0"/>
        <w:contextualSpacing w:val="0"/>
        <w:jc w:val="left"/>
        <w:rPr/>
        <w:sectPr>
          <w:pgSz w:h="15841" w:w="12240"/>
          <w:pgMar w:bottom="1159" w:top="1399" w:left="1485" w:right="1125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3F">
      <w:pPr>
        <w:widowControl w:val="1"/>
        <w:contextualSpacing w:val="0"/>
        <w:jc w:val="left"/>
        <w:rPr/>
        <w:sectPr>
          <w:type w:val="continuous"/>
          <w:pgSz w:h="15841" w:w="12240"/>
          <w:pgMar w:bottom="1159" w:top="1399" w:left="1485" w:right="1125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597"/>
        </w:tabs>
        <w:spacing w:after="0" w:before="0" w:line="360" w:lineRule="auto"/>
        <w:ind w:left="0" w:firstLine="0"/>
        <w:contextualSpacing w:val="0"/>
        <w:jc w:val="left"/>
        <w:rPr/>
      </w:pPr>
      <w:r w:rsidDel="00000000" w:rsidR="00000000" w:rsidRPr="00000000">
        <w:rPr>
          <w:rFonts w:ascii="Tahoma" w:cs="Tahoma" w:eastAsia="Tahoma" w:hAnsi="Tahoma"/>
          <w:b w:val="1"/>
          <w:color w:val="606060"/>
          <w:sz w:val="32"/>
          <w:szCs w:val="32"/>
          <w:u w:val="none"/>
          <w:vertAlign w:val="baseline"/>
          <w:rtl w:val="0"/>
        </w:rPr>
        <w:t xml:space="preserve">Thank you for using PDFelement 6 Professional.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478" w:lineRule="auto"/>
        <w:ind w:left="998" w:firstLine="0"/>
        <w:contextualSpacing w:val="0"/>
        <w:jc w:val="left"/>
        <w:rPr/>
      </w:pPr>
      <w:r w:rsidDel="00000000" w:rsidR="00000000" w:rsidRPr="00000000">
        <w:rPr>
          <w:rFonts w:ascii="Tahoma" w:cs="Tahoma" w:eastAsia="Tahoma" w:hAnsi="Tahoma"/>
          <w:b w:val="1"/>
          <w:color w:val="606060"/>
          <w:sz w:val="32"/>
          <w:szCs w:val="32"/>
          <w:u w:val="none"/>
          <w:vertAlign w:val="baseline"/>
          <w:rtl w:val="0"/>
        </w:rPr>
        <w:t xml:space="preserve">You can only convert up to 5 pages in the trial 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478" w:lineRule="auto"/>
        <w:ind w:left="998" w:firstLine="0"/>
        <w:contextualSpacing w:val="0"/>
        <w:jc w:val="left"/>
        <w:rPr/>
      </w:pPr>
      <w:r w:rsidDel="00000000" w:rsidR="00000000" w:rsidRPr="00000000">
        <w:rPr>
          <w:rFonts w:ascii="Tahoma" w:cs="Tahoma" w:eastAsia="Tahoma" w:hAnsi="Tahoma"/>
          <w:b w:val="1"/>
          <w:color w:val="606060"/>
          <w:sz w:val="32"/>
          <w:szCs w:val="32"/>
          <w:u w:val="none"/>
          <w:vertAlign w:val="baseline"/>
          <w:rtl w:val="0"/>
        </w:rPr>
        <w:t xml:space="preserve">To get the full version, please purchase the program 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998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478" w:lineRule="auto"/>
        <w:ind w:left="998" w:firstLine="0"/>
        <w:contextualSpacing w:val="0"/>
        <w:jc w:val="left"/>
        <w:rPr/>
      </w:pPr>
      <w:hyperlink r:id="rId6">
        <w:r w:rsidDel="00000000" w:rsidR="00000000" w:rsidRPr="00000000">
          <w:rPr>
            <w:rFonts w:ascii="Tahoma" w:cs="Tahoma" w:eastAsia="Tahoma" w:hAnsi="Tahoma"/>
            <w:i w:val="1"/>
            <w:color w:val="8080ff"/>
            <w:sz w:val="20"/>
            <w:szCs w:val="20"/>
            <w:u w:val="single"/>
            <w:vertAlign w:val="baseline"/>
            <w:rtl w:val="0"/>
          </w:rPr>
          <w:t xml:space="preserve">http://cbs.wondershare.com/go.php?pid=2990&amp;m=db</w:t>
        </w:r>
      </w:hyperlink>
      <w:r w:rsidDel="00000000" w:rsidR="00000000" w:rsidRPr="00000000">
        <w:rPr>
          <w:rtl w:val="0"/>
        </w:rPr>
      </w:r>
    </w:p>
    <w:sectPr>
      <w:type w:val="continuous"/>
      <w:pgSz w:h="15841" w:w="12240"/>
      <w:pgMar w:bottom="1159" w:top="1399" w:left="1485" w:right="1125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bs.wondershare.com/go.php?pid=2990&amp;m=d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