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widowControl w:val="1"/>
      </w:pPr>
      <w:r>
        <w:rPr>
          <w:rFonts w:ascii="Aptos Display" w:hAnsi="Aptos Display"/>
          <w:b/>
          <w:color w:val="1B7A78"/>
          <w:sz w:val="68"/>
        </w:rPr>
        <w:t>ZEC</w:t>
      </w:r>
    </w:p>
    <w:p>
      <w:pPr>
        <w:pStyle w:val="Title"/>
        <w:widowControl w:val="1"/>
      </w:pPr>
      <w:r>
        <w:t>Technisches Datenblatt</w:t>
      </w:r>
    </w:p>
    <w:p>
      <w:pPr>
        <w:widowControl w:val="1"/>
      </w:pPr>
      <w:r>
        <w:t>Zendure Energy Controller · Version V16.1.0</w:t>
      </w:r>
    </w:p>
    <w:p>
      <w:pPr>
        <w:pStyle w:val="Lead"/>
        <w:widowControl w:val="1"/>
      </w:pPr>
      <w:r>
        <w:t>Lokale, automatische Speichersteuerung für Haushalte mit einem Zendure-Speicher – wahlweise als eigenständiger gesteuerter Speicher oder in Verbindung mit einem Primärspeicher. ZEC umfasst außerdem einen lokalen Deploymentpfad für Update, Clean Fresh Install, mutationsfreie Vorprüfung, Deinstallation und secretsichere Supportdiagnose. Die Regelung versucht, unnötigen Netzbezug und unnötige Einspeisung zu reduzieren, ohne Schutzgrenzen oder die konfigurierte Speicherpriorität zu verletzen.</w:t>
      </w:r>
    </w:p>
    <w:tbl>
      <w:tblPr>
        <w:tblW w:type="auto" w:w="0"/>
        <w:jc w:val="center"/>
        <w:tblLayout w:type="fixed"/>
        <w:tblLook w:firstColumn="1" w:firstRow="1" w:lastColumn="0" w:lastRow="0" w:noHBand="0" w:noVBand="1" w:val="04A0"/>
      </w:tblPr>
      <w:tblGrid>
        <w:gridCol w:w="2381"/>
        <w:gridCol w:w="7143"/>
      </w:tblGrid>
      <w:tr>
        <w:trPr>
          <w:cantSplit/>
        </w:trPr>
        <w:tc>
          <w:tcPr>
            <w:tcW w:type="dxa" w:w="4933"/>
            <w:shd w:fill="1B7A78"/>
            <w:tcMar>
              <w:top w:w="150" w:type="dxa"/>
              <w:start w:w="160" w:type="dxa"/>
              <w:bottom w:w="150" w:type="dxa"/>
              <w:end w:w="160" w:type="dxa"/>
            </w:tcMar>
            <w:vAlign w:val="center"/>
          </w:tcPr>
          <w:p>
            <w:pPr>
              <w:jc w:val="center"/>
            </w:pPr>
            <w:r>
              <w:rPr>
                <w:b/>
                <w:color w:val="FFFFFF"/>
                <w:sz w:val="20"/>
              </w:rPr>
              <w:t>AKTUELLER STAND</w:t>
            </w:r>
          </w:p>
        </w:tc>
        <w:tc>
          <w:tcPr>
            <w:tcW w:type="dxa" w:w="4933"/>
            <w:shd w:fill="EAF2F5"/>
            <w:tcMar>
              <w:top w:w="150" w:type="dxa"/>
              <w:start w:w="160" w:type="dxa"/>
              <w:bottom w:w="150" w:type="dxa"/>
              <w:end w:w="160" w:type="dxa"/>
            </w:tcMar>
            <w:vAlign w:val="center"/>
          </w:tcPr>
          <w:p>
            <w:r>
              <w:t>V16.1.0  ·  ENGINEERING RELEASE CANDIDATE · finale Release-QA und reale V16.1.0-Update-Feldabnahme noch ausstehend</w:t>
            </w:r>
          </w:p>
        </w:tc>
      </w:tr>
    </w:tbl>
    <w:p>
      <w:pPr>
        <w:spacing w:after="80"/>
        <w:widowControl w:val="1"/>
      </w:pPr>
    </w:p>
    <w:tbl>
      <w:tblPr>
        <w:tblW w:type="auto" w:w="0"/>
        <w:jc w:val="center"/>
        <w:tblLayout w:type="fixed"/>
        <w:tblLook w:firstColumn="1" w:firstRow="1" w:lastColumn="0" w:lastRow="0" w:noHBand="0" w:noVBand="1" w:val="04A0"/>
      </w:tblPr>
      <w:tblGrid>
        <w:gridCol w:w="4933"/>
        <w:gridCol w:w="4933"/>
      </w:tblGrid>
      <w:tr>
        <w:trPr>
          <w:trHeight w:hRule="atLeast" w:val="1219"/>
          <w:cantSplit/>
        </w:trPr>
        <w:tc>
          <w:tcPr>
            <w:tcW w:type="dxa" w:w="4933"/>
            <w:shd w:fill="F5F8FA"/>
            <w:tcMar>
              <w:top w:w="140" w:type="dxa"/>
              <w:start w:w="160" w:type="dxa"/>
              <w:bottom w:w="140" w:type="dxa"/>
              <w:end w:w="160" w:type="dxa"/>
            </w:tcMar>
          </w:tcPr>
          <w:p>
            <w:pPr>
              <w:pStyle w:val="CardTitle"/>
            </w:pPr>
            <w:r>
              <w:t>AUTOMATISCH IM HINTERGRUND</w:t>
            </w:r>
          </w:p>
          <w:p>
            <w:pPr>
              <w:pStyle w:val="CardText"/>
            </w:pPr>
            <w:r>
              <w:t>ZEC misst die Netzleistung und passt die Zendure-Leistung fortlaufend an. Im Normalbetrieb ist kein tägliches Eingreifen erforderlich.</w:t>
            </w:r>
          </w:p>
        </w:tc>
        <w:tc>
          <w:tcPr>
            <w:tcW w:type="dxa" w:w="4933"/>
            <w:shd w:fill="F5F8FA"/>
            <w:tcMar>
              <w:top w:w="140" w:type="dxa"/>
              <w:start w:w="160" w:type="dxa"/>
              <w:bottom w:w="140" w:type="dxa"/>
              <w:end w:w="160" w:type="dxa"/>
            </w:tcMar>
          </w:tcPr>
          <w:p>
            <w:pPr>
              <w:pStyle w:val="CardTitle"/>
            </w:pPr>
            <w:r>
              <w:t>PRIMÄRSPEICHER HAT VORRANG</w:t>
            </w:r>
          </w:p>
          <w:p>
            <w:pPr>
              <w:pStyle w:val="CardText"/>
            </w:pPr>
            <w:r>
              <w:t>Ein vorhandener Primärspeicher bleibt führend. ZEC nutzt mit dem Zendure-Speicher gezielt Restüberschüsse oder deckt verbleibenden Netzbezug ab.</w:t>
            </w:r>
          </w:p>
        </w:tc>
      </w:tr>
      <w:tr>
        <w:trPr>
          <w:trHeight w:hRule="atLeast" w:val="1219"/>
          <w:cantSplit/>
        </w:trPr>
        <w:tc>
          <w:tcPr>
            <w:tcW w:type="dxa" w:w="4933"/>
            <w:shd w:fill="F5F8FA"/>
            <w:tcMar>
              <w:top w:w="140" w:type="dxa"/>
              <w:start w:w="160" w:type="dxa"/>
              <w:bottom w:w="140" w:type="dxa"/>
              <w:end w:w="160" w:type="dxa"/>
            </w:tcMar>
          </w:tcPr>
          <w:p>
            <w:pPr>
              <w:pStyle w:val="CardTitle"/>
            </w:pPr>
            <w:r>
              <w:t>LOKAL &amp; NACHVOLLZIEHBAR</w:t>
            </w:r>
          </w:p>
          <w:p>
            <w:pPr>
              <w:pStyle w:val="CardText"/>
            </w:pPr>
            <w:r>
              <w:t>Regelung, Weboberfläche, Historie und Diagnose laufen lokal. Status, Graphen und Ereignisse zeigen, was der Controller tut und warum.</w:t>
            </w:r>
          </w:p>
        </w:tc>
        <w:tc>
          <w:tcPr>
            <w:tcW w:type="dxa" w:w="4933"/>
            <w:shd w:fill="F5F8FA"/>
            <w:tcMar>
              <w:top w:w="140" w:type="dxa"/>
              <w:start w:w="160" w:type="dxa"/>
              <w:bottom w:w="140" w:type="dxa"/>
              <w:end w:w="160" w:type="dxa"/>
            </w:tcMar>
          </w:tcPr>
          <w:p>
            <w:pPr>
              <w:pStyle w:val="CardTitle"/>
            </w:pPr>
            <w:r>
              <w:t>GEFÜHRTE KONFIGURATION</w:t>
              <w:br/>
              <w:t>Die Primärspeicher-Einrichtung ordnet der gewählten Datenquelle die dazugehörigen Parameter verständlich und im passenden Kontext zu.</w:t>
            </w:r>
          </w:p>
          <w:p>
            <w:pPr>
              <w:pStyle w:val="CardText"/>
            </w:pPr>
            <w:r/>
          </w:p>
        </w:tc>
      </w:tr>
    </w:tbl>
    <w:p>
      <w:pPr>
        <w:pStyle w:val="Small"/>
        <w:widowControl w:val="1"/>
      </w:pPr>
      <w:r>
        <w:t>Kurz gesagt: ZEC koordiniert den Zendure-Speicher mit der Netzsituation und – sofern vorhanden – mit einem Primärspeicher, damit die beteiligten Speicher nicht unnötig gegeneinander arbeiten.</w:t>
      </w:r>
    </w:p>
    <w:p>
      <w:pPr>
        <w:pStyle w:val="Heading1"/>
        <w:pBdr>
          <w:bottom w:val="single" w:sz="10" w:space="1" w:color="1B7A78"/>
        </w:pBdr>
        <w:keepNext/>
        <w:keepLines/>
        <w:widowControl w:val="1"/>
      </w:pPr>
      <w:r>
        <w:t>1. Was ZEC im Alltag für den Benutzer macht</w:t>
      </w:r>
    </w:p>
    <w:tbl>
      <w:tblPr>
        <w:tblW w:type="auto" w:w="0"/>
        <w:jc w:val="center"/>
        <w:tblLayout w:type="fixed"/>
        <w:tblLook w:firstColumn="1" w:firstRow="1" w:lastColumn="0" w:lastRow="0" w:noHBand="0" w:noVBand="1" w:val="04A0"/>
      </w:tblPr>
      <w:tblGrid>
        <w:gridCol w:w="2324"/>
        <w:gridCol w:w="7200"/>
      </w:tblGrid>
      <w:tr>
        <w:trPr>
          <w:tblHeader w:val="true"/>
          <w:cantSplit/>
        </w:trPr>
        <w:tc>
          <w:tcPr>
            <w:tcW w:type="dxa" w:w="4933"/>
            <w:shd w:fill="173B57"/>
            <w:tcMar>
              <w:top w:w="100" w:type="dxa"/>
              <w:start w:w="120" w:type="dxa"/>
              <w:bottom w:w="100" w:type="dxa"/>
              <w:end w:w="120" w:type="dxa"/>
            </w:tcMar>
          </w:tcPr>
          <w:p>
            <w:pPr>
              <w:pStyle w:val="TableHead"/>
            </w:pPr>
            <w:r>
              <w:t>Situation</w:t>
            </w:r>
          </w:p>
        </w:tc>
        <w:tc>
          <w:tcPr>
            <w:tcW w:type="dxa" w:w="4933"/>
            <w:shd w:fill="173B57"/>
            <w:tcMar>
              <w:top w:w="100" w:type="dxa"/>
              <w:start w:w="120" w:type="dxa"/>
              <w:bottom w:w="100" w:type="dxa"/>
              <w:end w:w="120" w:type="dxa"/>
            </w:tcMar>
          </w:tcPr>
          <w:p>
            <w:pPr>
              <w:pStyle w:val="TableHead"/>
            </w:pPr>
            <w:r>
              <w:t>Was ZEC für den Benutzer tut</w:t>
            </w:r>
          </w:p>
        </w:tc>
      </w:tr>
      <w:tr>
        <w:trPr>
          <w:cantSplit/>
        </w:trPr>
        <w:tc>
          <w:tcPr>
            <w:tcW w:type="dxa" w:w="2324"/>
            <w:tcMar>
              <w:top w:w="100" w:type="dxa"/>
              <w:start w:w="120" w:type="dxa"/>
              <w:bottom w:w="100" w:type="dxa"/>
              <w:end w:w="120" w:type="dxa"/>
            </w:tcMar>
          </w:tcPr>
          <w:p>
            <w:pPr>
              <w:pStyle w:val="TableText"/>
            </w:pPr>
            <w:r>
              <w:rPr>
                <w:b/>
              </w:rPr>
              <w:t>PV-Überschuss</w:t>
            </w:r>
          </w:p>
        </w:tc>
        <w:tc>
          <w:tcPr>
            <w:tcW w:type="dxa" w:w="7200"/>
            <w:tcMar>
              <w:top w:w="100" w:type="dxa"/>
              <w:start w:w="120" w:type="dxa"/>
              <w:bottom w:w="100" w:type="dxa"/>
              <w:end w:w="120" w:type="dxa"/>
            </w:tcMar>
          </w:tcPr>
          <w:p>
            <w:pPr>
              <w:pStyle w:val="TableText"/>
            </w:pPr>
            <w:r>
              <w:t>Bei Einspeisung kann ZEC den Zendure-Speicher laden. Dabei berücksichtigt es, ob und wie der Primärspeicher bereits lädt und ob Restleistung übrig bleibt.</w:t>
            </w:r>
          </w:p>
        </w:tc>
      </w:tr>
      <w:tr>
        <w:trPr>
          <w:cantSplit/>
        </w:trPr>
        <w:tc>
          <w:tcPr>
            <w:tcW w:type="dxa" w:w="2324"/>
            <w:tcMar>
              <w:top w:w="100" w:type="dxa"/>
              <w:start w:w="120" w:type="dxa"/>
              <w:bottom w:w="100" w:type="dxa"/>
              <w:end w:w="120" w:type="dxa"/>
            </w:tcMar>
          </w:tcPr>
          <w:p>
            <w:pPr>
              <w:pStyle w:val="TableText"/>
            </w:pPr>
            <w:r>
              <w:rPr>
                <w:b/>
              </w:rPr>
              <w:t>Netzbezug</w:t>
            </w:r>
          </w:p>
        </w:tc>
        <w:tc>
          <w:tcPr>
            <w:tcW w:type="dxa" w:w="7200"/>
            <w:tcMar>
              <w:top w:w="100" w:type="dxa"/>
              <w:start w:w="120" w:type="dxa"/>
              <w:bottom w:w="100" w:type="dxa"/>
              <w:end w:w="120" w:type="dxa"/>
            </w:tcMar>
          </w:tcPr>
          <w:p>
            <w:pPr>
              <w:pStyle w:val="TableText"/>
            </w:pPr>
            <w:r>
              <w:t>Bei Bezug kann ZEC den Zendure-Speicher entladen, soweit SOC-, Leistungs- und Schutzgrenzen das zulassen.</w:t>
            </w:r>
          </w:p>
        </w:tc>
      </w:tr>
      <w:tr>
        <w:trPr>
          <w:cantSplit/>
        </w:trPr>
        <w:tc>
          <w:tcPr>
            <w:tcW w:type="dxa" w:w="2324"/>
            <w:tcMar>
              <w:top w:w="100" w:type="dxa"/>
              <w:start w:w="120" w:type="dxa"/>
              <w:bottom w:w="100" w:type="dxa"/>
              <w:end w:w="120" w:type="dxa"/>
            </w:tcMar>
          </w:tcPr>
          <w:p>
            <w:pPr>
              <w:pStyle w:val="TableText"/>
            </w:pPr>
            <w:r>
              <w:rPr>
                <w:b/>
              </w:rPr>
              <w:t>Zwei Speicher im selben Haus</w:t>
            </w:r>
          </w:p>
        </w:tc>
        <w:tc>
          <w:tcPr>
            <w:tcW w:type="dxa" w:w="7200"/>
            <w:tcMar>
              <w:top w:w="100" w:type="dxa"/>
              <w:start w:w="120" w:type="dxa"/>
              <w:bottom w:w="100" w:type="dxa"/>
              <w:end w:w="120" w:type="dxa"/>
            </w:tcMar>
          </w:tcPr>
          <w:p>
            <w:pPr>
              <w:pStyle w:val="TableText"/>
            </w:pPr>
            <w:r>
              <w:t>Cross-Charge-Schutz soll verhindern, dass ein Speicher unnötig aus dem anderen geladen wird. Der Primärspeicher behält grundsätzlich Priorität.</w:t>
            </w:r>
          </w:p>
        </w:tc>
      </w:tr>
      <w:tr>
        <w:trPr>
          <w:cantSplit/>
        </w:trPr>
        <w:tc>
          <w:tcPr>
            <w:tcW w:type="dxa" w:w="2324"/>
            <w:tcMar>
              <w:top w:w="100" w:type="dxa"/>
              <w:start w:w="120" w:type="dxa"/>
              <w:bottom w:w="100" w:type="dxa"/>
              <w:end w:w="120" w:type="dxa"/>
            </w:tcMar>
          </w:tcPr>
          <w:p>
            <w:pPr>
              <w:pStyle w:val="TableText"/>
            </w:pPr>
            <w:r>
              <w:rPr>
                <w:b/>
              </w:rPr>
              <w:t>Nacht / Reserve</w:t>
            </w:r>
          </w:p>
        </w:tc>
        <w:tc>
          <w:tcPr>
            <w:tcW w:type="dxa" w:w="7200"/>
            <w:tcMar>
              <w:top w:w="100" w:type="dxa"/>
              <w:start w:w="120" w:type="dxa"/>
              <w:bottom w:w="100" w:type="dxa"/>
              <w:end w:w="120" w:type="dxa"/>
            </w:tcMar>
          </w:tcPr>
          <w:p>
            <w:pPr>
              <w:pStyle w:val="TableText"/>
            </w:pPr>
            <w:r>
              <w:t>Ein Nachtmodus kann zeitgesteuert entladen und bei einer definierten Reserve sauber auf 0 W neutralisieren.</w:t>
            </w:r>
          </w:p>
        </w:tc>
      </w:tr>
      <w:tr>
        <w:trPr>
          <w:cantSplit/>
        </w:trPr>
        <w:tc>
          <w:tcPr>
            <w:tcW w:type="dxa" w:w="2324"/>
            <w:tcMar>
              <w:top w:w="100" w:type="dxa"/>
              <w:start w:w="120" w:type="dxa"/>
              <w:bottom w:w="100" w:type="dxa"/>
              <w:end w:w="120" w:type="dxa"/>
            </w:tcMar>
          </w:tcPr>
          <w:p>
            <w:pPr>
              <w:pStyle w:val="TableText"/>
            </w:pPr>
            <w:r>
              <w:rPr>
                <w:b/>
              </w:rPr>
              <w:t>Fehlerfall</w:t>
            </w:r>
          </w:p>
        </w:tc>
        <w:tc>
          <w:tcPr>
            <w:tcW w:type="dxa" w:w="7200"/>
            <w:tcMar>
              <w:top w:w="100" w:type="dxa"/>
              <w:start w:w="120" w:type="dxa"/>
              <w:bottom w:w="100" w:type="dxa"/>
              <w:end w:w="120" w:type="dxa"/>
            </w:tcMar>
          </w:tcPr>
          <w:p>
            <w:pPr>
              <w:pStyle w:val="TableText"/>
            </w:pPr>
            <w:r>
              <w:t>Bei fehlenden oder widersprüchlichen Daten wechselt ZEC nicht blind weiter. Sicherheits- und Recovery-Mechanismen begrenzen bzw. neutralisieren die Regelung.</w:t>
            </w:r>
          </w:p>
        </w:tc>
      </w:tr>
    </w:tbl>
    <w:p>
      <w:pPr>
        <w:pStyle w:val="Heading1"/>
        <w:pBdr>
          <w:bottom w:val="single" w:sz="10" w:space="1" w:color="1B7A78"/>
        </w:pBdr>
        <w:keepNext/>
        <w:keepLines/>
        <w:widowControl w:val="1"/>
      </w:pPr>
      <w:r>
        <w:t>2. Was angeschlossen bzw. eingebunden wird</w:t>
      </w:r>
    </w:p>
    <w:p>
      <w:pPr>
        <w:widowControl w:val="1"/>
      </w:pPr>
      <w:r>
        <w:t>ZEC verbindet keine Verbraucher elektrisch miteinander. Es liest Mess- und Speicherzustände über das Heimnetz und sendet daraus abgeleitete Leistungsgrenzen an den Zendure-Speicher.</w:t>
      </w:r>
    </w:p>
    <w:tbl>
      <w:tblPr>
        <w:tblW w:type="auto" w:w="0"/>
        <w:jc w:val="center"/>
        <w:tblLayout w:type="fixed"/>
        <w:tblLook w:firstColumn="1" w:firstRow="1" w:lastColumn="0" w:lastRow="0" w:noHBand="0" w:noVBand="1" w:val="04A0"/>
      </w:tblPr>
      <w:tblGrid>
        <w:gridCol w:w="1757"/>
        <w:gridCol w:w="3855"/>
        <w:gridCol w:w="3912"/>
      </w:tblGrid>
      <w:tr>
        <w:trPr>
          <w:tblHeader w:val="true"/>
          <w:cantSplit/>
        </w:trPr>
        <w:tc>
          <w:tcPr>
            <w:tcW w:type="dxa" w:w="3289"/>
            <w:shd w:fill="173B57"/>
            <w:tcMar>
              <w:top w:w="100" w:type="dxa"/>
              <w:start w:w="120" w:type="dxa"/>
              <w:bottom w:w="100" w:type="dxa"/>
              <w:end w:w="120" w:type="dxa"/>
            </w:tcMar>
          </w:tcPr>
          <w:p>
            <w:pPr>
              <w:pStyle w:val="TableHead"/>
            </w:pPr>
            <w:r>
              <w:t>Bereich</w:t>
            </w:r>
          </w:p>
        </w:tc>
        <w:tc>
          <w:tcPr>
            <w:tcW w:type="dxa" w:w="3289"/>
            <w:shd w:fill="173B57"/>
            <w:tcMar>
              <w:top w:w="100" w:type="dxa"/>
              <w:start w:w="120" w:type="dxa"/>
              <w:bottom w:w="100" w:type="dxa"/>
              <w:end w:w="120" w:type="dxa"/>
            </w:tcMar>
          </w:tcPr>
          <w:p>
            <w:pPr>
              <w:pStyle w:val="TableHead"/>
            </w:pPr>
            <w:r>
              <w:t>Technischer Anschluss</w:t>
            </w:r>
          </w:p>
        </w:tc>
        <w:tc>
          <w:tcPr>
            <w:tcW w:type="dxa" w:w="3289"/>
            <w:shd w:fill="173B57"/>
            <w:tcMar>
              <w:top w:w="100" w:type="dxa"/>
              <w:start w:w="120" w:type="dxa"/>
              <w:bottom w:w="100" w:type="dxa"/>
              <w:end w:w="120" w:type="dxa"/>
            </w:tcMar>
          </w:tcPr>
          <w:p>
            <w:pPr>
              <w:pStyle w:val="TableHead"/>
            </w:pPr>
            <w:r>
              <w:t>Bedeutung für den Benutzer</w:t>
            </w:r>
          </w:p>
        </w:tc>
      </w:tr>
      <w:tr>
        <w:trPr>
          <w:cantSplit/>
        </w:trPr>
        <w:tc>
          <w:tcPr>
            <w:tcW w:type="dxa" w:w="1757"/>
            <w:tcMar>
              <w:top w:w="100" w:type="dxa"/>
              <w:start w:w="120" w:type="dxa"/>
              <w:bottom w:w="100" w:type="dxa"/>
              <w:end w:w="120" w:type="dxa"/>
            </w:tcMar>
          </w:tcPr>
          <w:p>
            <w:pPr>
              <w:pStyle w:val="TableText"/>
            </w:pPr>
            <w:r>
              <w:rPr>
                <w:b/>
              </w:rPr>
              <w:t>Netzleistung</w:t>
            </w:r>
          </w:p>
        </w:tc>
        <w:tc>
          <w:tcPr>
            <w:tcW w:type="dxa" w:w="3855"/>
            <w:tcMar>
              <w:top w:w="100" w:type="dxa"/>
              <w:start w:w="120" w:type="dxa"/>
              <w:bottom w:w="100" w:type="dxa"/>
              <w:end w:w="120" w:type="dxa"/>
            </w:tcMar>
            <w:vAlign w:val="center"/>
          </w:tcPr>
          <w:p>
            <w:pPr>
              <w:pStyle w:val="TableText"/>
            </w:pPr>
            <w:r>
              <w:t>SMA Energy Meter / Sunny Home Manager per Speedwire/UDP oder Shelly Pro 3EM bzw. Shelly-kompatibler HTTP-Endpunkt.</w:t>
            </w:r>
            <w:r>
              <w:rPr>
                <w:b w:val="0"/>
              </w:rPr>
            </w:r>
          </w:p>
        </w:tc>
        <w:tc>
          <w:tcPr>
            <w:tcW w:type="dxa" w:w="3912"/>
            <w:tcMar>
              <w:top w:w="100" w:type="dxa"/>
              <w:start w:w="120" w:type="dxa"/>
              <w:bottom w:w="100" w:type="dxa"/>
              <w:end w:w="120" w:type="dxa"/>
            </w:tcMar>
            <w:vAlign w:val="center"/>
          </w:tcPr>
          <w:p>
            <w:pPr>
              <w:pStyle w:val="TableText"/>
            </w:pPr>
            <w:r>
              <w:t>Grundlage dafür, ob gerade eingespeist oder aus dem Netz bezogen wird. In den Einstellungen wird die aktive Netzleistungsquelle ausgewählt; ihre Messdaten müssen aktuell und für ZEC erreichbar sein.</w:t>
            </w:r>
            <w:r>
              <w:rPr>
                <w:b w:val="0"/>
              </w:rPr>
            </w:r>
          </w:p>
        </w:tc>
      </w:tr>
      <w:tr>
        <w:trPr>
          <w:cantSplit/>
        </w:trPr>
        <w:tc>
          <w:tcPr>
            <w:tcW w:type="dxa" w:w="1757"/>
            <w:tcMar>
              <w:top w:w="100" w:type="dxa"/>
              <w:start w:w="120" w:type="dxa"/>
              <w:bottom w:w="100" w:type="dxa"/>
              <w:end w:w="120" w:type="dxa"/>
            </w:tcMar>
          </w:tcPr>
          <w:p>
            <w:pPr>
              <w:pStyle w:val="TableText"/>
            </w:pPr>
            <w:r>
              <w:rPr>
                <w:b/>
              </w:rPr>
              <w:t>Zendure-Zweitspeicher</w:t>
            </w:r>
          </w:p>
        </w:tc>
        <w:tc>
          <w:tcPr>
            <w:tcW w:type="dxa" w:w="3855"/>
            <w:tcMar>
              <w:top w:w="100" w:type="dxa"/>
              <w:start w:w="120" w:type="dxa"/>
              <w:bottom w:w="100" w:type="dxa"/>
              <w:end w:w="120" w:type="dxa"/>
            </w:tcMar>
          </w:tcPr>
          <w:p>
            <w:pPr>
              <w:pStyle w:val="TableText"/>
            </w:pPr>
            <w:r>
              <w:rPr>
                <w:b w:val="0"/>
              </w:rPr>
              <w:t>Zendure SolarFlow 2400 AC über MQTT; optionale lokale API als ergänzender Diagnose-/Telemetriepfad.</w:t>
            </w:r>
          </w:p>
        </w:tc>
        <w:tc>
          <w:tcPr>
            <w:tcW w:type="dxa" w:w="3912"/>
            <w:tcMar>
              <w:top w:w="100" w:type="dxa"/>
              <w:start w:w="120" w:type="dxa"/>
              <w:bottom w:w="100" w:type="dxa"/>
              <w:end w:w="120" w:type="dxa"/>
            </w:tcMar>
          </w:tcPr>
          <w:p>
            <w:pPr>
              <w:pStyle w:val="TableText"/>
            </w:pPr>
            <w:r>
              <w:rPr>
                <w:b w:val="0"/>
              </w:rPr>
              <w:t>ZEC gibt Lade- bzw. Entladeleistung vor und überwacht den zurückgelesenen Gerätezustand.</w:t>
            </w:r>
          </w:p>
        </w:tc>
      </w:tr>
      <w:tr>
        <w:trPr>
          <w:cantSplit/>
        </w:trPr>
        <w:tc>
          <w:tcPr>
            <w:tcW w:type="dxa" w:w="1757"/>
            <w:tcMar>
              <w:top w:w="100" w:type="dxa"/>
              <w:start w:w="120" w:type="dxa"/>
              <w:bottom w:w="100" w:type="dxa"/>
              <w:end w:w="120" w:type="dxa"/>
            </w:tcMar>
            <w:vAlign w:val="center"/>
          </w:tcPr>
          <w:p>
            <w:pPr>
              <w:pStyle w:val="TableText"/>
            </w:pPr>
            <w:r/>
            <w:r>
              <w:rPr>
                <w:b/>
              </w:rPr>
              <w:t>Primärspeicher (optional)</w:t>
            </w:r>
          </w:p>
        </w:tc>
        <w:tc>
          <w:tcPr>
            <w:tcW w:type="dxa" w:w="3855"/>
            <w:tcMar>
              <w:top w:w="100" w:type="dxa"/>
              <w:start w:w="120" w:type="dxa"/>
              <w:bottom w:w="100" w:type="dxa"/>
              <w:end w:w="120" w:type="dxa"/>
            </w:tcMar>
            <w:vAlign w:val="center"/>
          </w:tcPr>
          <w:p>
            <w:pPr>
              <w:pStyle w:val="TableText"/>
            </w:pPr>
            <w:r/>
            <w:r>
              <w:rPr>
                <w:b w:val="0"/>
              </w:rPr>
              <w:t>Konfigurierte Primärspeicher-Datenquelle; direkter Referenzpfad über Modbus TCP, z. B. SMA Sunny Island.</w:t>
            </w:r>
          </w:p>
        </w:tc>
        <w:tc>
          <w:tcPr>
            <w:tcW w:type="dxa" w:w="3912"/>
            <w:tcMar>
              <w:top w:w="100" w:type="dxa"/>
              <w:start w:w="120" w:type="dxa"/>
              <w:bottom w:w="100" w:type="dxa"/>
              <w:end w:w="120" w:type="dxa"/>
            </w:tcMar>
            <w:vAlign w:val="center"/>
          </w:tcPr>
          <w:p>
            <w:pPr>
              <w:pStyle w:val="TableText"/>
            </w:pPr>
            <w:r/>
            <w:r>
              <w:rPr>
                <w:b w:val="0"/>
              </w:rPr>
              <w:t>Ermöglicht Priorisierung, Harvest-/Cross-Charge-Entscheidungen und die gemeinsame Darstellung beider Speichersysteme.</w:t>
            </w:r>
          </w:p>
        </w:tc>
      </w:tr>
      <w:tr>
        <w:trPr>
          <w:cantSplit/>
        </w:trPr>
        <w:tc>
          <w:tcPr>
            <w:tcW w:type="dxa" w:w="1757"/>
            <w:tcMar>
              <w:top w:w="100" w:type="dxa"/>
              <w:start w:w="120" w:type="dxa"/>
              <w:bottom w:w="100" w:type="dxa"/>
              <w:end w:w="120" w:type="dxa"/>
            </w:tcMar>
          </w:tcPr>
          <w:p>
            <w:pPr>
              <w:pStyle w:val="TableText"/>
            </w:pPr>
            <w:r>
              <w:rPr>
                <w:b/>
              </w:rPr>
              <w:t>Webbrowser</w:t>
            </w:r>
          </w:p>
        </w:tc>
        <w:tc>
          <w:tcPr>
            <w:tcW w:type="dxa" w:w="3855"/>
            <w:tcMar>
              <w:top w:w="100" w:type="dxa"/>
              <w:start w:w="120" w:type="dxa"/>
              <w:bottom w:w="100" w:type="dxa"/>
              <w:end w:w="120" w:type="dxa"/>
            </w:tcMar>
          </w:tcPr>
          <w:p>
            <w:pPr>
              <w:pStyle w:val="TableText"/>
            </w:pPr>
            <w:r>
              <w:rPr>
                <w:b w:val="0"/>
              </w:rPr>
              <w:t>Lokale Weboberfläche über HTTP/FastAPI.</w:t>
            </w:r>
          </w:p>
        </w:tc>
        <w:tc>
          <w:tcPr>
            <w:tcW w:type="dxa" w:w="3912"/>
            <w:tcMar>
              <w:top w:w="100" w:type="dxa"/>
              <w:start w:w="120" w:type="dxa"/>
              <w:bottom w:w="100" w:type="dxa"/>
              <w:end w:w="120" w:type="dxa"/>
            </w:tcMar>
          </w:tcPr>
          <w:p>
            <w:pPr>
              <w:pStyle w:val="TableText"/>
            </w:pPr>
            <w:r>
              <w:rPr>
                <w:b w:val="0"/>
              </w:rPr>
              <w:t>Status, Graph, Einstellungen, Diagnose, Konfigurationsstände und administrative Aktionen.</w:t>
            </w:r>
          </w:p>
        </w:tc>
      </w:tr>
      <w:tr>
        <w:trPr>
          <w:cantSplit/>
        </w:trPr>
        <w:tc>
          <w:tcPr>
            <w:tcW w:type="dxa" w:w="1757"/>
            <w:tcMar>
              <w:top w:w="100" w:type="dxa"/>
              <w:start w:w="120" w:type="dxa"/>
              <w:bottom w:w="100" w:type="dxa"/>
              <w:end w:w="120" w:type="dxa"/>
            </w:tcMar>
          </w:tcPr>
          <w:p>
            <w:pPr>
              <w:pStyle w:val="TableText"/>
            </w:pPr>
            <w:r>
              <w:rPr>
                <w:b/>
              </w:rPr>
              <w:t>Historie</w:t>
            </w:r>
          </w:p>
        </w:tc>
        <w:tc>
          <w:tcPr>
            <w:tcW w:type="dxa" w:w="3855"/>
            <w:tcMar>
              <w:top w:w="100" w:type="dxa"/>
              <w:start w:w="120" w:type="dxa"/>
              <w:bottom w:w="100" w:type="dxa"/>
              <w:end w:w="120" w:type="dxa"/>
            </w:tcMar>
          </w:tcPr>
          <w:p>
            <w:pPr>
              <w:pStyle w:val="TableText"/>
            </w:pPr>
            <w:r>
              <w:rPr>
                <w:b w:val="0"/>
              </w:rPr>
              <w:t>Lokale SQLite-/Dateispeicherung.</w:t>
            </w:r>
          </w:p>
        </w:tc>
        <w:tc>
          <w:tcPr>
            <w:tcW w:type="dxa" w:w="3912"/>
            <w:tcMar>
              <w:top w:w="100" w:type="dxa"/>
              <w:start w:w="120" w:type="dxa"/>
              <w:bottom w:w="100" w:type="dxa"/>
              <w:end w:w="120" w:type="dxa"/>
            </w:tcMar>
          </w:tcPr>
          <w:p>
            <w:pPr>
              <w:pStyle w:val="TableText"/>
            </w:pPr>
            <w:r>
              <w:rPr>
                <w:b w:val="0"/>
              </w:rPr>
              <w:t>Langzeitgraphen und Analyse bleiben lokal verfügbar; Measurement V4 ist eine optionale Tiefendiagnoseebene.</w:t>
            </w:r>
          </w:p>
        </w:tc>
      </w:tr>
    </w:tbl>
    <w:p>
      <w:pPr>
        <w:pStyle w:val="Heading2"/>
        <w:keepNext/>
        <w:keepLines/>
        <w:widowControl w:val="1"/>
      </w:pPr>
      <w:r>
        <w:t>2.1 Primärspeicher-Einrichtung</w:t>
      </w:r>
    </w:p>
    <w:p>
      <w:pPr>
        <w:widowControl w:val="1"/>
      </w:pPr>
      <w:r>
        <w:rPr/>
        <w:t>Die Primärspeicher-Einrichtung führt die Auswahl der Datenquelle und die dazugehörigen Parameter in einem gemeinsamen fachlichen Zusammenhang. Die Oberfläche ordnet Quellkonfiguration, Geräteprofil und erforderliche Felder nachvollziehbar einander zu. Für die direkte Modbus-Datenquelle werden die benötigten Verbindungs- und Geräteparameter im passenden Konfigurationskontext bereitgestellt.</w:t>
      </w:r>
      <w:r>
        <w:t xml:space="preserve"> Beim SMA-Sunny-Island-Geräteprofil liest ZEC zusätzlich die aktuelle untere Entladegrenze des Eigenverbrauchsbereichs read-only aus Register 31009 (FC03/U32). Dieser Wert besitzt eine eigene Freshness-/Validitätsbewertung und ist keine Benutzer-Einstellung.</w:t>
      </w:r>
    </w:p>
    <w:p>
      <w:pPr>
        <w:widowControl w:val="1"/>
      </w:pPr>
      <w:r>
        <w:rPr/>
        <w:t>Für den Primärspeicher kann ein verständlicher Darstellungsname festgelegt werden. Dieser Name wird in der Oberfläche durchgängig verwendet; technische Quellen- oder Geräteprofilbezeichnungen bleiben auf Konfiguration und Diagnose beschränkt.</w:t>
      </w:r>
      <w:r>
        <w:t xml:space="preserve"> Ein explizit konfigurierter Name hat Vorrang; fehlt er, wird ein Geräteprofil-Default oder der neutrale Fallback „Primärspeicher“ verwendet.</w:t>
      </w:r>
    </w:p>
    <w:p>
      <w:pPr>
        <w:pStyle w:val="Heading1"/>
        <w:pBdr>
          <w:bottom w:val="single" w:sz="10" w:space="1" w:color="1B7A78"/>
        </w:pBdr>
        <w:keepNext/>
        <w:keepLines/>
        <w:widowControl w:val="1"/>
      </w:pPr>
      <w:r>
        <w:t>3. Betriebsarten – verständlich zusammengefasst</w:t>
      </w:r>
    </w:p>
    <w:tbl>
      <w:tblPr>
        <w:tblW w:type="auto" w:w="0"/>
        <w:jc w:val="center"/>
        <w:tblLayout w:type="fixed"/>
        <w:tblLook w:firstColumn="1" w:firstRow="1" w:lastColumn="0" w:lastRow="0" w:noHBand="0" w:noVBand="1" w:val="04A0"/>
      </w:tblPr>
      <w:tblGrid>
        <w:gridCol w:w="2494"/>
        <w:gridCol w:w="7030"/>
      </w:tblGrid>
      <w:tr>
        <w:trPr>
          <w:tblHeader w:val="true"/>
          <w:cantSplit/>
        </w:trPr>
        <w:tc>
          <w:tcPr>
            <w:tcW w:type="dxa" w:w="4933"/>
            <w:shd w:fill="173B57"/>
            <w:tcMar>
              <w:top w:w="100" w:type="dxa"/>
              <w:start w:w="120" w:type="dxa"/>
              <w:bottom w:w="100" w:type="dxa"/>
              <w:end w:w="120" w:type="dxa"/>
            </w:tcMar>
          </w:tcPr>
          <w:p>
            <w:pPr>
              <w:pStyle w:val="TableHead"/>
            </w:pPr>
            <w:r>
              <w:t>Betriebsart</w:t>
            </w:r>
          </w:p>
        </w:tc>
        <w:tc>
          <w:tcPr>
            <w:tcW w:type="dxa" w:w="4933"/>
            <w:shd w:fill="173B57"/>
            <w:tcMar>
              <w:top w:w="100" w:type="dxa"/>
              <w:start w:w="120" w:type="dxa"/>
              <w:bottom w:w="100" w:type="dxa"/>
              <w:end w:w="120" w:type="dxa"/>
            </w:tcMar>
          </w:tcPr>
          <w:p>
            <w:pPr>
              <w:pStyle w:val="TableHead"/>
            </w:pPr>
            <w:r>
              <w:t>Was sie bedeutet</w:t>
            </w:r>
          </w:p>
        </w:tc>
      </w:tr>
      <w:tr>
        <w:trPr>
          <w:cantSplit/>
        </w:trPr>
        <w:tc>
          <w:tcPr>
            <w:tcW w:type="dxa" w:w="2494"/>
            <w:tcMar>
              <w:top w:w="100" w:type="dxa"/>
              <w:start w:w="120" w:type="dxa"/>
              <w:bottom w:w="100" w:type="dxa"/>
              <w:end w:w="120" w:type="dxa"/>
            </w:tcMar>
          </w:tcPr>
          <w:p>
            <w:pPr>
              <w:pStyle w:val="TableText"/>
            </w:pPr>
            <w:r>
              <w:rPr>
                <w:b/>
              </w:rPr>
              <w:t>AUTO</w:t>
            </w:r>
          </w:p>
        </w:tc>
        <w:tc>
          <w:tcPr>
            <w:tcW w:type="dxa" w:w="7030"/>
            <w:tcMar>
              <w:top w:w="100" w:type="dxa"/>
              <w:start w:w="120" w:type="dxa"/>
              <w:bottom w:w="100" w:type="dxa"/>
              <w:end w:w="120" w:type="dxa"/>
            </w:tcMar>
          </w:tcPr>
          <w:p>
            <w:pPr>
              <w:pStyle w:val="TableText"/>
            </w:pPr>
            <w:r>
              <w:t>Der normale Automatikbetrieb. ZEC reagiert auf Einspeisung oder Netzbezug und nähert sich dem gewünschten Netzpunkt innerhalb der konfigurierten Grenzen.</w:t>
            </w:r>
          </w:p>
        </w:tc>
      </w:tr>
      <w:tr>
        <w:trPr>
          <w:cantSplit/>
        </w:trPr>
        <w:tc>
          <w:tcPr>
            <w:tcW w:type="dxa" w:w="2494"/>
            <w:tcMar>
              <w:top w:w="100" w:type="dxa"/>
              <w:start w:w="120" w:type="dxa"/>
              <w:bottom w:w="100" w:type="dxa"/>
              <w:end w:w="120" w:type="dxa"/>
            </w:tcMar>
          </w:tcPr>
          <w:p>
            <w:pPr>
              <w:pStyle w:val="TableText"/>
            </w:pPr>
            <w:r>
              <w:rPr>
                <w:b/>
              </w:rPr>
              <w:t>Harvest / Restüberschuss</w:t>
            </w:r>
          </w:p>
        </w:tc>
        <w:tc>
          <w:tcPr>
            <w:tcW w:type="dxa" w:w="7030"/>
            <w:tcMar>
              <w:top w:w="100" w:type="dxa"/>
              <w:start w:w="120" w:type="dxa"/>
              <w:bottom w:w="100" w:type="dxa"/>
              <w:end w:w="120" w:type="dxa"/>
            </w:tcMar>
          </w:tcPr>
          <w:p>
            <w:pPr>
              <w:pStyle w:val="TableText"/>
            </w:pPr>
            <w:r>
              <w:t>Zusätzliche PV-Leistung wird genutzt, wenn der Primärspeicher sie nicht benötigt oder die dafür vorgesehenen Bedingungen erfüllt sind.</w:t>
            </w:r>
          </w:p>
        </w:tc>
      </w:tr>
      <w:tr>
        <w:trPr>
          <w:cantSplit/>
        </w:trPr>
        <w:tc>
          <w:tcPr>
            <w:tcW w:type="dxa" w:w="2494"/>
            <w:tcMar>
              <w:top w:w="100" w:type="dxa"/>
              <w:start w:w="120" w:type="dxa"/>
              <w:bottom w:w="100" w:type="dxa"/>
              <w:end w:w="120" w:type="dxa"/>
            </w:tcMar>
          </w:tcPr>
          <w:p>
            <w:pPr>
              <w:pStyle w:val="TableText"/>
            </w:pPr>
            <w:r>
              <w:rPr>
                <w:b/>
              </w:rPr>
              <w:t>Nachtmodus</w:t>
            </w:r>
          </w:p>
        </w:tc>
        <w:tc>
          <w:tcPr>
            <w:tcW w:type="dxa" w:w="7030"/>
            <w:tcMar>
              <w:top w:w="100" w:type="dxa"/>
              <w:start w:w="120" w:type="dxa"/>
              <w:bottom w:w="100" w:type="dxa"/>
              <w:end w:w="120" w:type="dxa"/>
            </w:tcMar>
          </w:tcPr>
          <w:p>
            <w:pPr>
              <w:pStyle w:val="TableText"/>
            </w:pPr>
            <w:r>
              <w:t>Zeitfensterbasierte Entladung mit eigener Reserve-SOC-Grenze; beim Ende wird aktiv neutralisiert.</w:t>
            </w:r>
          </w:p>
        </w:tc>
      </w:tr>
      <w:tr>
        <w:trPr>
          <w:cantSplit/>
        </w:trPr>
        <w:tc>
          <w:tcPr>
            <w:tcW w:type="dxa" w:w="2494"/>
            <w:tcMar>
              <w:top w:w="100" w:type="dxa"/>
              <w:start w:w="120" w:type="dxa"/>
              <w:bottom w:w="100" w:type="dxa"/>
              <w:end w:w="120" w:type="dxa"/>
            </w:tcMar>
          </w:tcPr>
          <w:p>
            <w:pPr>
              <w:pStyle w:val="TableText"/>
            </w:pPr>
            <w:r>
              <w:rPr>
                <w:b/>
              </w:rPr>
              <w:t>Manuell Laden / Entladen</w:t>
            </w:r>
          </w:p>
        </w:tc>
        <w:tc>
          <w:tcPr>
            <w:tcW w:type="dxa" w:w="7030"/>
            <w:tcMar>
              <w:top w:w="100" w:type="dxa"/>
              <w:start w:w="120" w:type="dxa"/>
              <w:bottom w:w="100" w:type="dxa"/>
              <w:end w:w="120" w:type="dxa"/>
            </w:tcMar>
          </w:tcPr>
          <w:p>
            <w:pPr>
              <w:pStyle w:val="TableText"/>
            </w:pPr>
            <w:r>
              <w:t>Gezielter Betrieb mit festem Leistungs-/SOC-Ziel, weiterhin unter globalen Schutzgrenzen.</w:t>
            </w:r>
          </w:p>
        </w:tc>
      </w:tr>
      <w:tr>
        <w:trPr>
          <w:cantSplit/>
        </w:trPr>
        <w:tc>
          <w:tcPr>
            <w:tcW w:type="dxa" w:w="2494"/>
            <w:tcMar>
              <w:top w:w="100" w:type="dxa"/>
              <w:start w:w="120" w:type="dxa"/>
              <w:bottom w:w="100" w:type="dxa"/>
              <w:end w:w="120" w:type="dxa"/>
            </w:tcMar>
          </w:tcPr>
          <w:p>
            <w:pPr>
              <w:pStyle w:val="TableText"/>
            </w:pPr>
            <w:r>
              <w:rPr>
                <w:b/>
              </w:rPr>
              <w:t>STOP / HOLD</w:t>
            </w:r>
          </w:p>
        </w:tc>
        <w:tc>
          <w:tcPr>
            <w:tcW w:type="dxa" w:w="7030"/>
            <w:tcMar>
              <w:top w:w="100" w:type="dxa"/>
              <w:start w:w="120" w:type="dxa"/>
              <w:bottom w:w="100" w:type="dxa"/>
              <w:end w:w="120" w:type="dxa"/>
            </w:tcMar>
          </w:tcPr>
          <w:p>
            <w:pPr>
              <w:pStyle w:val="TableText"/>
            </w:pPr>
            <w:r>
              <w:t>Aktiv neutraler Zustand. ZEC fordert 0 W an und überwacht auch diese Neutralisierung als echten Gerätezustand.</w:t>
            </w:r>
          </w:p>
        </w:tc>
      </w:tr>
      <w:tr>
        <w:trPr>
          <w:cantSplit/>
        </w:trPr>
        <w:tc>
          <w:tcPr>
            <w:tcW w:type="dxa" w:w="2494"/>
            <w:tcMar>
              <w:top w:w="100" w:type="dxa"/>
              <w:start w:w="120" w:type="dxa"/>
              <w:bottom w:w="100" w:type="dxa"/>
              <w:end w:w="120" w:type="dxa"/>
            </w:tcMar>
          </w:tcPr>
          <w:p>
            <w:pPr>
              <w:pStyle w:val="TableText"/>
            </w:pPr>
            <w:r>
              <w:rPr>
                <w:b/>
              </w:rPr>
              <w:t>SAFE / Recovery</w:t>
            </w:r>
          </w:p>
        </w:tc>
        <w:tc>
          <w:tcPr>
            <w:tcW w:type="dxa" w:w="7030"/>
            <w:tcMar>
              <w:top w:w="100" w:type="dxa"/>
              <w:start w:w="120" w:type="dxa"/>
              <w:bottom w:w="100" w:type="dxa"/>
              <w:end w:w="120" w:type="dxa"/>
            </w:tcMar>
          </w:tcPr>
          <w:p>
            <w:pPr>
              <w:pStyle w:val="TableText"/>
            </w:pPr>
            <w:r>
              <w:t>Bei echten Daten-, Kommunikations- oder Wirkungsproblemen wird ein sicherer Zustand hergestellt und der Geräte-State bei Bedarf vollständig neu synchronisiert.</w:t>
            </w:r>
          </w:p>
        </w:tc>
      </w:tr>
    </w:tbl>
    <w:p>
      <w:pPr>
        <w:pStyle w:val="Heading1"/>
        <w:pBdr>
          <w:bottom w:val="single" w:sz="10" w:space="1" w:color="1B7A78"/>
        </w:pBdr>
        <w:keepNext/>
        <w:keepLines/>
        <w:widowControl w:val="1"/>
      </w:pPr>
      <w:r>
        <w:t>4. Was der Benutzer in der Oberfläche sieht</w:t>
      </w:r>
    </w:p>
    <w:tbl>
      <w:tblPr>
        <w:tblW w:type="auto" w:w="0"/>
        <w:jc w:val="center"/>
        <w:tblLayout w:type="fixed"/>
        <w:tblLook w:firstColumn="1" w:firstRow="1" w:lastColumn="0" w:lastRow="0" w:noHBand="0" w:noVBand="1" w:val="04A0"/>
      </w:tblPr>
      <w:tblGrid>
        <w:gridCol w:w="2324"/>
        <w:gridCol w:w="7200"/>
      </w:tblGrid>
      <w:tr>
        <w:trPr>
          <w:tblHeader w:val="true"/>
          <w:cantSplit/>
        </w:trPr>
        <w:tc>
          <w:tcPr>
            <w:tcW w:type="dxa" w:w="4933"/>
            <w:shd w:fill="173B57"/>
            <w:tcMar>
              <w:top w:w="100" w:type="dxa"/>
              <w:start w:w="120" w:type="dxa"/>
              <w:bottom w:w="100" w:type="dxa"/>
              <w:end w:w="120" w:type="dxa"/>
            </w:tcMar>
          </w:tcPr>
          <w:p>
            <w:pPr>
              <w:pStyle w:val="TableHead"/>
            </w:pPr>
            <w:r>
              <w:t>Bereich</w:t>
            </w:r>
          </w:p>
        </w:tc>
        <w:tc>
          <w:tcPr>
            <w:tcW w:type="dxa" w:w="4933"/>
            <w:shd w:fill="173B57"/>
            <w:tcMar>
              <w:top w:w="100" w:type="dxa"/>
              <w:start w:w="120" w:type="dxa"/>
              <w:bottom w:w="100" w:type="dxa"/>
              <w:end w:w="120" w:type="dxa"/>
            </w:tcMar>
          </w:tcPr>
          <w:p>
            <w:pPr>
              <w:pStyle w:val="TableHead"/>
            </w:pPr>
            <w:r>
              <w:t>Benutzersicht</w:t>
            </w:r>
          </w:p>
        </w:tc>
      </w:tr>
      <w:tr>
        <w:trPr>
          <w:cantSplit/>
        </w:trPr>
        <w:tc>
          <w:tcPr>
            <w:tcW w:type="dxa" w:w="2324"/>
            <w:tcMar>
              <w:top w:w="100" w:type="dxa"/>
              <w:start w:w="120" w:type="dxa"/>
              <w:bottom w:w="100" w:type="dxa"/>
              <w:end w:w="120" w:type="dxa"/>
            </w:tcMar>
          </w:tcPr>
          <w:p>
            <w:pPr>
              <w:pStyle w:val="TableText"/>
            </w:pPr>
            <w:r>
              <w:rPr>
                <w:b/>
              </w:rPr>
              <w:t>Status</w:t>
            </w:r>
          </w:p>
        </w:tc>
        <w:tc>
          <w:tcPr>
            <w:tcW w:type="dxa" w:w="7200"/>
            <w:tcMar>
              <w:top w:w="100" w:type="dxa"/>
              <w:start w:w="120" w:type="dxa"/>
              <w:bottom w:w="100" w:type="dxa"/>
              <w:end w:w="120" w:type="dxa"/>
            </w:tcMar>
          </w:tcPr>
          <w:p>
            <w:r>
              <w:t>Live-Übersicht zu Netz, Betriebsmodus, Zendure, Primärspeicher, Controller, Messdaten und Warnungen. Der eingestellte Darstellungsname des Primärspeichers wird durchgängig verwendet. Beim SMA-Sunny-Island-Profil werden die aktuelle read-only Entlade-Untergrenze und der daraus diagnostisch normierte nutzbare Primär-SOC angezeigt, sofern frisch und gültig.</w:t>
            </w:r>
          </w:p>
        </w:tc>
      </w:tr>
      <w:tr>
        <w:trPr>
          <w:cantSplit/>
        </w:trPr>
        <w:tc>
          <w:tcPr>
            <w:tcW w:type="dxa" w:w="2324"/>
            <w:tcMar>
              <w:top w:w="100" w:type="dxa"/>
              <w:start w:w="120" w:type="dxa"/>
              <w:bottom w:w="100" w:type="dxa"/>
              <w:end w:w="120" w:type="dxa"/>
            </w:tcMar>
          </w:tcPr>
          <w:p>
            <w:pPr>
              <w:pStyle w:val="TableText"/>
            </w:pPr>
            <w:r>
              <w:rPr>
                <w:b/>
              </w:rPr>
              <w:t>Graph</w:t>
            </w:r>
          </w:p>
        </w:tc>
        <w:tc>
          <w:tcPr>
            <w:tcW w:type="dxa" w:w="7200"/>
            <w:tcMar>
              <w:top w:w="100" w:type="dxa"/>
              <w:start w:w="120" w:type="dxa"/>
              <w:bottom w:w="100" w:type="dxa"/>
              <w:end w:w="120" w:type="dxa"/>
            </w:tcMar>
          </w:tcPr>
          <w:p>
            <w:pPr>
              <w:pStyle w:val="TableText"/>
            </w:pPr>
            <w:r>
              <w:t>Historische und aktuelle Verläufe für Netz, Speicher, SOC und Controllerzustände. Guided-/Free-Ansichten, Cursor-Inspector und Vergleichsfunktionen unterstützen die Ursachenanalyse.</w:t>
            </w:r>
          </w:p>
        </w:tc>
      </w:tr>
      <w:tr>
        <w:trPr>
          <w:cantSplit/>
        </w:trPr>
        <w:tc>
          <w:tcPr>
            <w:tcW w:type="dxa" w:w="2324"/>
            <w:tcMar>
              <w:top w:w="100" w:type="dxa"/>
              <w:start w:w="120" w:type="dxa"/>
              <w:bottom w:w="100" w:type="dxa"/>
              <w:end w:w="120" w:type="dxa"/>
            </w:tcMar>
          </w:tcPr>
          <w:p>
            <w:pPr>
              <w:pStyle w:val="TableText"/>
            </w:pPr>
            <w:r>
              <w:rPr>
                <w:b/>
              </w:rPr>
              <w:t>Graph-Interaktion</w:t>
            </w:r>
          </w:p>
        </w:tc>
        <w:tc>
          <w:tcPr>
            <w:tcW w:type="dxa" w:w="7200"/>
            <w:tcMar>
              <w:top w:w="100" w:type="dxa"/>
              <w:start w:w="120" w:type="dxa"/>
              <w:bottom w:w="100" w:type="dxa"/>
              <w:end w:w="120" w:type="dxa"/>
            </w:tcMar>
          </w:tcPr>
          <w:p>
            <w:pPr>
              <w:pStyle w:val="TableText"/>
            </w:pPr>
            <w:r>
              <w:t>Tooltip und Cursor-Inspector weichen horizontal vom Cursor aus und folgen in den großen Graphen zusätzlich weich der vertikalen Mausposition. Zustände &amp; Ereignisse verwendet einen adaptiven, synchronen Detailausschnitt; Command-Follow hält seine Cursorwerte in einer festen Anzeige außerhalb des Mini-Graphs.</w:t>
            </w:r>
          </w:p>
        </w:tc>
      </w:tr>
      <w:tr>
        <w:trPr>
          <w:cantSplit/>
        </w:trPr>
        <w:tc>
          <w:tcPr>
            <w:tcW w:type="dxa" w:w="2324"/>
            <w:tcMar>
              <w:top w:w="100" w:type="dxa"/>
              <w:start w:w="120" w:type="dxa"/>
              <w:bottom w:w="100" w:type="dxa"/>
              <w:end w:w="120" w:type="dxa"/>
            </w:tcMar>
          </w:tcPr>
          <w:p>
            <w:pPr>
              <w:pStyle w:val="TableText"/>
            </w:pPr>
            <w:r>
              <w:rPr>
                <w:b/>
              </w:rPr>
              <w:t>Einstellungen</w:t>
            </w:r>
          </w:p>
        </w:tc>
        <w:tc>
          <w:tcPr>
            <w:tcW w:type="dxa" w:w="7200"/>
            <w:tcMar>
              <w:top w:w="100" w:type="dxa"/>
              <w:start w:w="120" w:type="dxa"/>
              <w:bottom w:w="100" w:type="dxa"/>
              <w:end w:w="120" w:type="dxa"/>
            </w:tcMar>
          </w:tcPr>
          <w:p>
            <w:pPr>
              <w:pStyle w:val="TableText"/>
            </w:pPr>
            <w:r>
              <w:t>Standard- und Expertenansicht. Änderungen werden zuerst geprüft und erst nach Bestätigung übernommen. Abhängige Quellparameter werden im passenden Konfigurationskontext gemeinsam dargestellt und erreichbar gemacht.</w:t>
            </w:r>
          </w:p>
        </w:tc>
      </w:tr>
      <w:tr>
        <w:trPr>
          <w:cantSplit/>
        </w:trPr>
        <w:tc>
          <w:tcPr>
            <w:tcW w:type="dxa" w:w="2324"/>
            <w:tcMar>
              <w:top w:w="100" w:type="dxa"/>
              <w:start w:w="120" w:type="dxa"/>
              <w:bottom w:w="100" w:type="dxa"/>
              <w:end w:w="120" w:type="dxa"/>
            </w:tcMar>
          </w:tcPr>
          <w:p>
            <w:pPr>
              <w:pStyle w:val="TableText"/>
            </w:pPr>
            <w:r>
              <w:rPr>
                <w:b/>
              </w:rPr>
              <w:t>Konfigurationsstände</w:t>
            </w:r>
          </w:p>
        </w:tc>
        <w:tc>
          <w:tcPr>
            <w:tcW w:type="dxa" w:w="7200"/>
            <w:tcMar>
              <w:top w:w="100" w:type="dxa"/>
              <w:start w:w="120" w:type="dxa"/>
              <w:bottom w:w="100" w:type="dxa"/>
              <w:end w:w="120" w:type="dxa"/>
            </w:tcMar>
          </w:tcPr>
          <w:p>
            <w:pPr>
              <w:pStyle w:val="TableText"/>
            </w:pPr>
            <w:r>
              <w:t>Gespeicherte Stände und Import/Export werden vor Übernahme validiert und als Änderungen/Diff dargestellt; Secrets werden getrennt behandelt.</w:t>
            </w:r>
          </w:p>
        </w:tc>
      </w:tr>
      <w:tr>
        <w:trPr>
          <w:cantSplit/>
        </w:trPr>
        <w:tc>
          <w:tcPr>
            <w:tcW w:type="dxa" w:w="2324"/>
            <w:tcMar>
              <w:top w:w="100" w:type="dxa"/>
              <w:start w:w="120" w:type="dxa"/>
              <w:bottom w:w="100" w:type="dxa"/>
              <w:end w:w="120" w:type="dxa"/>
            </w:tcMar>
          </w:tcPr>
          <w:p>
            <w:pPr>
              <w:pStyle w:val="TableText"/>
            </w:pPr>
            <w:r>
              <w:rPr>
                <w:b/>
              </w:rPr>
              <w:t>Diagnose</w:t>
            </w:r>
          </w:p>
        </w:tc>
        <w:tc>
          <w:tcPr>
            <w:tcW w:type="dxa" w:w="7200"/>
            <w:tcMar>
              <w:top w:w="100" w:type="dxa"/>
              <w:start w:w="120" w:type="dxa"/>
              <w:bottom w:w="100" w:type="dxa"/>
              <w:end w:w="120" w:type="dxa"/>
            </w:tcMar>
          </w:tcPr>
          <w:p>
            <w:pPr>
              <w:pStyle w:val="TableText"/>
            </w:pPr>
            <w:r>
              <w:t>Health/Ready, Ereignisse, MQTT-/Messdatenstatus, Storage-Zustand und Diagnosepakete helfen bei Störungen, ohne dass der Benutzer interne Logs manuell zusammensuchen muss.</w:t>
            </w:r>
          </w:p>
        </w:tc>
      </w:tr>
    </w:tbl>
    <w:p>
      <w:pPr>
        <w:pStyle w:val="Heading1"/>
        <w:pBdr>
          <w:bottom w:val="single" w:sz="10" w:space="1" w:color="1B7A78"/>
        </w:pBdr>
        <w:keepNext/>
        <w:keepLines/>
        <w:widowControl w:val="1"/>
      </w:pPr>
      <w:r>
        <w:t>5. Schutzmechanismen – was davon im Alltag wichtig ist</w:t>
      </w:r>
    </w:p>
    <w:p>
      <w:pPr>
        <w:keepLines/>
        <w:widowControl w:val="1"/>
      </w:pPr>
      <w:r>
        <w:rPr>
          <w:b/>
          <w:color w:val="1B7A78"/>
        </w:rPr>
        <w:t xml:space="preserve">SOC- und Leistungsgrenzen: </w:t>
      </w:r>
      <w:r>
        <w:t>ZEC überschreibt keine konfigurierten Mindest-/Maximal-SOC- oder Leistungsgrenzen, nur um ein Netzregelziel zu erreichen.</w:t>
      </w:r>
    </w:p>
    <w:p>
      <w:pPr>
        <w:keepLines/>
        <w:widowControl w:val="1"/>
      </w:pPr>
      <w:r>
        <w:rPr>
          <w:b/>
          <w:color w:val="1B7A78"/>
        </w:rPr>
        <w:t xml:space="preserve">Cross-Charge-Schutz: </w:t>
      </w:r>
      <w:r>
        <w:t>Soll verhindern, dass sich die Speicher gegenseitig unnötig Energie zuschieben. Angeforderte Richtung und tatsächlich beobachteter Energiefluss werden getrennt betrachtet.</w:t>
      </w:r>
    </w:p>
    <w:p>
      <w:pPr>
        <w:keepLines/>
        <w:widowControl w:val="1"/>
      </w:pPr>
      <w:r>
        <w:rPr>
          <w:b/>
          <w:color w:val="1B7A78"/>
        </w:rPr>
        <w:t xml:space="preserve">0 W ist ein echtes Kommando: </w:t>
      </w:r>
      <w:r>
        <w:t>Bei STOP, Reserve, Grenzerreichung oder Moduswechsel reicht es nicht, "nichts mehr zu senden". ZEC fordert Neutralität aktiv an und überwacht deren Wirkung.</w:t>
      </w:r>
    </w:p>
    <w:p>
      <w:pPr>
        <w:keepLines/>
        <w:widowControl w:val="1"/>
      </w:pPr>
      <w:r>
        <w:rPr>
          <w:b/>
          <w:color w:val="1B7A78"/>
        </w:rPr>
        <w:t xml:space="preserve">Publish ist nicht gleich Wirkung: </w:t>
      </w:r>
      <w:r>
        <w:t>Ein gesendetes MQTT-Kommando gilt nicht automatisch als erfolgreich. ZEC bewertet Readback, Richtung, Sollwerttracking und die tatsächliche Systemreaktion getrennt.</w:t>
      </w:r>
    </w:p>
    <w:p>
      <w:pPr>
        <w:keepLines/>
        <w:widowControl w:val="1"/>
      </w:pPr>
      <w:r>
        <w:rPr>
          <w:b/>
          <w:color w:val="1B7A78"/>
        </w:rPr>
        <w:t xml:space="preserve">Schonender Gerätebetrieb: </w:t>
      </w:r>
      <w:r>
        <w:t>Unnötige Richtungswechsel, häufige AC-Moduswechsel, zyklusweise Wiederholungspublishes und persistente Schreibvorgänge im normalen Regelpfad sollen vermieden werden.</w:t>
      </w:r>
    </w:p>
    <w:p>
      <w:pPr>
        <w:keepLines/>
        <w:widowControl w:val="1"/>
      </w:pPr>
      <w:r>
        <w:rPr>
          <w:b/>
          <w:color w:val="1B7A78"/>
        </w:rPr>
        <w:t xml:space="preserve">Fail closed bei Ambiguität: </w:t>
      </w:r>
      <w:r>
        <w:t>Fehlen wesentliche Daten oder sind Recovery-Zustände widersprüchlich, entscheidet ZEC nicht anhand unsicherer Annahmen weiter.</w:t>
      </w:r>
    </w:p>
    <w:p>
      <w:pPr>
        <w:pStyle w:val="Heading1"/>
        <w:pBdr>
          <w:bottom w:val="single" w:sz="10" w:space="1" w:color="1B7A78"/>
        </w:pBdr>
        <w:keepNext/>
        <w:keepLines/>
        <w:widowControl w:val="1"/>
      </w:pPr>
      <w:r>
        <w:t>6. Technische Voraussetzungen und Anlagenkonstellationen</w:t>
      </w:r>
    </w:p>
    <w:p>
      <w:pPr>
        <w:pStyle w:val="Heading2"/>
        <w:keepNext/>
        <w:keepLines/>
      </w:pPr>
      <w:r>
        <w:t>6.1 Hardware und Infrastruktur</w:t>
      </w:r>
    </w:p>
    <w:tbl>
      <w:tblPr>
        <w:tblW w:type="auto" w:w="0"/>
        <w:jc w:val="center"/>
        <w:tblLayout w:type="fixed"/>
        <w:tblLook w:firstColumn="1" w:firstRow="1" w:lastColumn="0" w:lastRow="0" w:noHBand="0" w:noVBand="1" w:val="04A0"/>
      </w:tblPr>
      <w:tblGrid>
        <w:gridCol w:w="4933"/>
        <w:gridCol w:w="4933"/>
      </w:tblGrid>
      <w:tr>
        <w:trPr>
          <w:cantSplit/>
        </w:trPr>
        <w:tc>
          <w:tcPr>
            <w:tcW w:type="dxa" w:w="3402"/>
            <w:vAlign w:val="center"/>
            <w:shd w:fill="EAF2F5" w:val="clear"/>
            <w:tcMar>
              <w:top w:w="100" w:type="dxa"/>
              <w:start w:w="120" w:type="dxa"/>
              <w:bottom w:w="100" w:type="dxa"/>
              <w:end w:w="120" w:type="dxa"/>
            </w:tcMar>
          </w:tcPr>
          <w:p>
            <w:pPr>
              <w:pStyle w:val="TableText"/>
            </w:pPr>
            <w:r/>
            <w:r>
              <w:rPr>
                <w:b/>
              </w:rPr>
              <w:t>Controller-Rechner</w:t>
            </w:r>
          </w:p>
        </w:tc>
        <w:tc>
          <w:tcPr>
            <w:tcW w:type="dxa" w:w="6123"/>
            <w:vAlign w:val="center"/>
            <w:tcMar>
              <w:top w:w="100" w:type="dxa"/>
              <w:start w:w="120" w:type="dxa"/>
              <w:bottom w:w="100" w:type="dxa"/>
              <w:end w:w="120" w:type="dxa"/>
            </w:tcMar>
          </w:tcPr>
          <w:p>
            <w:r>
              <w:t>Referenzplattform: Raspberry Pi 3B+ mit Raspberry Pi OS/Linux und systemd. Der Deploymentvertrag setzt Benutzer/Gruppe pi, /home/pi, sudo, Python 3 und dauerhaft beschreibbaren persistenten Speicher voraus.</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Netzleistungsmessung</w:t>
            </w:r>
          </w:p>
        </w:tc>
        <w:tc>
          <w:tcPr>
            <w:tcW w:type="dxa" w:w="6123"/>
            <w:vAlign w:val="center"/>
            <w:tcMar>
              <w:top w:w="100" w:type="dxa"/>
              <w:start w:w="120" w:type="dxa"/>
              <w:bottom w:w="100" w:type="dxa"/>
              <w:end w:w="120" w:type="dxa"/>
            </w:tcMar>
          </w:tcPr>
          <w:p>
            <w:pPr>
              <w:pStyle w:val="TableText"/>
            </w:pPr>
            <w:r>
              <w:t>Mindestens eine unterstützte Netzleistungsquelle: SMA Energy Meter / Sunny Home Manager über Speedwire/UDP oder Shelly Pro 3EM bzw. ein Shelly-kompatibler HTTP-Endpunkt. Bei SMA müssen die Multicast-Telegramme den ZEC-Rechner erreichen (Referenzziel 239.12.255.254:9522); bei Shelly-kompatiblem HTTP muss der Endpunkt lokal per IP erreichbar sein.</w:t>
            </w:r>
            <w:r>
              <w:rPr>
                <w:b w:val="0"/>
              </w:rPr>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Zendure-Speicher</w:t>
            </w:r>
          </w:p>
        </w:tc>
        <w:tc>
          <w:tcPr>
            <w:tcW w:type="dxa" w:w="6123"/>
            <w:vAlign w:val="center"/>
            <w:tcMar>
              <w:top w:w="100" w:type="dxa"/>
              <w:start w:w="120" w:type="dxa"/>
              <w:bottom w:w="100" w:type="dxa"/>
              <w:end w:w="120" w:type="dxa"/>
            </w:tcMar>
          </w:tcPr>
          <w:p>
            <w:pPr>
              <w:pStyle w:val="TableText"/>
            </w:pPr>
            <w:r/>
            <w:r>
              <w:rPr>
                <w:b w:val="0"/>
              </w:rPr>
              <w:t>Eine von ZEC unterstützte Zendure-SolarFlow-Headunit als aktiv gesteuerter Speicher (Referenzintegration: SolarFlow 2400 AC/AC+). MQTT-Telemetrie und vollständiger Command-State müssen erreichbar sein.</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Primärspeicher</w:t>
            </w:r>
          </w:p>
        </w:tc>
        <w:tc>
          <w:tcPr>
            <w:tcW w:type="dxa" w:w="6123"/>
            <w:vAlign w:val="center"/>
            <w:tcMar>
              <w:top w:w="100" w:type="dxa"/>
              <w:start w:w="120" w:type="dxa"/>
              <w:bottom w:w="100" w:type="dxa"/>
              <w:end w:w="120" w:type="dxa"/>
            </w:tcMar>
          </w:tcPr>
          <w:p>
            <w:r>
              <w:t>Optional. Bei Nutzung benötigt ZEC eine konfigurierte und aktuelle Datenquelle für Leistung und Roh-SOC. Direkter Referenzpfad: Modbus TCP mit passendem Geräteprofil; SMA-Sunny-Island-Referenz über TCP 502 / Unit-ID 3. Das SMA-Profil unterstützt zusätzlich die read-only Capability für die aktuelle untere Entladegrenze (Register 31009); andere Primärspeicherprofile erhalten diese Capability nicht automatisch.</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Lokales Netzwerk</w:t>
            </w:r>
          </w:p>
        </w:tc>
        <w:tc>
          <w:tcPr>
            <w:tcW w:type="dxa" w:w="6123"/>
            <w:vAlign w:val="center"/>
            <w:tcMar>
              <w:top w:w="100" w:type="dxa"/>
              <w:start w:w="120" w:type="dxa"/>
              <w:bottom w:w="100" w:type="dxa"/>
              <w:end w:w="120" w:type="dxa"/>
            </w:tcMar>
          </w:tcPr>
          <w:p>
            <w:pPr>
              <w:pStyle w:val="TableText"/>
            </w:pPr>
            <w:r/>
            <w:r>
              <w:rPr>
                <w:b w:val="0"/>
              </w:rPr>
              <w:t>Controller, Messquelle, MQTT-Broker, Zendure-Integration und gegebenenfalls Primärspeicher müssen zuverlässig erreichbar sein. Bei Speedwire muss UDP-Multicast im betreffenden Netzsegment funktionieren.</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Persistenter Speicher</w:t>
            </w:r>
          </w:p>
        </w:tc>
        <w:tc>
          <w:tcPr>
            <w:tcW w:type="dxa" w:w="6123"/>
            <w:vAlign w:val="center"/>
            <w:tcMar>
              <w:top w:w="100" w:type="dxa"/>
              <w:start w:w="120" w:type="dxa"/>
              <w:bottom w:w="100" w:type="dxa"/>
              <w:end w:w="120" w:type="dxa"/>
            </w:tcMar>
          </w:tcPr>
          <w:p>
            <w:pPr>
              <w:pStyle w:val="TableText"/>
            </w:pPr>
            <w:r/>
            <w:r>
              <w:rPr>
                <w:b w:val="0"/>
              </w:rPr>
              <w:t>Beschreibbarer dauerhafter Speicher für Konfiguration, Last-Good-Recovery, Graph-Core/SQLite-Historie und – sofern aktiviert – Measurement-Daten.</w:t>
            </w:r>
          </w:p>
        </w:tc>
      </w:tr>
    </w:tbl>
    <w:p>
      <w:pPr>
        <w:pStyle w:val="Heading2"/>
        <w:keepNext/>
        <w:keepLines/>
      </w:pPr>
      <w:r>
        <w:t>6.2 Software und Dienste</w:t>
      </w:r>
    </w:p>
    <w:tbl>
      <w:tblPr>
        <w:tblW w:type="auto" w:w="0"/>
        <w:jc w:val="center"/>
        <w:tblLayout w:type="fixed"/>
        <w:tblLook w:firstColumn="1" w:firstRow="1" w:lastColumn="0" w:lastRow="0" w:noHBand="0" w:noVBand="1" w:val="04A0"/>
      </w:tblPr>
      <w:tblGrid>
        <w:gridCol w:w="4933"/>
        <w:gridCol w:w="4933"/>
      </w:tblGrid>
      <w:tr>
        <w:trPr>
          <w:cantSplit/>
        </w:trPr>
        <w:tc>
          <w:tcPr>
            <w:tcW w:type="dxa" w:w="3402"/>
            <w:vAlign w:val="center"/>
            <w:shd w:fill="EAF2F5" w:val="clear"/>
            <w:tcMar>
              <w:top w:w="100" w:type="dxa"/>
              <w:start w:w="120" w:type="dxa"/>
              <w:bottom w:w="100" w:type="dxa"/>
              <w:end w:w="120" w:type="dxa"/>
            </w:tcMar>
          </w:tcPr>
          <w:p>
            <w:pPr>
              <w:pStyle w:val="TableText"/>
            </w:pPr>
            <w:r/>
            <w:r>
              <w:rPr>
                <w:b/>
              </w:rPr>
              <w:t>Betriebssystem</w:t>
            </w:r>
          </w:p>
        </w:tc>
        <w:tc>
          <w:tcPr>
            <w:tcW w:type="dxa" w:w="6123"/>
            <w:vAlign w:val="center"/>
            <w:tcMar>
              <w:top w:w="100" w:type="dxa"/>
              <w:start w:w="120" w:type="dxa"/>
              <w:bottom w:w="100" w:type="dxa"/>
              <w:end w:w="120" w:type="dxa"/>
            </w:tcMar>
          </w:tcPr>
          <w:p>
            <w:r>
              <w:t>Linux mit systemd; Referenzbetrieb auf Raspberry Pi OS/Linux. Für den kanonischen Deploymentpfad müssen Benutzer/Gruppe pi, /home/pi und sudo vorhanden sein.</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Python</w:t>
            </w:r>
          </w:p>
        </w:tc>
        <w:tc>
          <w:tcPr>
            <w:tcW w:type="dxa" w:w="6123"/>
            <w:vAlign w:val="center"/>
            <w:tcMar>
              <w:top w:w="100" w:type="dxa"/>
              <w:start w:w="120" w:type="dxa"/>
              <w:bottom w:w="100" w:type="dxa"/>
              <w:end w:w="120" w:type="dxa"/>
            </w:tcMar>
          </w:tcPr>
          <w:p>
            <w:r>
              <w:t>Python 3 mit den vom ZEC-Paket benötigten Python-Abhängigkeiten; Web/API wird über FastAPI/Uvicorn bereitgestellt. Der Installer prüft fehlende Runtimeabhängigkeiten vor Produktivmutation und installiert keine apt-/pip-Pakete automatisch.</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MQTT</w:t>
            </w:r>
          </w:p>
        </w:tc>
        <w:tc>
          <w:tcPr>
            <w:tcW w:type="dxa" w:w="6123"/>
            <w:vAlign w:val="center"/>
            <w:tcMar>
              <w:top w:w="100" w:type="dxa"/>
              <w:start w:w="120" w:type="dxa"/>
              <w:bottom w:w="100" w:type="dxa"/>
              <w:end w:w="120" w:type="dxa"/>
            </w:tcMar>
          </w:tcPr>
          <w:p>
            <w:r>
              <w:t>Erreichbarer MQTT-Broker für den normalen Regelbetrieb; Referenzbetrieb mit Mosquitto, typischer Port 1883. Ein lokaler mosquitto.service ist keine Installationsvoraussetzung. Im FIRST_INSTALL_SETUP wird der MQTT-Verbindungsaufbau ausgesetzt.</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Webbrowser</w:t>
            </w:r>
          </w:p>
        </w:tc>
        <w:tc>
          <w:tcPr>
            <w:tcW w:type="dxa" w:w="6123"/>
            <w:vAlign w:val="center"/>
            <w:tcMar>
              <w:top w:w="100" w:type="dxa"/>
              <w:start w:w="120" w:type="dxa"/>
              <w:bottom w:w="100" w:type="dxa"/>
              <w:end w:w="120" w:type="dxa"/>
            </w:tcMar>
          </w:tcPr>
          <w:p>
            <w:r>
              <w:t>Aktueller Desktop- oder Mobilbrowser im lokalen Netz für Status, Graph, Einstellungen und Diagnose. Web/API standardmäßig auf Port 8080; unterstützter konfigurierbarer Deploymentbereich 1024..65535.</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ZEC-Dienste</w:t>
            </w:r>
          </w:p>
        </w:tc>
        <w:tc>
          <w:tcPr>
            <w:tcW w:type="dxa" w:w="6123"/>
            <w:vAlign w:val="center"/>
            <w:tcMar>
              <w:top w:w="100" w:type="dxa"/>
              <w:start w:w="120" w:type="dxa"/>
              <w:bottom w:w="100" w:type="dxa"/>
              <w:end w:w="120" w:type="dxa"/>
            </w:tcMar>
          </w:tcPr>
          <w:p>
            <w:pPr>
              <w:pStyle w:val="TableText"/>
            </w:pPr>
            <w:r/>
            <w:r>
              <w:rPr>
                <w:b w:val="0"/>
              </w:rPr>
              <w:t>Controller-Dienst ist für den Regelbetrieb erforderlich. Replay-/Analysefunktionen sind getrennt und bei Nutzung standardmäßig über Port 8090 erreichbar.</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Node.js</w:t>
            </w:r>
          </w:p>
        </w:tc>
        <w:tc>
          <w:tcPr>
            <w:tcW w:type="dxa" w:w="6123"/>
            <w:vAlign w:val="center"/>
            <w:tcMar>
              <w:top w:w="100" w:type="dxa"/>
              <w:start w:w="120" w:type="dxa"/>
              <w:bottom w:w="100" w:type="dxa"/>
              <w:end w:w="120" w:type="dxa"/>
            </w:tcMar>
          </w:tcPr>
          <w:p>
            <w:pPr>
              <w:pStyle w:val="TableText"/>
            </w:pPr>
            <w:r/>
            <w:r>
              <w:rPr>
                <w:b w:val="0"/>
              </w:rPr>
              <w:t>Keine Produktivvoraussetzung. JavaScript-Dateien werden paket-/buildseitig über das Source-Manifest abgesichert.</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EVCC</w:t>
            </w:r>
          </w:p>
        </w:tc>
        <w:tc>
          <w:tcPr>
            <w:tcW w:type="dxa" w:w="6123"/>
            <w:vAlign w:val="center"/>
            <w:tcMar>
              <w:top w:w="100" w:type="dxa"/>
              <w:start w:w="120" w:type="dxa"/>
              <w:bottom w:w="100" w:type="dxa"/>
              <w:end w:w="120" w:type="dxa"/>
            </w:tcMar>
          </w:tcPr>
          <w:p>
            <w:r>
              <w:t>Keine Voraussetzung für den direkten Primärspeicherpfad über Modbus TCP. EVCC kann parallel im Energiesystem betrieben werden, ist für diesen direkten ZEC-Datenpfad jedoch nicht erforderlich.</w:t>
            </w:r>
          </w:p>
        </w:tc>
      </w:tr>
      <w:tr>
        <w:tc>
          <w:tcPr>
            <w:tcW w:type="dxa" w:w="3402"/>
            <w:vAlign w:val="center"/>
            <w:shd w:fill="EAF2F5" w:val="clear"/>
            <w:tcMar>
              <w:top w:w="100" w:type="dxa"/>
              <w:start w:w="120" w:type="dxa"/>
              <w:bottom w:w="100" w:type="dxa"/>
              <w:end w:w="120" w:type="dxa"/>
            </w:tcMar>
          </w:tcPr>
          <w:p>
            <w:pPr>
              <w:pStyle w:val="TableText"/>
            </w:pPr>
            <w:r>
              <w:rPr>
                <w:b/>
              </w:rPr>
              <w:t>Deployment-Werkzeuge</w:t>
            </w:r>
          </w:p>
        </w:tc>
        <w:tc>
          <w:tcPr>
            <w:tcW w:type="dxa" w:w="6123"/>
            <w:vAlign w:val="center"/>
            <w:tcMar>
              <w:top w:w="100" w:type="dxa"/>
              <w:start w:w="120" w:type="dxa"/>
              <w:bottom w:w="100" w:type="dxa"/>
              <w:end w:w="120" w:type="dxa"/>
            </w:tcMar>
          </w:tcPr>
          <w:p>
            <w:r>
              <w:t>Kanonischer Installer tools/install_zendure_controller.sh sowie tools/uninstall_zendure_controller.sh. Beide besitzen einen mutationsfreien --preflight-only-Pfad; update_zendure_controller.sh bleibt als Kompatibilitätswrapper erhalten.</w:t>
            </w:r>
          </w:p>
        </w:tc>
      </w:tr>
      <w:tr>
        <w:tc>
          <w:tcPr>
            <w:tcW w:type="dxa" w:w="3402"/>
            <w:vAlign w:val="center"/>
            <w:shd w:fill="EAF2F5" w:val="clear"/>
            <w:tcMar>
              <w:top w:w="100" w:type="dxa"/>
              <w:start w:w="120" w:type="dxa"/>
              <w:bottom w:w="100" w:type="dxa"/>
              <w:end w:w="120" w:type="dxa"/>
            </w:tcMar>
          </w:tcPr>
          <w:p>
            <w:pPr>
              <w:pStyle w:val="TableText"/>
            </w:pPr>
            <w:r>
              <w:rPr>
                <w:b/>
              </w:rPr>
              <w:t>Lokale Installerwerkzeuge</w:t>
            </w:r>
          </w:p>
        </w:tc>
        <w:tc>
          <w:tcPr>
            <w:tcW w:type="dxa" w:w="6123"/>
            <w:vAlign w:val="center"/>
            <w:tcMar>
              <w:top w:w="100" w:type="dxa"/>
              <w:start w:w="120" w:type="dxa"/>
              <w:bottom w:w="100" w:type="dxa"/>
              <w:end w:w="120" w:type="dxa"/>
            </w:tcMar>
          </w:tcPr>
          <w:p>
            <w:r>
              <w:t>Für den Deploymentpfad werden unter anderem unzip, rsync, tar, curl, sha256sum, install, find und visudo benötigt. Fehlende Voraussetzungen führen vor Produktivänderung zu einem erklärten Preflight-Abbruch mit Installationshinweis.</w:t>
            </w:r>
          </w:p>
        </w:tc>
      </w:tr>
    </w:tbl>
    <w:p>
      <w:pPr>
        <w:pStyle w:val="Heading2"/>
        <w:keepNext/>
        <w:keepLines/>
      </w:pPr>
      <w:r>
        <w:t>6.3 Anlagenkonstellationen und Unterstützungsstatus</w:t>
      </w:r>
    </w:p>
    <w:tbl>
      <w:tblPr>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2600"/>
            <w:vAlign w:val="center"/>
            <w:shd w:fill="173B57" w:val="clear"/>
            <w:tcMar>
              <w:top w:w="100" w:type="dxa"/>
              <w:start w:w="120" w:type="dxa"/>
              <w:bottom w:w="100" w:type="dxa"/>
              <w:end w:w="120" w:type="dxa"/>
            </w:tcMar>
          </w:tcPr>
          <w:p>
            <w:pPr>
              <w:pStyle w:val="TableText"/>
            </w:pPr>
            <w:r>
              <w:rPr>
                <w:b/>
                <w:color w:val="FFFFFF"/>
              </w:rPr>
            </w:r>
            <w:r>
              <w:rPr>
                <w:b/>
                <w:color w:val="FFFFFF"/>
              </w:rPr>
              <w:t>Konstellation</w:t>
            </w:r>
          </w:p>
        </w:tc>
        <w:tc>
          <w:tcPr>
            <w:tcW w:type="dxa" w:w="2600"/>
            <w:vAlign w:val="center"/>
            <w:shd w:fill="173B57" w:val="clear"/>
            <w:tcMar>
              <w:top w:w="100" w:type="dxa"/>
              <w:start w:w="120" w:type="dxa"/>
              <w:bottom w:w="100" w:type="dxa"/>
              <w:end w:w="120" w:type="dxa"/>
            </w:tcMar>
          </w:tcPr>
          <w:p>
            <w:pPr>
              <w:pStyle w:val="TableText"/>
            </w:pPr>
            <w:r>
              <w:rPr>
                <w:b/>
                <w:color w:val="FFFFFF"/>
              </w:rPr>
              <w:t>Status V16.1.0</w:t>
            </w:r>
          </w:p>
        </w:tc>
        <w:tc>
          <w:tcPr>
            <w:tcW w:type="dxa" w:w="4325"/>
            <w:vAlign w:val="center"/>
            <w:shd w:fill="173B57" w:val="clear"/>
            <w:tcMar>
              <w:top w:w="100" w:type="dxa"/>
              <w:start w:w="120" w:type="dxa"/>
              <w:bottom w:w="100" w:type="dxa"/>
              <w:end w:w="120" w:type="dxa"/>
            </w:tcMar>
          </w:tcPr>
          <w:p>
            <w:pPr>
              <w:pStyle w:val="TableText"/>
            </w:pPr>
            <w:r>
              <w:rPr>
                <w:b/>
                <w:color w:val="FFFFFF"/>
              </w:rPr>
            </w:r>
            <w:r>
              <w:rPr>
                <w:b/>
                <w:color w:val="FFFFFF"/>
              </w:rPr>
              <w:t>Bedeutung für den Benutzer</w:t>
            </w:r>
          </w:p>
        </w:tc>
      </w:tr>
      <w:tr>
        <w:trPr>
          <w:cantSplit/>
        </w:trPr>
        <w:tc>
          <w:tcPr>
            <w:tcW w:type="dxa" w:w="2600"/>
            <w:vAlign w:val="center"/>
            <w:tcMar>
              <w:top w:w="100" w:type="dxa"/>
              <w:start w:w="120" w:type="dxa"/>
              <w:bottom w:w="100" w:type="dxa"/>
              <w:end w:w="120" w:type="dxa"/>
            </w:tcMar>
          </w:tcPr>
          <w:p>
            <w:pPr>
              <w:pStyle w:val="TableText"/>
            </w:pPr>
            <w:r/>
            <w:r>
              <w:rPr>
                <w:b/>
              </w:rPr>
              <w:t>1× Zendure, ohne Primärspeicher</w:t>
            </w:r>
          </w:p>
        </w:tc>
        <w:tc>
          <w:tcPr>
            <w:tcW w:type="dxa" w:w="2600"/>
            <w:vAlign w:val="center"/>
            <w:tcMar>
              <w:top w:w="100" w:type="dxa"/>
              <w:start w:w="120" w:type="dxa"/>
              <w:bottom w:w="100" w:type="dxa"/>
              <w:end w:w="120" w:type="dxa"/>
            </w:tcMar>
          </w:tcPr>
          <w:p>
            <w:pPr>
              <w:pStyle w:val="TableText"/>
            </w:pPr>
            <w:r/>
            <w:r>
              <w:rPr>
                <w:b w:val="0"/>
              </w:rPr>
              <w:t>Unterstützte Single-Headunit-Topologie</w:t>
            </w:r>
          </w:p>
        </w:tc>
        <w:tc>
          <w:tcPr>
            <w:tcW w:type="dxa" w:w="4325"/>
            <w:vAlign w:val="center"/>
            <w:tcMar>
              <w:top w:w="100" w:type="dxa"/>
              <w:start w:w="120" w:type="dxa"/>
              <w:bottom w:w="100" w:type="dxa"/>
              <w:end w:w="120" w:type="dxa"/>
            </w:tcMar>
          </w:tcPr>
          <w:p>
            <w:pPr>
              <w:pStyle w:val="TableText"/>
            </w:pPr>
            <w:r/>
            <w:r>
              <w:rPr>
                <w:b w:val="0"/>
              </w:rPr>
              <w:t>ZEC regelt einen Zendure-Commandpfad anhand der Netzleistung. Primärspeicherbezogene Prioritäts-, Harvest- und Cross-Charge-Funktionen sind in dieser Topologie nicht wirksam.</w:t>
            </w:r>
          </w:p>
        </w:tc>
      </w:tr>
      <w:tr>
        <w:trPr>
          <w:cantSplit/>
        </w:trPr>
        <w:tc>
          <w:tcPr>
            <w:tcW w:type="dxa" w:w="2600"/>
            <w:vAlign w:val="center"/>
            <w:tcMar>
              <w:top w:w="100" w:type="dxa"/>
              <w:start w:w="120" w:type="dxa"/>
              <w:bottom w:w="100" w:type="dxa"/>
              <w:end w:w="120" w:type="dxa"/>
            </w:tcMar>
          </w:tcPr>
          <w:p>
            <w:pPr>
              <w:pStyle w:val="TableText"/>
            </w:pPr>
            <w:r/>
            <w:r>
              <w:rPr>
                <w:b/>
              </w:rPr>
              <w:t>1× Zendure + 1× Primärspeicher</w:t>
            </w:r>
          </w:p>
        </w:tc>
        <w:tc>
          <w:tcPr>
            <w:tcW w:type="dxa" w:w="2600"/>
            <w:vAlign w:val="center"/>
            <w:tcMar>
              <w:top w:w="100" w:type="dxa"/>
              <w:start w:w="120" w:type="dxa"/>
              <w:bottom w:w="100" w:type="dxa"/>
              <w:end w:w="120" w:type="dxa"/>
            </w:tcMar>
          </w:tcPr>
          <w:p>
            <w:pPr>
              <w:pStyle w:val="TableText"/>
            </w:pPr>
            <w:r/>
            <w:r>
              <w:rPr>
                <w:b w:val="0"/>
              </w:rPr>
              <w:t>Unterstützt · Referenzbetrieb</w:t>
            </w:r>
          </w:p>
        </w:tc>
        <w:tc>
          <w:tcPr>
            <w:tcW w:type="dxa" w:w="4325"/>
            <w:vAlign w:val="center"/>
            <w:tcMar>
              <w:top w:w="100" w:type="dxa"/>
              <w:start w:w="120" w:type="dxa"/>
              <w:bottom w:w="100" w:type="dxa"/>
              <w:end w:w="120" w:type="dxa"/>
            </w:tcMar>
          </w:tcPr>
          <w:p>
            <w:pPr>
              <w:pStyle w:val="TableText"/>
            </w:pPr>
            <w:r/>
            <w:r>
              <w:rPr>
                <w:b w:val="0"/>
              </w:rPr>
              <w:t>ZEC regelt den Zendure-Speicher und berücksichtigt den Primärspeicher. Die konfigurierte Primärspeicherpriorität, Harvest-Logik und der Cross-Charge-Schutz können vollständig genutzt werden.</w:t>
            </w:r>
          </w:p>
        </w:tc>
      </w:tr>
      <w:tr>
        <w:trPr>
          <w:cantSplit/>
        </w:trPr>
        <w:tc>
          <w:tcPr>
            <w:tcW w:type="dxa" w:w="2600"/>
            <w:vAlign w:val="center"/>
            <w:tcMar>
              <w:top w:w="100" w:type="dxa"/>
              <w:start w:w="120" w:type="dxa"/>
              <w:bottom w:w="100" w:type="dxa"/>
              <w:end w:w="120" w:type="dxa"/>
            </w:tcMar>
          </w:tcPr>
          <w:p>
            <w:pPr>
              <w:pStyle w:val="TableText"/>
            </w:pPr>
            <w:r/>
            <w:r>
              <w:rPr>
                <w:b/>
              </w:rPr>
              <w:t>2× Zendure, ohne Primärspeicher</w:t>
            </w:r>
          </w:p>
        </w:tc>
        <w:tc>
          <w:tcPr>
            <w:tcW w:type="dxa" w:w="2600"/>
            <w:vAlign w:val="center"/>
            <w:tcMar>
              <w:top w:w="100" w:type="dxa"/>
              <w:start w:w="120" w:type="dxa"/>
              <w:bottom w:w="100" w:type="dxa"/>
              <w:end w:w="120" w:type="dxa"/>
            </w:tcMar>
          </w:tcPr>
          <w:p>
            <w:pPr>
              <w:pStyle w:val="TableText"/>
            </w:pPr>
            <w:r/>
            <w:r>
              <w:rPr>
                <w:b w:val="0"/>
              </w:rPr>
              <w:t>Keine freigegebene aktive Dual-Headunit-Regelung</w:t>
            </w:r>
          </w:p>
        </w:tc>
        <w:tc>
          <w:tcPr>
            <w:tcW w:type="dxa" w:w="4325"/>
            <w:vAlign w:val="center"/>
            <w:tcMar>
              <w:top w:w="100" w:type="dxa"/>
              <w:start w:w="120" w:type="dxa"/>
              <w:bottom w:w="100" w:type="dxa"/>
              <w:end w:w="120" w:type="dxa"/>
            </w:tcMar>
          </w:tcPr>
          <w:p>
            <w:pPr>
              <w:pStyle w:val="TableText"/>
            </w:pPr>
            <w:r>
              <w:t>Status-/Datenmodell kann zwei Zendure-Units abbilden; eine freigegebene Sollwertverteilung und getrennte MQTT-Steuerung zweier physischer Headunits ist nicht Bestandteil der V16.1.0-Regelung.</w:t>
            </w:r>
          </w:p>
        </w:tc>
      </w:tr>
      <w:tr>
        <w:trPr>
          <w:cantSplit/>
        </w:trPr>
        <w:tc>
          <w:tcPr>
            <w:tcW w:type="dxa" w:w="2600"/>
            <w:vAlign w:val="center"/>
            <w:tcMar>
              <w:top w:w="100" w:type="dxa"/>
              <w:start w:w="120" w:type="dxa"/>
              <w:bottom w:w="100" w:type="dxa"/>
              <w:end w:w="120" w:type="dxa"/>
            </w:tcMar>
          </w:tcPr>
          <w:p>
            <w:pPr>
              <w:pStyle w:val="TableText"/>
            </w:pPr>
            <w:r/>
            <w:r>
              <w:rPr>
                <w:b/>
              </w:rPr>
              <w:t>2× Zendure + 1× Primärspeicher</w:t>
            </w:r>
          </w:p>
        </w:tc>
        <w:tc>
          <w:tcPr>
            <w:tcW w:type="dxa" w:w="2600"/>
            <w:vAlign w:val="center"/>
            <w:tcMar>
              <w:top w:w="100" w:type="dxa"/>
              <w:start w:w="120" w:type="dxa"/>
              <w:bottom w:w="100" w:type="dxa"/>
              <w:end w:w="120" w:type="dxa"/>
            </w:tcMar>
          </w:tcPr>
          <w:p>
            <w:pPr>
              <w:pStyle w:val="TableText"/>
            </w:pPr>
            <w:r/>
            <w:r>
              <w:rPr>
                <w:b w:val="0"/>
              </w:rPr>
              <w:t>Keine freigegebene aktive Dual-Headunit-Regelung</w:t>
            </w:r>
          </w:p>
        </w:tc>
        <w:tc>
          <w:tcPr>
            <w:tcW w:type="dxa" w:w="4325"/>
            <w:vAlign w:val="center"/>
            <w:tcMar>
              <w:top w:w="100" w:type="dxa"/>
              <w:start w:w="120" w:type="dxa"/>
              <w:bottom w:w="100" w:type="dxa"/>
              <w:end w:w="120" w:type="dxa"/>
            </w:tcMar>
          </w:tcPr>
          <w:p>
            <w:pPr>
              <w:pStyle w:val="TableText"/>
            </w:pPr>
            <w:r>
              <w:t>Die Oberfläche kann diese Topologie darstellen. Die aktive Leistungsverteilung auf zwei physische Zendure-Headunits ist in V16.1.0 nicht als produktiver Regelpfad freigegeben.</w:t>
            </w:r>
          </w:p>
        </w:tc>
      </w:tr>
      <w:tr>
        <w:trPr>
          <w:cantSplit/>
        </w:trPr>
        <w:tc>
          <w:tcPr>
            <w:tcW w:type="dxa" w:w="2600"/>
            <w:vAlign w:val="center"/>
            <w:tcMar>
              <w:top w:w="100" w:type="dxa"/>
              <w:start w:w="120" w:type="dxa"/>
              <w:bottom w:w="100" w:type="dxa"/>
              <w:end w:w="120" w:type="dxa"/>
            </w:tcMar>
          </w:tcPr>
          <w:p>
            <w:pPr>
              <w:pStyle w:val="TableText"/>
            </w:pPr>
            <w:r/>
            <w:r>
              <w:rPr>
                <w:b/>
              </w:rPr>
              <w:t>Mehr als 2 Zendure-Headunits</w:t>
            </w:r>
          </w:p>
        </w:tc>
        <w:tc>
          <w:tcPr>
            <w:tcW w:type="dxa" w:w="2600"/>
            <w:vAlign w:val="center"/>
            <w:tcMar>
              <w:top w:w="100" w:type="dxa"/>
              <w:start w:w="120" w:type="dxa"/>
              <w:bottom w:w="100" w:type="dxa"/>
              <w:end w:w="120" w:type="dxa"/>
            </w:tcMar>
          </w:tcPr>
          <w:p>
            <w:pPr>
              <w:pStyle w:val="TableText"/>
            </w:pPr>
            <w:r/>
            <w:r>
              <w:rPr>
                <w:b w:val="0"/>
              </w:rPr>
              <w:t>Nicht unterstützt</w:t>
            </w:r>
          </w:p>
        </w:tc>
        <w:tc>
          <w:tcPr>
            <w:tcW w:type="dxa" w:w="4325"/>
            <w:vAlign w:val="center"/>
            <w:tcMar>
              <w:top w:w="100" w:type="dxa"/>
              <w:start w:w="120" w:type="dxa"/>
              <w:bottom w:w="100" w:type="dxa"/>
              <w:end w:w="120" w:type="dxa"/>
            </w:tcMar>
          </w:tcPr>
          <w:p>
            <w:pPr>
              <w:pStyle w:val="TableText"/>
            </w:pPr>
            <w:r>
              <w:t>V16.1.0 ist kein generischer Speicher-Flottencontroller. Mehr als zwei Zendure-Headunits gehören nicht zum unterstützten Produktumfang.</w:t>
            </w:r>
          </w:p>
        </w:tc>
      </w:tr>
    </w:tbl>
    <w:p>
      <w:pPr>
        <w:pStyle w:val="Small"/>
      </w:pPr>
      <w:r>
        <w:t>Wichtig: Die Darstellung einer zweiten Zendure-Unit in Status oder Graph ist kein Nachweis für eine aktive Dual-Headunit-Regelung. Maßgeblich ist der freigegebene Command- und Regelpfad von V16.1.0.</w:t>
      </w:r>
    </w:p>
    <w:p>
      <w:pPr>
        <w:pStyle w:val="Heading2"/>
        <w:keepNext/>
        <w:keepLines/>
      </w:pPr>
      <w:r>
        <w:t>6.4 Typische technische Eckdaten</w:t>
      </w:r>
    </w:p>
    <w:tbl>
      <w:tblPr>
        <w:tblW w:type="auto" w:w="0"/>
        <w:jc w:val="center"/>
        <w:tblLayout w:type="fixed"/>
        <w:tblLook w:firstColumn="1" w:firstRow="1" w:lastColumn="0" w:lastRow="0" w:noHBand="0" w:noVBand="1" w:val="04A0"/>
      </w:tblPr>
      <w:tblGrid>
        <w:gridCol w:w="3402"/>
        <w:gridCol w:w="6123"/>
      </w:tblGrid>
      <w:tr>
        <w:trPr>
          <w:cantSplit/>
        </w:trPr>
        <w:tc>
          <w:tcPr>
            <w:tcW w:type="dxa" w:w="3402"/>
            <w:tcMar>
              <w:top w:w="100" w:type="dxa"/>
              <w:start w:w="120" w:type="dxa"/>
              <w:bottom w:w="100" w:type="dxa"/>
              <w:end w:w="120" w:type="dxa"/>
            </w:tcMar>
            <w:shd w:fill="EAF2F5"/>
          </w:tcPr>
          <w:p>
            <w:pPr>
              <w:pStyle w:val="TableText"/>
            </w:pPr>
            <w:r>
              <w:rPr>
                <w:b/>
              </w:rPr>
              <w:t>Referenzplattform</w:t>
            </w:r>
          </w:p>
        </w:tc>
        <w:tc>
          <w:tcPr>
            <w:tcW w:type="dxa" w:w="6123"/>
            <w:tcMar>
              <w:top w:w="100" w:type="dxa"/>
              <w:start w:w="120" w:type="dxa"/>
              <w:bottom w:w="100" w:type="dxa"/>
              <w:end w:w="120" w:type="dxa"/>
            </w:tcMar>
          </w:tcPr>
          <w:p>
            <w:pPr>
              <w:pStyle w:val="TableText"/>
            </w:pPr>
            <w:r>
              <w:t>Raspberry Pi 3B+ / Linux / systemd</w:t>
            </w:r>
          </w:p>
        </w:tc>
      </w:tr>
      <w:tr>
        <w:trPr>
          <w:cantSplit/>
        </w:trPr>
        <w:tc>
          <w:tcPr>
            <w:tcW w:type="dxa" w:w="3402"/>
            <w:tcMar>
              <w:top w:w="100" w:type="dxa"/>
              <w:start w:w="120" w:type="dxa"/>
              <w:bottom w:w="100" w:type="dxa"/>
              <w:end w:w="120" w:type="dxa"/>
            </w:tcMar>
            <w:shd w:fill="EAF2F5"/>
          </w:tcPr>
          <w:p>
            <w:pPr>
              <w:pStyle w:val="TableText"/>
            </w:pPr>
            <w:r>
              <w:rPr>
                <w:b/>
              </w:rPr>
              <w:t>Controller</w:t>
            </w:r>
          </w:p>
        </w:tc>
        <w:tc>
          <w:tcPr>
            <w:tcW w:type="dxa" w:w="6123"/>
            <w:tcMar>
              <w:top w:w="100" w:type="dxa"/>
              <w:start w:w="120" w:type="dxa"/>
              <w:bottom w:w="100" w:type="dxa"/>
              <w:end w:w="120" w:type="dxa"/>
            </w:tcMar>
          </w:tcPr>
          <w:p>
            <w:pPr>
              <w:pStyle w:val="TableText"/>
            </w:pPr>
            <w:r>
              <w:t>Python 3 · FastAPI/Uvicorn für Web/API</w:t>
            </w:r>
          </w:p>
        </w:tc>
      </w:tr>
      <w:tr>
        <w:trPr>
          <w:cantSplit/>
        </w:trPr>
        <w:tc>
          <w:tcPr>
            <w:tcW w:type="dxa" w:w="3402"/>
            <w:tcMar>
              <w:top w:w="100" w:type="dxa"/>
              <w:start w:w="120" w:type="dxa"/>
              <w:bottom w:w="100" w:type="dxa"/>
              <w:end w:w="120" w:type="dxa"/>
            </w:tcMar>
            <w:shd w:fill="EAF2F5"/>
          </w:tcPr>
          <w:p>
            <w:pPr>
              <w:pStyle w:val="TableText"/>
            </w:pPr>
            <w:r>
              <w:rPr>
                <w:b/>
              </w:rPr>
              <w:t>Standard-Regelintervall</w:t>
            </w:r>
          </w:p>
        </w:tc>
        <w:tc>
          <w:tcPr>
            <w:tcW w:type="dxa" w:w="6123"/>
            <w:tcMar>
              <w:top w:w="100" w:type="dxa"/>
              <w:start w:w="120" w:type="dxa"/>
              <w:bottom w:w="100" w:type="dxa"/>
              <w:end w:w="120" w:type="dxa"/>
            </w:tcMar>
          </w:tcPr>
          <w:p>
            <w:pPr>
              <w:pStyle w:val="TableText"/>
            </w:pPr>
            <w:r>
              <w:t>3 s</w:t>
            </w:r>
          </w:p>
        </w:tc>
      </w:tr>
      <w:tr>
        <w:trPr>
          <w:cantSplit/>
        </w:trPr>
        <w:tc>
          <w:tcPr>
            <w:tcW w:type="dxa" w:w="3402"/>
            <w:tcMar>
              <w:top w:w="100" w:type="dxa"/>
              <w:start w:w="120" w:type="dxa"/>
              <w:bottom w:w="100" w:type="dxa"/>
              <w:end w:w="120" w:type="dxa"/>
            </w:tcMar>
            <w:shd w:fill="EAF2F5"/>
          </w:tcPr>
          <w:p>
            <w:pPr>
              <w:pStyle w:val="TableText"/>
            </w:pPr>
            <w:r>
              <w:rPr>
                <w:b/>
              </w:rPr>
              <w:t>Zendure-Kommunikation</w:t>
            </w:r>
          </w:p>
        </w:tc>
        <w:tc>
          <w:tcPr>
            <w:tcW w:type="dxa" w:w="6123"/>
            <w:tcMar>
              <w:top w:w="100" w:type="dxa"/>
              <w:start w:w="120" w:type="dxa"/>
              <w:bottom w:w="100" w:type="dxa"/>
              <w:end w:w="120" w:type="dxa"/>
            </w:tcMar>
          </w:tcPr>
          <w:p>
            <w:pPr>
              <w:pStyle w:val="TableText"/>
            </w:pPr>
            <w:r>
              <w:t>MQTT, typischer Broker-Port 1883</w:t>
            </w:r>
          </w:p>
        </w:tc>
      </w:tr>
      <w:tr>
        <w:trPr>
          <w:cantSplit/>
        </w:trPr>
        <w:tc>
          <w:tcPr>
            <w:tcW w:type="dxa" w:w="3402"/>
            <w:tcMar>
              <w:top w:w="100" w:type="dxa"/>
              <w:start w:w="120" w:type="dxa"/>
              <w:bottom w:w="100" w:type="dxa"/>
              <w:end w:w="120" w:type="dxa"/>
            </w:tcMar>
            <w:shd w:fill="EAF2F5"/>
          </w:tcPr>
          <w:p>
            <w:pPr>
              <w:pStyle w:val="TableText"/>
            </w:pPr>
            <w:r>
              <w:rPr>
                <w:b/>
              </w:rPr>
              <w:t>Web/API</w:t>
            </w:r>
          </w:p>
        </w:tc>
        <w:tc>
          <w:tcPr>
            <w:tcW w:type="dxa" w:w="6123"/>
            <w:tcMar>
              <w:top w:w="100" w:type="dxa"/>
              <w:start w:w="120" w:type="dxa"/>
              <w:bottom w:w="100" w:type="dxa"/>
              <w:end w:w="120" w:type="dxa"/>
            </w:tcMar>
          </w:tcPr>
          <w:p>
            <w:r>
              <w:t>HTTP, Default-Port 8080; konfigurierbarer Deploymentbereich 1024..65535</w:t>
            </w:r>
          </w:p>
        </w:tc>
      </w:tr>
      <w:tr>
        <w:trPr>
          <w:cantSplit/>
        </w:trPr>
        <w:tc>
          <w:tcPr>
            <w:tcW w:type="dxa" w:w="3402"/>
            <w:tcMar>
              <w:top w:w="100" w:type="dxa"/>
              <w:start w:w="120" w:type="dxa"/>
              <w:bottom w:w="100" w:type="dxa"/>
              <w:end w:w="120" w:type="dxa"/>
            </w:tcMar>
            <w:shd w:fill="EAF2F5"/>
          </w:tcPr>
          <w:p>
            <w:pPr>
              <w:pStyle w:val="TableText"/>
            </w:pPr>
            <w:r>
              <w:rPr>
                <w:b/>
              </w:rPr>
              <w:t>Replay/Analyse</w:t>
            </w:r>
          </w:p>
        </w:tc>
        <w:tc>
          <w:tcPr>
            <w:tcW w:type="dxa" w:w="6123"/>
            <w:tcMar>
              <w:top w:w="100" w:type="dxa"/>
              <w:start w:w="120" w:type="dxa"/>
              <w:bottom w:w="100" w:type="dxa"/>
              <w:end w:w="120" w:type="dxa"/>
            </w:tcMar>
          </w:tcPr>
          <w:p>
            <w:pPr>
              <w:pStyle w:val="TableText"/>
            </w:pPr>
            <w:r>
              <w:t>separater Dienst, Standard-Port 8090</w:t>
            </w:r>
          </w:p>
        </w:tc>
      </w:tr>
      <w:tr>
        <w:trPr>
          <w:cantSplit/>
        </w:trPr>
        <w:tc>
          <w:tcPr>
            <w:tcW w:type="dxa" w:w="3402"/>
            <w:tcMar>
              <w:top w:w="100" w:type="dxa"/>
              <w:start w:w="120" w:type="dxa"/>
              <w:bottom w:w="100" w:type="dxa"/>
              <w:end w:w="120" w:type="dxa"/>
            </w:tcMar>
            <w:shd w:fill="EAF2F5"/>
          </w:tcPr>
          <w:p>
            <w:pPr>
              <w:pStyle w:val="TableText"/>
            </w:pPr>
            <w:r>
              <w:rPr>
                <w:b/>
              </w:rPr>
              <w:t>Netzmessung SMA</w:t>
            </w:r>
          </w:p>
        </w:tc>
        <w:tc>
          <w:tcPr>
            <w:tcW w:type="dxa" w:w="6123"/>
            <w:tcMar>
              <w:top w:w="100" w:type="dxa"/>
              <w:start w:w="120" w:type="dxa"/>
              <w:bottom w:w="100" w:type="dxa"/>
              <w:end w:w="120" w:type="dxa"/>
            </w:tcMar>
          </w:tcPr>
          <w:p>
            <w:pPr>
              <w:pStyle w:val="TableText"/>
            </w:pPr>
            <w:r>
              <w:t>Speedwire/UDP, Multicast 239.12.255.254:9522</w:t>
            </w:r>
          </w:p>
        </w:tc>
      </w:tr>
      <w:tr>
        <w:trPr>
          <w:cantSplit/>
        </w:trPr>
        <w:tc>
          <w:tcPr>
            <w:tcW w:type="dxa" w:w="3402"/>
            <w:tcMar>
              <w:top w:w="100" w:type="dxa"/>
              <w:start w:w="120" w:type="dxa"/>
              <w:bottom w:w="100" w:type="dxa"/>
              <w:end w:w="120" w:type="dxa"/>
            </w:tcMar>
            <w:shd w:fill="EAF2F5"/>
          </w:tcPr>
          <w:p>
            <w:pPr>
              <w:pStyle w:val="TableText"/>
            </w:pPr>
            <w:r>
              <w:rPr>
                <w:b/>
              </w:rPr>
              <w:t>Netzmessung Shelly</w:t>
            </w:r>
          </w:p>
        </w:tc>
        <w:tc>
          <w:tcPr>
            <w:tcW w:type="dxa" w:w="6123"/>
            <w:tcMar>
              <w:top w:w="100" w:type="dxa"/>
              <w:start w:w="120" w:type="dxa"/>
              <w:bottom w:w="100" w:type="dxa"/>
              <w:end w:w="120" w:type="dxa"/>
            </w:tcMar>
          </w:tcPr>
          <w:p>
            <w:pPr>
              <w:pStyle w:val="TableText"/>
            </w:pPr>
            <w:r>
              <w:t>Shelly-kompatibles HTTP; Referenzgerät Shelly Pro 3EM</w:t>
            </w:r>
          </w:p>
        </w:tc>
      </w:tr>
      <w:tr>
        <w:trPr>
          <w:cantSplit/>
        </w:trPr>
        <w:tc>
          <w:tcPr>
            <w:tcW w:type="dxa" w:w="3402"/>
            <w:tcMar>
              <w:top w:w="100" w:type="dxa"/>
              <w:start w:w="120" w:type="dxa"/>
              <w:bottom w:w="100" w:type="dxa"/>
              <w:end w:w="120" w:type="dxa"/>
            </w:tcMar>
            <w:shd w:fill="EAF2F5"/>
          </w:tcPr>
          <w:p>
            <w:pPr>
              <w:pStyle w:val="TableText"/>
            </w:pPr>
            <w:r>
              <w:rPr>
                <w:b/>
              </w:rPr>
              <w:t>Primärspeicher direkt</w:t>
            </w:r>
          </w:p>
        </w:tc>
        <w:tc>
          <w:tcPr>
            <w:tcW w:type="dxa" w:w="6123"/>
            <w:tcMar>
              <w:top w:w="100" w:type="dxa"/>
              <w:start w:w="120" w:type="dxa"/>
              <w:bottom w:w="100" w:type="dxa"/>
              <w:end w:w="120" w:type="dxa"/>
            </w:tcMar>
          </w:tcPr>
          <w:p>
            <w:r>
              <w:t>Modbus TCP; Sunny Island im Referenzaufbau Port 502 / Unit-ID 3; optionales SMA-Profil-Readout der aktuellen Entlade-Untergrenze aus Register 31009 (read-only)</w:t>
            </w:r>
          </w:p>
        </w:tc>
      </w:tr>
      <w:tr>
        <w:trPr>
          <w:cantSplit/>
        </w:trPr>
        <w:tc>
          <w:tcPr>
            <w:tcW w:type="dxa" w:w="3402"/>
            <w:tcMar>
              <w:top w:w="100" w:type="dxa"/>
              <w:start w:w="120" w:type="dxa"/>
              <w:bottom w:w="100" w:type="dxa"/>
              <w:end w:w="120" w:type="dxa"/>
            </w:tcMar>
            <w:shd w:fill="EAF2F5"/>
          </w:tcPr>
          <w:p>
            <w:pPr>
              <w:pStyle w:val="TableText"/>
            </w:pPr>
            <w:r>
              <w:rPr>
                <w:b/>
              </w:rPr>
              <w:t>Historie</w:t>
            </w:r>
          </w:p>
        </w:tc>
        <w:tc>
          <w:tcPr>
            <w:tcW w:type="dxa" w:w="6123"/>
            <w:tcMar>
              <w:top w:w="100" w:type="dxa"/>
              <w:start w:w="120" w:type="dxa"/>
              <w:bottom w:w="100" w:type="dxa"/>
              <w:end w:w="120" w:type="dxa"/>
            </w:tcMar>
          </w:tcPr>
          <w:p>
            <w:pPr>
              <w:pStyle w:val="TableText"/>
            </w:pPr>
            <w:r>
              <w:t>Graph-Core lokal; optionale Measurement-V4-Tiefendaten</w:t>
            </w:r>
          </w:p>
        </w:tc>
      </w:tr>
      <w:tr>
        <w:trPr>
          <w:cantSplit/>
        </w:trPr>
        <w:tc>
          <w:tcPr>
            <w:tcW w:type="dxa" w:w="3402"/>
            <w:tcMar>
              <w:top w:w="100" w:type="dxa"/>
              <w:start w:w="120" w:type="dxa"/>
              <w:bottom w:w="100" w:type="dxa"/>
              <w:end w:w="120" w:type="dxa"/>
            </w:tcMar>
            <w:shd w:fill="EAF2F5"/>
          </w:tcPr>
          <w:p>
            <w:pPr>
              <w:pStyle w:val="TableText"/>
            </w:pPr>
            <w:r>
              <w:rPr>
                <w:b/>
              </w:rPr>
              <w:t>Lizenz</w:t>
            </w:r>
          </w:p>
        </w:tc>
        <w:tc>
          <w:tcPr>
            <w:tcW w:type="dxa" w:w="6123"/>
            <w:tcMar>
              <w:top w:w="100" w:type="dxa"/>
              <w:start w:w="120" w:type="dxa"/>
              <w:bottom w:w="100" w:type="dxa"/>
              <w:end w:w="120" w:type="dxa"/>
            </w:tcMar>
          </w:tcPr>
          <w:p>
            <w:pPr>
              <w:pStyle w:val="TableText"/>
            </w:pPr>
            <w:r>
              <w:t>AGPL-3.0-or-later</w:t>
            </w:r>
          </w:p>
        </w:tc>
      </w:tr>
      <w:tr>
        <w:tc>
          <w:tcPr>
            <w:tcW w:type="dxa" w:w="3402"/>
            <w:tcMar>
              <w:top w:w="100" w:type="dxa"/>
              <w:start w:w="120" w:type="dxa"/>
              <w:bottom w:w="100" w:type="dxa"/>
              <w:end w:w="120" w:type="dxa"/>
            </w:tcMar>
            <w:shd w:fill="EAF2F5"/>
          </w:tcPr>
          <w:p>
            <w:pPr>
              <w:pStyle w:val="TableText"/>
            </w:pPr>
            <w:r>
              <w:rPr>
                <w:b/>
              </w:rPr>
              <w:t>Installation</w:t>
            </w:r>
          </w:p>
        </w:tc>
        <w:tc>
          <w:tcPr>
            <w:tcW w:type="dxa" w:w="6123"/>
            <w:tcMar>
              <w:top w:w="100" w:type="dxa"/>
              <w:start w:w="120" w:type="dxa"/>
              <w:bottom w:w="100" w:type="dxa"/>
              <w:end w:w="120" w:type="dxa"/>
            </w:tcMar>
          </w:tcPr>
          <w:p>
            <w:pPr>
              <w:pStyle w:val="TableText"/>
            </w:pPr>
            <w:r>
              <w:t>Supported Update oder Clean Fresh Install; gemeinsamer Zustandsdetektor, fail-closed bei partieller/unklarer Installation</w:t>
            </w:r>
          </w:p>
        </w:tc>
      </w:tr>
      <w:tr>
        <w:tc>
          <w:tcPr>
            <w:tcW w:type="dxa" w:w="3402"/>
            <w:tcMar>
              <w:top w:w="100" w:type="dxa"/>
              <w:start w:w="120" w:type="dxa"/>
              <w:bottom w:w="100" w:type="dxa"/>
              <w:end w:w="120" w:type="dxa"/>
            </w:tcMar>
            <w:shd w:fill="EAF2F5"/>
          </w:tcPr>
          <w:p>
            <w:pPr>
              <w:pStyle w:val="TableText"/>
            </w:pPr>
            <w:r>
              <w:rPr>
                <w:b/>
              </w:rPr>
              <w:t>Preflight</w:t>
            </w:r>
          </w:p>
        </w:tc>
        <w:tc>
          <w:tcPr>
            <w:tcW w:type="dxa" w:w="6123"/>
            <w:tcMar>
              <w:top w:w="100" w:type="dxa"/>
              <w:start w:w="120" w:type="dxa"/>
              <w:bottom w:w="100" w:type="dxa"/>
              <w:end w:w="120" w:type="dxa"/>
            </w:tcMar>
          </w:tcPr>
          <w:p>
            <w:pPr>
              <w:pStyle w:val="TableText"/>
            </w:pPr>
            <w:r>
              <w:t>--preflight-only: Vorprüfung ohne produktive ZEC-Datei-/Dienst-/Konfigurationsmutation</w:t>
            </w:r>
          </w:p>
        </w:tc>
      </w:tr>
      <w:tr>
        <w:tc>
          <w:tcPr>
            <w:tcW w:type="dxa" w:w="3402"/>
            <w:tcMar>
              <w:top w:w="100" w:type="dxa"/>
              <w:start w:w="120" w:type="dxa"/>
              <w:bottom w:w="100" w:type="dxa"/>
              <w:end w:w="120" w:type="dxa"/>
            </w:tcMar>
            <w:shd w:fill="EAF2F5"/>
          </w:tcPr>
          <w:p>
            <w:pPr>
              <w:pStyle w:val="TableText"/>
            </w:pPr>
            <w:r>
              <w:rPr>
                <w:b/>
              </w:rPr>
              <w:t>Deinstallation</w:t>
            </w:r>
          </w:p>
        </w:tc>
        <w:tc>
          <w:tcPr>
            <w:tcW w:type="dxa" w:w="6123"/>
            <w:tcMar>
              <w:top w:w="100" w:type="dxa"/>
              <w:start w:w="120" w:type="dxa"/>
              <w:bottom w:w="100" w:type="dxa"/>
              <w:end w:w="120" w:type="dxa"/>
            </w:tcMar>
          </w:tcPr>
          <w:p>
            <w:pPr>
              <w:pStyle w:val="TableText"/>
            </w:pPr>
            <w:r>
              <w:t>ZEC-eigene Artefakte; optionaler Fresh-Install-Reset; lokales User-Data-Backup standardmäßig aktiv</w:t>
            </w:r>
          </w:p>
        </w:tc>
      </w:tr>
      <w:tr>
        <w:tc>
          <w:tcPr>
            <w:tcW w:type="dxa" w:w="3402"/>
            <w:tcMar>
              <w:top w:w="100" w:type="dxa"/>
              <w:start w:w="120" w:type="dxa"/>
              <w:bottom w:w="100" w:type="dxa"/>
              <w:end w:w="120" w:type="dxa"/>
            </w:tcMar>
            <w:shd w:fill="EAF2F5"/>
          </w:tcPr>
          <w:p>
            <w:pPr>
              <w:pStyle w:val="TableText"/>
            </w:pPr>
            <w:r>
              <w:rPr>
                <w:b/>
              </w:rPr>
              <w:t>Supportbundle</w:t>
            </w:r>
          </w:p>
        </w:tc>
        <w:tc>
          <w:tcPr>
            <w:tcW w:type="dxa" w:w="6123"/>
            <w:tcMar>
              <w:top w:w="100" w:type="dxa"/>
              <w:start w:w="120" w:type="dxa"/>
              <w:bottom w:w="100" w:type="dxa"/>
              <w:end w:w="120" w:type="dxa"/>
            </w:tcMar>
          </w:tcPr>
          <w:p>
            <w:pPr>
              <w:pStyle w:val="TableText"/>
            </w:pPr>
            <w:r>
              <w:t>Secretsicheres ZIP ohne rohe config.json; Fehlerzustand vor Rollback und Rollbackresultat im selben Diagnosevorgang</w:t>
            </w:r>
          </w:p>
        </w:tc>
      </w:tr>
    </w:tbl>
    <w:p>
      <w:pPr>
        <w:pStyle w:val="Heading1"/>
        <w:pBdr>
          <w:bottom w:val="single" w:sz="10" w:space="1" w:color="1B7A78"/>
        </w:pBdr>
        <w:keepNext/>
        <w:keepLines/>
        <w:widowControl w:val="1"/>
      </w:pPr>
      <w:r>
        <w:t>7. Zentrale Benutzerfunktionen von V16.1.0</w:t>
      </w:r>
    </w:p>
    <w:p>
      <w:pPr>
        <w:keepLines/>
        <w:widowControl w:val="1"/>
      </w:pPr>
      <w:r>
        <w:rPr>
          <w:b/>
          <w:color w:val="173B57"/>
        </w:rPr>
        <w:t>Geführte Primärspeicher-Konfiguration — Die gewählte Primärspeicher-Anbindung und die dazugehörigen Einstellungen werden gemeinsam dargestellt. Bei „Direkt per Modbus“ zeigt die Konfiguration die dafür erforderlichen Verbindungs- und Geräteparameter im passenden Kontext.</w:t>
      </w:r>
      <w:r/>
    </w:p>
    <w:p>
      <w:pPr>
        <w:keepLines/>
        <w:widowControl w:val="1"/>
      </w:pPr>
      <w:r>
        <w:rPr>
          <w:b/>
          <w:color w:val="173B57"/>
        </w:rPr>
        <w:t>Direkte Primärspeicher-Anbindung — Der Sunny-Island-/Primärspeicher kann über eine direkte Modbus-Datenquelle eingebunden werden. ZEC liest darüber die für die Regelung benötigten Werte wie Leistung und Roh-SOC. Beim SMA-Sunny-Island-Profil wird zusätzlich die aktuelle untere Entladegrenze read-only aus Register 31009 erfasst. Aus Roh-SOC und frischer gültiger Entladegrenze wird ein diagnostischer, auf den aktuell nutzbaren Bereich normierter Primär-SOC abgeleitet. Diese Capability hat in V16.1.0 ausdrücklich keine Reglerwirkung.</w:t>
      </w:r>
      <w:r/>
    </w:p>
    <w:p>
      <w:pPr>
        <w:keepLines/>
        <w:widowControl w:val="1"/>
      </w:pPr>
      <w:r>
        <w:rPr>
          <w:b/>
          <w:color w:val="173B57"/>
        </w:rPr>
        <w:t>Darstellungsname — Für den Primärspeicher kann ein benutzerdefinierter Name festgelegt werden, der in der Oberfläche durchgängig erscheint. Ein leerer Default erzwingt keinen herstellerspezifischen Namen; ohne expliziten Namen wird ein Geräteprofil-Default oder „Primärspeicher“ verwendet.</w:t>
      </w:r>
      <w:r/>
    </w:p>
    <w:p>
      <w:pPr>
        <w:keepLines/>
        <w:widowControl w:val="1"/>
      </w:pPr>
      <w:r>
        <w:rPr>
          <w:b/>
          <w:color w:val="173B57"/>
        </w:rPr>
        <w:t>Graph-Bedienung — Große Graph-Tooltips weichen horizontal vom Cursor aus und folgen zusätzlich weich seiner vertikalen Position. Zustände &amp; Ereignisse besitzt einen cursor-synchronen, bei engem Zoom adaptiven Detailausschnitt. Command-Follow zeigt Cursorwerte in einer festen, reflow-freien Anzeige unterhalb des Mini-Graphs.</w:t>
      </w:r>
    </w:p>
    <w:p>
      <w:pPr>
        <w:keepLines/>
        <w:widowControl w:val="1"/>
      </w:pPr>
      <w:r>
        <w:rPr>
          <w:b/>
          <w:color w:val="173B57"/>
        </w:rPr>
        <w:t>Reglerkern — Der Live-Regelalgorithmus arbeitet unter den beschriebenen Control-&amp;-Safety-, Cross-Charge-, SOC- und Command-Effect-Invarianten. Schutzgrenzen und Neutralisierungslogik bleiben Bestandteil jeder Regelentscheidung.</w:t>
      </w:r>
      <w:r/>
    </w:p>
    <w:p>
      <w:pPr/>
      <w:r>
        <w:t>Installation und mutationsfreier Preflight — Der kanonische Installer erkennt unterstütztes Update, sauberen Fresh Install und unklare/partielle Installationen. Mit --preflight-only werden Paket, Abhängigkeiten, Installationszustand, Zielpfade und Webport geprüft, ohne produktive ZEC-Dateien, Dienste oder Konfiguration zu verändern.</w:t>
      </w:r>
    </w:p>
    <w:p>
      <w:pPr/>
      <w:r>
        <w:t>Clean Fresh Install — Auf einem vorbereiteten Raspberry-Pi-OS/Linux-System kann ZEC ohne vorhandene Altinstallation eingerichtet werden. Vor dem ersten gültigen Settings-Commit läuft die Weboberfläche im FIRST_INSTALL_SETUP mit gesperrter Regelung; ein MQTT-Verbindungsaufbau ist in dieser Phase nicht erforderlich. Der erste gültige Commit übernimmt den Bootstrap-Webport in die kanonische Konfiguration und verlangt anschließend einen Neustart.</w:t>
      </w:r>
    </w:p>
    <w:p>
      <w:pPr/>
      <w:r>
        <w:t>Deinstallation und Fresh-Install-Reset — Der ZEC-Uninstaller besitzt einen mutationsfreien Preflight und kann ZEC-eigene aktive Artefakte entfernen. Vor der Entfernung wird standardmäßig ein lokales, restore-orientiertes Benutzerdatenbackup erstellt; große Measurement-/Deep-Trace-Daten werden nur auf ausdrückliche Anforderung eingeschlossen. Ein Fresh-Install-Reset gilt erst bei anschließend erkanntem CLEAN_FRESH_INSTALL als erfolgreich.</w:t>
      </w:r>
    </w:p>
    <w:p>
      <w:pPr/>
      <w:r>
        <w:t>Supportdiagnose — Installerfehler und manuelle Supporterfassung verwenden einen gemeinsamen secretsicheren Diagnosekern. Das standardmäßig extern teilbare Support-ZIP enthält keine rohe config.json. Bei Installationsfehlern wird der Fehlerzustand vor einem Rollback erfasst und das Rollbackresultat danach demselben Diagnosevorgang hinzugefügt.</w:t>
      </w:r>
    </w:p>
    <w:p>
      <w:pPr>
        <w:pStyle w:val="Heading1"/>
        <w:pBdr>
          <w:bottom w:val="single" w:sz="10" w:space="1" w:color="1B7A78"/>
        </w:pBdr>
        <w:keepNext/>
        <w:keepLines/>
        <w:widowControl w:val="1"/>
      </w:pPr>
      <w:r>
        <w:t>8. Qualitäts- und Nachweisstand</w:t>
      </w:r>
    </w:p>
    <w:tbl>
      <w:tblPr>
        <w:tblW w:type="auto" w:w="0"/>
        <w:jc w:val="center"/>
        <w:tblLook w:firstColumn="1" w:firstRow="1" w:lastColumn="0" w:lastRow="0" w:noHBand="0" w:noVBand="1" w:val="04A0"/>
      </w:tblPr>
      <w:tblGrid>
        <w:gridCol w:w="9866"/>
      </w:tblGrid>
      <w:tr>
        <w:trPr>
          <w:cantSplit/>
        </w:trPr>
        <w:tc>
          <w:tcPr>
            <w:tcW w:type="dxa" w:w="9866"/>
            <w:shd w:fill="E7F4EC"/>
            <w:tcMar>
              <w:top w:w="140" w:type="dxa"/>
              <w:start w:w="160" w:type="dxa"/>
              <w:bottom w:w="140" w:type="dxa"/>
              <w:end w:w="160" w:type="dxa"/>
            </w:tcMar>
          </w:tcPr>
          <w:p>
            <w:r>
              <w:t>V16.1.0 Engineering-Nachweis: Die vollständigen Release-, ResourceWarning-, Manifest-, Datenblatt- und Fresh-extract-Gates werden gegen den finalen Source-Freeze ausgeführt und in der Final-Validation dokumentiert. Die neue SMA-Capability ist diagnostisch/read-only und verändert den geschützten Reglerkern nicht. Der SHA256 des finalen Installer-ZIPs wird extern in der Final-Validation veröffentlicht; dadurch entsteht keine zirkuläre Selbstreferenz im Datenblatt.</w:t>
            </w:r>
          </w:p>
        </w:tc>
      </w:tr>
    </w:tbl>
    <w:p>
      <w:pPr>
        <w:widowControl w:val="1"/>
      </w:pPr>
      <w:r>
        <w:t>Nachweisstatus: V16.1.0 ist als Engineering Release Candidate für die finale Release-QA vorgesehen. Die vollständigen Release-, ResourceWarning-, Manifest-, Datenblatt- und Fresh-extract-Gates werden gegen den finalen Source-Freeze ausgeführt und in der Final-Validation dokumentiert. PRODUCTIVE-PASS erfordert zusätzlich die reale Update-Feldabnahme von V16.1.0 sowie die weiterhin separat offene reale Clean-Fresh-/FIRST_INSTALL_SETUP-/Uninstaller-Gesamtabnahme.</w:t>
      </w:r>
    </w:p>
    <w:p>
      <w:pPr>
        <w:pStyle w:val="Heading1"/>
        <w:keepNext/>
        <w:keepLines/>
        <w:pageBreakBefore/>
        <w:pBdr>
          <w:bottom w:val="single" w:sz="10" w:space="1" w:color="1B7A78"/>
        </w:pBdr>
        <w:widowControl w:val="1"/>
      </w:pPr>
      <w:r>
        <w:t>9. Grenzen des Einsatzes</w:t>
      </w:r>
    </w:p>
    <w:p>
      <w:pPr>
        <w:widowControl w:val="1"/>
      </w:pPr>
      <w:r>
        <w:t>• ZEC ist Steuerungssoftware und kein Schutzgerät, kein Wechselrichter-Sicherheitsersatz und kein geeichter Energiezähler.</w:t>
      </w:r>
    </w:p>
    <w:p>
      <w:pPr>
        <w:widowControl w:val="1"/>
      </w:pPr>
      <w:r>
        <w:t>• Messrichtung, Geräteidentität, Leistungsgrenzen, SOC-Grenzen und Primärspeicherquelle müssen installationsbezogen korrekt eingerichtet sein.</w:t>
      </w:r>
    </w:p>
    <w:p>
      <w:pPr>
        <w:widowControl w:val="1"/>
      </w:pPr>
      <w:r>
        <w:t>• Produktdefaults sind technische Ausgangswerte und keine allgemeine Empfehlung für jede Batterie oder Anlage.</w:t>
      </w:r>
    </w:p>
    <w:p>
      <w:pPr>
        <w:widowControl w:val="1"/>
      </w:pPr>
      <w:r>
        <w:t>• Eine Funktion gilt nicht allein deshalb als erfolgreich, weil ein Modus aktiv ist oder ein Kommando gesendet wurde; die tatsächliche physikalische Wirkung bleibt maßgeblich.</w:t>
      </w:r>
    </w:p>
    <w:p>
      <w:pPr/>
      <w:r>
        <w:t>• Der Installer ist kein Betriebssystem-Bootstrapper: Raspberry Pi OS/Linux, systemd, Benutzer/Gruppe pi, /home/pi, sudo, Python 3 und die erforderlichen lokalen Runtime-/Installerabhängigkeiten müssen vorhanden sein. Fehlende Pakete werden nicht automatisch installiert.</w:t>
      </w:r>
    </w:p>
    <w:p>
      <w:pPr/>
      <w:r>
        <w:t>• Das lokale Benutzerdatenbackup des Uninstallers kann echte Konfiguration und damit Secrets enthalten. Es ist ein Restore-Artefakt und nicht mit dem secretsicheren, extern teilbaren Supportbundle gleichzusetzen.</w:t>
      </w:r>
    </w:p>
    <w:p>
      <w:pPr>
        <w:pStyle w:val="Heading1"/>
        <w:pBdr>
          <w:bottom w:val="single" w:sz="10" w:space="1" w:color="1B7A78"/>
        </w:pBdr>
        <w:keepNext/>
        <w:keepLines/>
        <w:widowControl w:val="1"/>
      </w:pPr>
      <w:r>
        <w:t>10. Versionsidentität und Quellenbasis</w:t>
      </w:r>
    </w:p>
    <w:tbl>
      <w:tblPr>
        <w:tblW w:type="auto" w:w="0"/>
        <w:jc w:val="center"/>
        <w:tblLayout w:type="fixed"/>
        <w:tblLook w:firstColumn="1" w:firstRow="1" w:lastColumn="0" w:lastRow="0" w:noHBand="0" w:noVBand="1" w:val="04A0"/>
      </w:tblPr>
      <w:tblGrid>
        <w:gridCol w:w="2835"/>
        <w:gridCol w:w="6690"/>
      </w:tblGrid>
      <w:tr>
        <w:trPr>
          <w:cantSplit/>
        </w:trPr>
        <w:tc>
          <w:tcPr>
            <w:tcW w:type="dxa" w:w="2835"/>
            <w:tcMar>
              <w:top w:w="100" w:type="dxa"/>
              <w:start w:w="120" w:type="dxa"/>
              <w:bottom w:w="100" w:type="dxa"/>
              <w:end w:w="120" w:type="dxa"/>
            </w:tcMar>
            <w:shd w:fill="EAF2F5"/>
          </w:tcPr>
          <w:p>
            <w:pPr>
              <w:pStyle w:val="TableText"/>
            </w:pPr>
            <w:r>
              <w:rPr>
                <w:b/>
              </w:rPr>
              <w:t>Aktueller Stand</w:t>
            </w:r>
          </w:p>
        </w:tc>
        <w:tc>
          <w:tcPr>
            <w:tcW w:type="dxa" w:w="6690"/>
            <w:tcMar>
              <w:top w:w="100" w:type="dxa"/>
              <w:start w:w="120" w:type="dxa"/>
              <w:bottom w:w="100" w:type="dxa"/>
              <w:end w:w="120" w:type="dxa"/>
            </w:tcMar>
          </w:tcPr>
          <w:p>
            <w:r>
              <w:t>V16.1.0</w:t>
            </w:r>
          </w:p>
        </w:tc>
      </w:tr>
      <w:tr>
        <w:trPr>
          <w:cantSplit/>
        </w:trPr>
        <w:tc>
          <w:tcPr>
            <w:tcW w:type="dxa" w:w="2835"/>
            <w:tcMar>
              <w:top w:w="100" w:type="dxa"/>
              <w:start w:w="120" w:type="dxa"/>
              <w:bottom w:w="100" w:type="dxa"/>
              <w:end w:w="120" w:type="dxa"/>
            </w:tcMar>
            <w:shd w:fill="EAF2F5"/>
          </w:tcPr>
          <w:p>
            <w:r>
              <w:t>V16.1.0 Engineering-Nachweis</w:t>
            </w:r>
          </w:p>
        </w:tc>
        <w:tc>
          <w:tcPr>
            <w:tcW w:type="dxa" w:w="6690"/>
            <w:tcMar>
              <w:top w:w="100" w:type="dxa"/>
              <w:start w:w="120" w:type="dxa"/>
              <w:bottom w:w="100" w:type="dxa"/>
              <w:end w:w="120" w:type="dxa"/>
            </w:tcMar>
          </w:tcPr>
          <w:p>
            <w:r>
              <w:t>Release-, ResourceWarning-, Manifest-, Datenblatt- und Fresh-extract-Gates werden gegen den finalen Source-Freeze ausgeführt und in der Final-Validation dokumentiert.</w:t>
            </w:r>
          </w:p>
        </w:tc>
      </w:tr>
      <w:tr>
        <w:trPr>
          <w:cantSplit/>
        </w:trPr>
        <w:tc>
          <w:tcPr>
            <w:tcW w:type="dxa" w:w="2835"/>
            <w:tcMar>
              <w:top w:w="100" w:type="dxa"/>
              <w:start w:w="120" w:type="dxa"/>
              <w:bottom w:w="100" w:type="dxa"/>
              <w:end w:w="120" w:type="dxa"/>
            </w:tcMar>
            <w:shd w:fill="EAF2F5"/>
          </w:tcPr>
          <w:p>
            <w:pPr>
              <w:pStyle w:val="TableText"/>
            </w:pPr>
            <w:r>
              <w:t>Paketintegrität</w:t>
            </w:r>
          </w:p>
        </w:tc>
        <w:tc>
          <w:tcPr>
            <w:tcW w:type="dxa" w:w="6690"/>
            <w:tcMar>
              <w:top w:w="100" w:type="dxa"/>
              <w:start w:w="120" w:type="dxa"/>
              <w:bottom w:w="100" w:type="dxa"/>
              <w:end w:w="120" w:type="dxa"/>
            </w:tcMar>
          </w:tcPr>
          <w:p>
            <w:pPr>
              <w:pStyle w:val="TableText"/>
            </w:pPr>
            <w:r>
              <w:t>SHA256 des finalen Installer-ZIPs wird extern in der Release-/Final-Validation veröffentlicht.</w:t>
            </w:r>
          </w:p>
        </w:tc>
      </w:tr>
      <w:tr>
        <w:trPr>
          <w:cantSplit/>
        </w:trPr>
        <w:tc>
          <w:tcPr>
            <w:tcW w:type="dxa" w:w="2835"/>
            <w:tcMar>
              <w:top w:w="100" w:type="dxa"/>
              <w:start w:w="120" w:type="dxa"/>
              <w:bottom w:w="100" w:type="dxa"/>
              <w:end w:w="120" w:type="dxa"/>
            </w:tcMar>
            <w:shd w:fill="EAF2F5"/>
          </w:tcPr>
          <w:p>
            <w:pPr>
              <w:pStyle w:val="TableText"/>
            </w:pPr>
            <w:r>
              <w:rPr>
                <w:b/>
              </w:rPr>
              <w:t>Geschützte Reglerlogik</w:t>
            </w:r>
          </w:p>
        </w:tc>
        <w:tc>
          <w:tcPr>
            <w:tcW w:type="dxa" w:w="6690"/>
            <w:tcMar>
              <w:top w:w="100" w:type="dxa"/>
              <w:start w:w="120" w:type="dxa"/>
              <w:bottom w:w="100" w:type="dxa"/>
              <w:end w:w="120" w:type="dxa"/>
            </w:tcMar>
          </w:tcPr>
          <w:p>
            <w:pPr>
              <w:pStyle w:val="TableText"/>
            </w:pPr>
            <w:r>
              <w:t>geschützter Kernbereich; Regelalgorithmus unterliegt den kanonischen Control &amp; Safety Invariants</w:t>
            </w:r>
          </w:p>
        </w:tc>
      </w:tr>
      <w:tr>
        <w:trPr>
          <w:cantSplit/>
        </w:trPr>
        <w:tc>
          <w:tcPr>
            <w:tcW w:type="dxa" w:w="2835"/>
            <w:tcMar>
              <w:top w:w="100" w:type="dxa"/>
              <w:start w:w="120" w:type="dxa"/>
              <w:bottom w:w="100" w:type="dxa"/>
              <w:end w:w="120" w:type="dxa"/>
            </w:tcMar>
            <w:shd w:fill="EAF2F5"/>
          </w:tcPr>
          <w:p>
            <w:pPr>
              <w:pStyle w:val="TableText"/>
            </w:pPr>
            <w:r>
              <w:rPr>
                <w:b/>
              </w:rPr>
              <w:t>Kanonische Verträge</w:t>
            </w:r>
          </w:p>
        </w:tc>
        <w:tc>
          <w:tcPr>
            <w:tcW w:type="dxa" w:w="6690"/>
            <w:tcMar>
              <w:top w:w="100" w:type="dxa"/>
              <w:start w:w="120" w:type="dxa"/>
              <w:bottom w:w="100" w:type="dxa"/>
              <w:end w:w="120" w:type="dxa"/>
            </w:tcMar>
          </w:tcPr>
          <w:p>
            <w:pPr>
              <w:pStyle w:val="TableText"/>
            </w:pPr>
            <w:r>
              <w:t>Project Rules; Current State &amp; Architecture; Control &amp; Safety Invariants; UI/Settings/Diagnostics Contract; Release &amp; Handover Process; Hardware- und Analyse-Regelwerk</w:t>
            </w:r>
          </w:p>
        </w:tc>
      </w:tr>
      <w:tr>
        <w:trPr>
          <w:cantSplit/>
        </w:trPr>
        <w:tc>
          <w:tcPr>
            <w:tcW w:type="dxa" w:w="2835"/>
            <w:tcMar>
              <w:top w:w="100" w:type="dxa"/>
              <w:start w:w="120" w:type="dxa"/>
              <w:bottom w:w="100" w:type="dxa"/>
              <w:end w:w="120" w:type="dxa"/>
            </w:tcMar>
            <w:shd w:fill="EAF2F5"/>
          </w:tcPr>
          <w:p>
            <w:pPr>
              <w:pStyle w:val="TableText"/>
            </w:pPr>
            <w:r>
              <w:rPr>
                <w:b/>
              </w:rPr>
              <w:t>Dokumentstand</w:t>
            </w:r>
          </w:p>
        </w:tc>
        <w:tc>
          <w:tcPr>
            <w:tcW w:type="dxa" w:w="6690"/>
            <w:tcMar>
              <w:top w:w="100" w:type="dxa"/>
              <w:start w:w="120" w:type="dxa"/>
              <w:bottom w:w="100" w:type="dxa"/>
              <w:end w:w="120" w:type="dxa"/>
            </w:tcMar>
          </w:tcPr>
          <w:p>
            <w:r>
              <w:t>20.09.2026</w:t>
            </w:r>
          </w:p>
        </w:tc>
      </w:tr>
      <w:tr>
        <w:trPr>
          <w:cantSplit/>
        </w:trPr>
        <w:tc>
          <w:tcPr>
            <w:tcW w:type="dxa" w:w="2835"/>
            <w:vAlign w:val="center"/>
            <w:shd w:fill="EAF2F5" w:val="clear"/>
            <w:tcMar>
              <w:top w:w="100" w:type="dxa"/>
              <w:start w:w="120" w:type="dxa"/>
              <w:bottom w:w="100" w:type="dxa"/>
              <w:end w:w="120" w:type="dxa"/>
            </w:tcMar>
          </w:tcPr>
          <w:p>
            <w:r>
              <w:t>Freigabestatus</w:t>
            </w:r>
          </w:p>
        </w:tc>
        <w:tc>
          <w:tcPr>
            <w:tcW w:type="dxa" w:w="6690"/>
            <w:vAlign w:val="center"/>
            <w:tcMar>
              <w:top w:w="100" w:type="dxa"/>
              <w:start w:w="120" w:type="dxa"/>
              <w:bottom w:w="100" w:type="dxa"/>
              <w:end w:w="120" w:type="dxa"/>
            </w:tcMar>
          </w:tcPr>
          <w:p>
            <w:r>
              <w:t>PRODUCTIVE-PASS ist ohne reale Update-Feldabnahme von V16.1.0 und ohne die weiterhin separat offene Clean-Fresh-/FIRST_INSTALL_SETUP-/Uninstaller-Gesamtabnahme nicht zulässig. Die technischen Releasegates werden in der Release-/Final-Validation ausgewiesen.</w:t>
            </w:r>
          </w:p>
        </w:tc>
      </w:tr>
      <w:tr>
        <w:tc>
          <w:tcPr>
            <w:tcW w:type="dxa" w:w="2835"/>
          </w:tcPr>
          <w:p>
            <w:r>
              <w:t>Build-ID</w:t>
            </w:r>
          </w:p>
        </w:tc>
        <w:tc>
          <w:tcPr>
            <w:tcW w:type="dxa" w:w="6690"/>
          </w:tcPr>
          <w:p>
            <w:r>
              <w:t>v16.1.0-20260919</w:t>
            </w:r>
          </w:p>
        </w:tc>
      </w:tr>
    </w:tbl>
    <w:p>
      <w:pPr>
        <w:pStyle w:val="Small"/>
        <w:spacing w:before="160"/>
        <w:widowControl w:val="1"/>
      </w:pPr>
      <w:r>
        <w:t>Normative Grundlage: ZEC – Control &amp; Safety Invariants; ZEC-Hardwareschonungs-Regelwerk V1.0; ZEC Analyse-Regelwerk V1.1; ZEC – Current State &amp; Architecture; ZEC – UI, Settings &amp; Diagnostics Contract; ZEC – Release &amp; Handover Process. Versionsspezifische Aussagen beschreiben ausschließlich den belegten Ist-Zustand von V16.1.0.</w:t>
      </w:r>
    </w:p>
    <w:p>
      <w:pPr>
        <w:pStyle w:val="Small"/>
        <w:spacing w:before="240"/>
        <w:jc w:val="center"/>
        <w:widowControl w:val="1"/>
      </w:pPr>
      <w:r>
        <w:t>ZEC · Zendure Energy Controller · Technisches Datenblatt V16.1.0</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964"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 xml:space="preserve">Stand 20.09.2026  ·  Seite </w:t>
    </w: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Bdr>
        <w:bottom w:val="single" w:sz="8" w:space="1" w:color="D9E2E8"/>
      </w:pBdr>
    </w:pPr>
    <w:r>
      <w:rPr/>
      <w:t>ZEC · Zendure Energy Controller · Datenblatt V16.1.0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ind w:left="170"/>
    </w:pPr>
    <w:rPr>
      <w:rFonts w:ascii="Aptos" w:hAnsi="Aptos"/>
      <w:color w:val="23313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1B7A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5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40"/>
    </w:pPr>
    <w:rPr>
      <w:rFonts w:ascii="Aptos" w:hAnsi="Aptos"/>
      <w:b w:val="0"/>
      <w:color w:val="23313B"/>
      <w:sz w:val="25"/>
    </w:rPr>
  </w:style>
  <w:style w:type="paragraph" w:customStyle="1" w:styleId="Small">
    <w:name w:val="Small"/>
    <w:pPr>
      <w:spacing w:after="40"/>
    </w:pPr>
    <w:rPr>
      <w:rFonts w:ascii="Aptos" w:hAnsi="Aptos"/>
      <w:b w:val="0"/>
      <w:color w:val="5C6B73"/>
      <w:sz w:val="16"/>
    </w:rPr>
  </w:style>
  <w:style w:type="paragraph" w:customStyle="1" w:styleId="CardTitle">
    <w:name w:val="CardTitle"/>
    <w:pPr>
      <w:spacing w:after="40"/>
    </w:pPr>
    <w:rPr>
      <w:rFonts w:ascii="Aptos" w:hAnsi="Aptos"/>
      <w:b/>
      <w:color w:val="173B57"/>
      <w:sz w:val="20"/>
    </w:rPr>
  </w:style>
  <w:style w:type="paragraph" w:customStyle="1" w:styleId="CardText">
    <w:name w:val="CardText"/>
    <w:pPr>
      <w:spacing w:after="40"/>
    </w:pPr>
    <w:rPr>
      <w:rFonts w:ascii="Aptos" w:hAnsi="Aptos"/>
      <w:b w:val="0"/>
      <w:color w:val="23313B"/>
      <w:sz w:val="17"/>
    </w:rPr>
  </w:style>
  <w:style w:type="paragraph" w:customStyle="1" w:styleId="TableHead">
    <w:name w:val="TableHead"/>
    <w:pPr>
      <w:spacing w:after="40"/>
    </w:pPr>
    <w:rPr>
      <w:rFonts w:ascii="Aptos" w:hAnsi="Aptos"/>
      <w:b/>
      <w:color w:val="FFFFFF"/>
      <w:sz w:val="17"/>
    </w:rPr>
  </w:style>
  <w:style w:type="paragraph" w:customStyle="1" w:styleId="TableText">
    <w:name w:val="TableText"/>
    <w:pPr>
      <w:spacing w:after="40"/>
    </w:pPr>
    <w:rPr>
      <w:rFonts w:ascii="Aptos" w:hAnsi="Aptos"/>
      <w:b w:val="0"/>
      <w:color w:val="23313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ZEC Technisches Datenblatt V15.0.3</dc:title>
  <dc:subject>Technischer Ist-Zustand des Zendure Energy Controller V15.0.3</dc:subject>
  <dc:creator>OpenAI / ZEC project documentation</dc:creator>
  <cp:keywords>ZEC, Zendure Energy Controller, V15.0.3, technisches Datenblatt</cp:keywords>
  <dc:description>generated by python-docx</dc:description>
  <cp:lastModifiedBy/>
  <cp:revision>1</cp:revision>
  <dcterms:created xsi:type="dcterms:W3CDTF">2013-12-23T23:15:00Z</dcterms:created>
  <dcterms:modified xsi:type="dcterms:W3CDTF">2013-12-23T23:15:00Z</dcterms:modified>
  <cp:category/>
</cp:coreProperties>
</file>