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299532" w14:textId="77777777" w:rsidR="0055220C" w:rsidRPr="004C46A7" w:rsidRDefault="00201D16" w:rsidP="004C46A7">
      <w:pPr>
        <w:spacing w:before="69"/>
        <w:ind w:left="1122"/>
        <w:rPr>
          <w:i/>
          <w:sz w:val="36"/>
        </w:rPr>
      </w:pPr>
      <w:r>
        <w:rPr>
          <w:i/>
          <w:sz w:val="36"/>
        </w:rPr>
        <w:softHyphen/>
      </w:r>
      <w:r>
        <w:rPr>
          <w:i/>
          <w:sz w:val="36"/>
        </w:rPr>
        <w:softHyphen/>
      </w:r>
      <w:r>
        <w:rPr>
          <w:i/>
          <w:sz w:val="36"/>
        </w:rPr>
        <w:softHyphen/>
      </w:r>
      <w:r>
        <w:rPr>
          <w:i/>
          <w:sz w:val="36"/>
        </w:rPr>
        <w:softHyphen/>
        <w:t>ML Engineer Nanodegree Capstone Project</w:t>
      </w:r>
    </w:p>
    <w:p w14:paraId="714D946D" w14:textId="52E54F55" w:rsidR="0055220C" w:rsidRDefault="004C46A7" w:rsidP="004C46A7">
      <w:pPr>
        <w:spacing w:before="81"/>
        <w:ind w:left="266"/>
        <w:jc w:val="center"/>
        <w:rPr>
          <w:b/>
          <w:i/>
          <w:sz w:val="21"/>
        </w:rPr>
      </w:pPr>
      <w:r>
        <w:rPr>
          <w:b/>
          <w:i/>
          <w:sz w:val="36"/>
        </w:rPr>
        <w:t>Machine learning estimates of</w:t>
      </w:r>
      <w:r w:rsidR="00201D16">
        <w:rPr>
          <w:b/>
          <w:i/>
          <w:sz w:val="36"/>
        </w:rPr>
        <w:t xml:space="preserve"> anthropogenic CO</w:t>
      </w:r>
      <w:r w:rsidR="00201D16">
        <w:rPr>
          <w:b/>
          <w:i/>
          <w:position w:val="-7"/>
          <w:sz w:val="21"/>
        </w:rPr>
        <w:t>2</w:t>
      </w:r>
    </w:p>
    <w:p w14:paraId="4843FDB4" w14:textId="77777777" w:rsidR="0055220C" w:rsidRPr="00C53A7E" w:rsidRDefault="0055220C">
      <w:pPr>
        <w:pStyle w:val="BodyText"/>
        <w:spacing w:before="11"/>
        <w:rPr>
          <w:b/>
          <w:i/>
          <w:sz w:val="36"/>
          <w:szCs w:val="36"/>
        </w:rPr>
      </w:pPr>
    </w:p>
    <w:p w14:paraId="7368AFA4" w14:textId="77777777" w:rsidR="0055220C" w:rsidRDefault="00201D16">
      <w:pPr>
        <w:pStyle w:val="Heading1"/>
        <w:jc w:val="left"/>
      </w:pPr>
      <w:r>
        <w:t>Background</w:t>
      </w:r>
    </w:p>
    <w:p w14:paraId="12270AD6" w14:textId="77777777" w:rsidR="0055220C" w:rsidRPr="00C53A7E" w:rsidRDefault="0055220C">
      <w:pPr>
        <w:pStyle w:val="BodyText"/>
        <w:spacing w:before="2"/>
        <w:rPr>
          <w:b/>
          <w:sz w:val="36"/>
          <w:szCs w:val="36"/>
        </w:rPr>
      </w:pPr>
    </w:p>
    <w:p w14:paraId="0E2A037E" w14:textId="55C67C06" w:rsidR="0055220C" w:rsidRPr="003600CF" w:rsidRDefault="00201D16" w:rsidP="00180950">
      <w:pPr>
        <w:pStyle w:val="BodyText"/>
        <w:spacing w:line="268" w:lineRule="auto"/>
        <w:ind w:left="101" w:right="100"/>
      </w:pPr>
      <w:r>
        <w:t>Since the beginning of the industrial revolution (1860), anthropogenic activities have increased the atmospheric carbon dioxide (CO</w:t>
      </w:r>
      <w:r>
        <w:rPr>
          <w:position w:val="-5"/>
          <w:sz w:val="14"/>
        </w:rPr>
        <w:t>2</w:t>
      </w:r>
      <w:r>
        <w:t xml:space="preserve">) from 280 ppm to over 400 ppm </w:t>
      </w:r>
      <w:r>
        <w:rPr>
          <w:vertAlign w:val="superscript"/>
        </w:rPr>
        <w:t>[6]</w:t>
      </w:r>
      <w:r>
        <w:t>. The global ocean has sequestered roughly a third of this anthropogenic CO</w:t>
      </w:r>
      <w:r>
        <w:rPr>
          <w:position w:val="-5"/>
          <w:sz w:val="14"/>
        </w:rPr>
        <w:t xml:space="preserve">2 </w:t>
      </w:r>
      <w:r>
        <w:t>(C</w:t>
      </w:r>
      <w:r>
        <w:rPr>
          <w:position w:val="-5"/>
          <w:sz w:val="14"/>
        </w:rPr>
        <w:t>ant</w:t>
      </w:r>
      <w:r w:rsidR="003600CF">
        <w:t>, Fig.1), limiting</w:t>
      </w:r>
      <w:r w:rsidR="004565A9">
        <w:t xml:space="preserve"> the</w:t>
      </w:r>
      <w:r w:rsidR="003600CF">
        <w:t xml:space="preserve"> </w:t>
      </w:r>
      <w:r>
        <w:t xml:space="preserve">impacts on the global climate </w:t>
      </w:r>
      <w:r>
        <w:rPr>
          <w:vertAlign w:val="superscript"/>
        </w:rPr>
        <w:t>[3]</w:t>
      </w:r>
      <w:r>
        <w:t xml:space="preserve"> such as the</w:t>
      </w:r>
      <w:r w:rsidR="004565A9">
        <w:t xml:space="preserve"> increase in the</w:t>
      </w:r>
      <w:r>
        <w:t xml:space="preserve"> E</w:t>
      </w:r>
      <w:r w:rsidR="004565A9">
        <w:t>arth’s mean temperature</w:t>
      </w:r>
      <w:r>
        <w:t>. However, C</w:t>
      </w:r>
      <w:r>
        <w:rPr>
          <w:position w:val="-5"/>
          <w:sz w:val="14"/>
        </w:rPr>
        <w:t xml:space="preserve">ant </w:t>
      </w:r>
      <w:r>
        <w:t xml:space="preserve">can only be estimated indirectly in the ocean with an uncertainty of ±20%. This </w:t>
      </w:r>
      <w:r w:rsidR="003600CF">
        <w:t xml:space="preserve">uncertainty </w:t>
      </w:r>
      <w:r>
        <w:t>reduces our understanding of the processes associated with the C</w:t>
      </w:r>
      <w:r>
        <w:rPr>
          <w:position w:val="-5"/>
          <w:sz w:val="14"/>
        </w:rPr>
        <w:t xml:space="preserve">ant </w:t>
      </w:r>
      <w:r w:rsidR="004565A9">
        <w:t>cycle and the reliability</w:t>
      </w:r>
      <w:r>
        <w:t xml:space="preserve"> </w:t>
      </w:r>
      <w:r>
        <w:rPr>
          <w:spacing w:val="-6"/>
        </w:rPr>
        <w:t xml:space="preserve">of </w:t>
      </w:r>
      <w:r>
        <w:t>future predictions.</w:t>
      </w:r>
    </w:p>
    <w:p w14:paraId="7CD4C293" w14:textId="77777777" w:rsidR="0055220C" w:rsidRDefault="00201D16">
      <w:pPr>
        <w:pStyle w:val="BodyText"/>
        <w:spacing w:before="6"/>
        <w:rPr>
          <w:sz w:val="22"/>
        </w:rPr>
      </w:pPr>
      <w:r>
        <w:rPr>
          <w:noProof/>
        </w:rPr>
        <w:drawing>
          <wp:anchor distT="0" distB="0" distL="0" distR="0" simplePos="0" relativeHeight="251658240" behindDoc="0" locked="0" layoutInCell="1" allowOverlap="1" wp14:anchorId="1BB13B27" wp14:editId="79371397">
            <wp:simplePos x="0" y="0"/>
            <wp:positionH relativeFrom="page">
              <wp:posOffset>1545899</wp:posOffset>
            </wp:positionH>
            <wp:positionV relativeFrom="paragraph">
              <wp:posOffset>189375</wp:posOffset>
            </wp:positionV>
            <wp:extent cx="4621158" cy="250697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4621158" cy="2506979"/>
                    </a:xfrm>
                    <a:prstGeom prst="rect">
                      <a:avLst/>
                    </a:prstGeom>
                  </pic:spPr>
                </pic:pic>
              </a:graphicData>
            </a:graphic>
          </wp:anchor>
        </w:drawing>
      </w:r>
    </w:p>
    <w:p w14:paraId="09397E63" w14:textId="77777777" w:rsidR="0055220C" w:rsidRDefault="0055220C">
      <w:pPr>
        <w:pStyle w:val="BodyText"/>
        <w:rPr>
          <w:sz w:val="20"/>
        </w:rPr>
      </w:pPr>
    </w:p>
    <w:p w14:paraId="7DB24E8A" w14:textId="77777777" w:rsidR="0055220C" w:rsidRDefault="0055220C">
      <w:pPr>
        <w:pStyle w:val="BodyText"/>
        <w:spacing w:before="4"/>
        <w:rPr>
          <w:sz w:val="21"/>
        </w:rPr>
      </w:pPr>
    </w:p>
    <w:p w14:paraId="79C621DB" w14:textId="6FE73668" w:rsidR="00BD5C49" w:rsidRDefault="00201D16" w:rsidP="00571DCB">
      <w:pPr>
        <w:spacing w:before="1" w:line="264" w:lineRule="auto"/>
        <w:ind w:left="101" w:right="103"/>
        <w:rPr>
          <w:i/>
          <w:sz w:val="20"/>
        </w:rPr>
      </w:pPr>
      <w:r>
        <w:rPr>
          <w:i/>
          <w:sz w:val="20"/>
        </w:rPr>
        <w:t>Fig. 1</w:t>
      </w:r>
      <w:r>
        <w:rPr>
          <w:sz w:val="20"/>
        </w:rPr>
        <w:t xml:space="preserve">: </w:t>
      </w:r>
      <w:r>
        <w:rPr>
          <w:i/>
          <w:sz w:val="20"/>
        </w:rPr>
        <w:t>Global ocean anthropogenic carbon (C</w:t>
      </w:r>
      <w:r>
        <w:rPr>
          <w:i/>
          <w:position w:val="-4"/>
          <w:sz w:val="12"/>
        </w:rPr>
        <w:t>ant</w:t>
      </w:r>
      <w:r>
        <w:rPr>
          <w:i/>
          <w:sz w:val="20"/>
        </w:rPr>
        <w:t xml:space="preserve">) column inventory. Data taken from the GLODAPv2 climatology </w:t>
      </w:r>
      <w:r>
        <w:rPr>
          <w:i/>
          <w:sz w:val="20"/>
          <w:vertAlign w:val="superscript"/>
        </w:rPr>
        <w:t>[4]</w:t>
      </w:r>
      <w:r>
        <w:rPr>
          <w:i/>
          <w:sz w:val="20"/>
        </w:rPr>
        <w:t xml:space="preserve">, where they were estimated using the Transit-Time Distribution (TTD) method based on </w:t>
      </w:r>
      <w:r w:rsidR="004565A9">
        <w:rPr>
          <w:i/>
          <w:sz w:val="20"/>
        </w:rPr>
        <w:t>dichlorodifluoromethane (</w:t>
      </w:r>
      <w:r>
        <w:rPr>
          <w:i/>
          <w:sz w:val="20"/>
        </w:rPr>
        <w:t>CFC-12</w:t>
      </w:r>
      <w:r w:rsidR="004565A9">
        <w:rPr>
          <w:i/>
          <w:sz w:val="20"/>
        </w:rPr>
        <w:t>)</w:t>
      </w:r>
      <w:r>
        <w:rPr>
          <w:i/>
          <w:sz w:val="20"/>
        </w:rPr>
        <w:t xml:space="preserve"> observations</w:t>
      </w:r>
      <w:r w:rsidR="00B3117E">
        <w:rPr>
          <w:i/>
          <w:sz w:val="20"/>
        </w:rPr>
        <w:t xml:space="preserve"> </w:t>
      </w:r>
      <w:r w:rsidR="00B3117E">
        <w:rPr>
          <w:i/>
          <w:sz w:val="20"/>
          <w:vertAlign w:val="superscript"/>
        </w:rPr>
        <w:t>[7]</w:t>
      </w:r>
      <w:r>
        <w:rPr>
          <w:i/>
          <w:sz w:val="20"/>
        </w:rPr>
        <w:t>.</w:t>
      </w:r>
    </w:p>
    <w:p w14:paraId="157850D9" w14:textId="77777777" w:rsidR="00C53A7E" w:rsidRPr="00C10ED2" w:rsidRDefault="00C53A7E" w:rsidP="00D01078">
      <w:pPr>
        <w:spacing w:before="1" w:line="264" w:lineRule="auto"/>
        <w:ind w:left="101" w:right="103"/>
        <w:jc w:val="both"/>
        <w:rPr>
          <w:sz w:val="36"/>
          <w:szCs w:val="36"/>
        </w:rPr>
      </w:pPr>
    </w:p>
    <w:p w14:paraId="48805C74" w14:textId="77777777" w:rsidR="0055220C" w:rsidRDefault="00201D16">
      <w:pPr>
        <w:pStyle w:val="Heading1"/>
        <w:spacing w:before="173"/>
        <w:jc w:val="left"/>
      </w:pPr>
      <w:r>
        <w:t>Problem</w:t>
      </w:r>
    </w:p>
    <w:p w14:paraId="7F67B9E2" w14:textId="77777777" w:rsidR="0055220C" w:rsidRPr="00C10ED2" w:rsidRDefault="0055220C">
      <w:pPr>
        <w:pStyle w:val="BodyText"/>
        <w:spacing w:before="1"/>
        <w:rPr>
          <w:b/>
          <w:sz w:val="36"/>
          <w:szCs w:val="36"/>
        </w:rPr>
      </w:pPr>
    </w:p>
    <w:p w14:paraId="489F383F" w14:textId="48A4D009" w:rsidR="003600CF" w:rsidRDefault="00273A91" w:rsidP="00180950">
      <w:pPr>
        <w:pStyle w:val="BodyText"/>
        <w:spacing w:before="1" w:line="288" w:lineRule="auto"/>
        <w:ind w:left="101" w:right="102"/>
      </w:pPr>
      <w:r>
        <w:t>C</w:t>
      </w:r>
      <w:r>
        <w:rPr>
          <w:vertAlign w:val="subscript"/>
        </w:rPr>
        <w:t>ant</w:t>
      </w:r>
      <w:r>
        <w:t xml:space="preserve"> e</w:t>
      </w:r>
      <w:r w:rsidR="00201D16">
        <w:t xml:space="preserve">stimates cannot be measured directly in </w:t>
      </w:r>
      <w:r w:rsidR="00201D16">
        <w:rPr>
          <w:spacing w:val="-5"/>
        </w:rPr>
        <w:t xml:space="preserve">the </w:t>
      </w:r>
      <w:r w:rsidR="00601050">
        <w:t>ocean being instead approximated using</w:t>
      </w:r>
      <w:r w:rsidR="00986878">
        <w:t xml:space="preserve"> </w:t>
      </w:r>
      <w:r w:rsidR="00201D16">
        <w:t>correlation</w:t>
      </w:r>
      <w:r w:rsidR="00571DCB">
        <w:t>s with</w:t>
      </w:r>
      <w:r w:rsidR="00201D16">
        <w:t xml:space="preserve"> measurabl</w:t>
      </w:r>
      <w:r w:rsidR="00571DCB">
        <w:t xml:space="preserve">e variables (e.g. </w:t>
      </w:r>
      <w:r w:rsidR="00601050">
        <w:t xml:space="preserve">inorganic </w:t>
      </w:r>
      <w:r w:rsidR="00571DCB">
        <w:t>nutr</w:t>
      </w:r>
      <w:r w:rsidR="00601050">
        <w:t>ients)</w:t>
      </w:r>
      <w:r w:rsidR="004565A9">
        <w:t>.</w:t>
      </w:r>
    </w:p>
    <w:p w14:paraId="56D5DD57" w14:textId="1B4B3319" w:rsidR="0055220C" w:rsidRDefault="00201D16" w:rsidP="00180950">
      <w:pPr>
        <w:pStyle w:val="ListParagraph"/>
        <w:numPr>
          <w:ilvl w:val="0"/>
          <w:numId w:val="1"/>
        </w:numPr>
        <w:tabs>
          <w:tab w:val="left" w:pos="507"/>
        </w:tabs>
        <w:spacing w:before="81" w:line="271" w:lineRule="auto"/>
        <w:ind w:right="104" w:firstLine="0"/>
        <w:rPr>
          <w:sz w:val="24"/>
        </w:rPr>
      </w:pPr>
      <w:r>
        <w:rPr>
          <w:sz w:val="24"/>
        </w:rPr>
        <w:t>The most commonly adopted methods for C</w:t>
      </w:r>
      <w:r>
        <w:rPr>
          <w:position w:val="-5"/>
          <w:sz w:val="14"/>
        </w:rPr>
        <w:t xml:space="preserve">ant </w:t>
      </w:r>
      <w:r>
        <w:rPr>
          <w:sz w:val="24"/>
        </w:rPr>
        <w:t xml:space="preserve">estimates </w:t>
      </w:r>
      <w:r>
        <w:rPr>
          <w:sz w:val="24"/>
          <w:vertAlign w:val="superscript"/>
        </w:rPr>
        <w:t>[2, 7]</w:t>
      </w:r>
      <w:r>
        <w:rPr>
          <w:sz w:val="24"/>
        </w:rPr>
        <w:t xml:space="preserve"> use</w:t>
      </w:r>
      <w:r w:rsidR="00667F0B">
        <w:rPr>
          <w:sz w:val="24"/>
        </w:rPr>
        <w:t xml:space="preserve"> Redfield ratios to isolate </w:t>
      </w:r>
      <w:r>
        <w:rPr>
          <w:sz w:val="24"/>
        </w:rPr>
        <w:t>C</w:t>
      </w:r>
      <w:r>
        <w:rPr>
          <w:position w:val="-5"/>
          <w:sz w:val="14"/>
        </w:rPr>
        <w:t xml:space="preserve">ant </w:t>
      </w:r>
      <w:r w:rsidR="00375A51">
        <w:rPr>
          <w:sz w:val="24"/>
        </w:rPr>
        <w:t>from the ocean</w:t>
      </w:r>
      <w:r>
        <w:rPr>
          <w:sz w:val="24"/>
        </w:rPr>
        <w:t xml:space="preserve"> total dissolved inorganic carbon</w:t>
      </w:r>
      <w:r w:rsidR="00375A51">
        <w:rPr>
          <w:sz w:val="24"/>
        </w:rPr>
        <w:t xml:space="preserve"> (t</w:t>
      </w:r>
      <w:r w:rsidR="003B5139">
        <w:rPr>
          <w:sz w:val="24"/>
        </w:rPr>
        <w:t>C</w:t>
      </w:r>
      <w:r w:rsidR="00375A51">
        <w:rPr>
          <w:sz w:val="24"/>
        </w:rPr>
        <w:t>O2</w:t>
      </w:r>
      <w:r w:rsidR="003B5139">
        <w:rPr>
          <w:sz w:val="24"/>
        </w:rPr>
        <w:t>)</w:t>
      </w:r>
      <w:r>
        <w:rPr>
          <w:sz w:val="24"/>
        </w:rPr>
        <w:t xml:space="preserve"> measurements. Redfield ratios are ratios of inorganic nutrients used to infer biological activities in the ocean </w:t>
      </w:r>
      <w:r>
        <w:rPr>
          <w:sz w:val="24"/>
          <w:vertAlign w:val="superscript"/>
        </w:rPr>
        <w:t>[5]</w:t>
      </w:r>
      <w:r>
        <w:rPr>
          <w:sz w:val="24"/>
        </w:rPr>
        <w:t>. Redfield ratios vary over space and time, based on the</w:t>
      </w:r>
      <w:r w:rsidR="00274F74">
        <w:rPr>
          <w:sz w:val="24"/>
        </w:rPr>
        <w:t xml:space="preserve"> in-situ</w:t>
      </w:r>
      <w:r>
        <w:rPr>
          <w:sz w:val="24"/>
        </w:rPr>
        <w:t xml:space="preserve"> species.</w:t>
      </w:r>
    </w:p>
    <w:p w14:paraId="1075C2C9" w14:textId="77777777" w:rsidR="00273A91" w:rsidRDefault="00273A91">
      <w:pPr>
        <w:pStyle w:val="BodyText"/>
        <w:rPr>
          <w:sz w:val="30"/>
        </w:rPr>
      </w:pPr>
    </w:p>
    <w:p w14:paraId="497ECB26" w14:textId="77777777" w:rsidR="00C10ED2" w:rsidRDefault="00C10ED2">
      <w:pPr>
        <w:pStyle w:val="BodyText"/>
        <w:rPr>
          <w:sz w:val="30"/>
        </w:rPr>
      </w:pPr>
    </w:p>
    <w:p w14:paraId="2044536A" w14:textId="77777777" w:rsidR="00C10ED2" w:rsidRDefault="00C10ED2">
      <w:pPr>
        <w:pStyle w:val="BodyText"/>
        <w:rPr>
          <w:sz w:val="30"/>
        </w:rPr>
      </w:pPr>
    </w:p>
    <w:p w14:paraId="7840BE7B" w14:textId="77777777" w:rsidR="00C10ED2" w:rsidRDefault="00C10ED2">
      <w:pPr>
        <w:pStyle w:val="BodyText"/>
        <w:rPr>
          <w:sz w:val="30"/>
        </w:rPr>
      </w:pPr>
    </w:p>
    <w:p w14:paraId="40A3FF14" w14:textId="5A046ED2" w:rsidR="0055220C" w:rsidRDefault="00BE6C8B" w:rsidP="00180950">
      <w:pPr>
        <w:pStyle w:val="ListParagraph"/>
        <w:numPr>
          <w:ilvl w:val="0"/>
          <w:numId w:val="1"/>
        </w:numPr>
        <w:tabs>
          <w:tab w:val="left" w:pos="477"/>
        </w:tabs>
        <w:spacing w:line="271" w:lineRule="auto"/>
        <w:ind w:right="102" w:firstLine="0"/>
        <w:rPr>
          <w:sz w:val="24"/>
        </w:rPr>
      </w:pPr>
      <w:r>
        <w:rPr>
          <w:sz w:val="24"/>
        </w:rPr>
        <w:lastRenderedPageBreak/>
        <w:t>The transit-time d</w:t>
      </w:r>
      <w:r w:rsidR="00201D16">
        <w:rPr>
          <w:sz w:val="24"/>
        </w:rPr>
        <w:t xml:space="preserve">istribution (TTD) technique </w:t>
      </w:r>
      <w:r w:rsidR="00201D16">
        <w:rPr>
          <w:sz w:val="24"/>
          <w:vertAlign w:val="superscript"/>
        </w:rPr>
        <w:t>[7]</w:t>
      </w:r>
      <w:r w:rsidR="00201D16">
        <w:rPr>
          <w:sz w:val="24"/>
        </w:rPr>
        <w:t xml:space="preserve"> assumes that chlorofluorocarbons (CFCs) can be used as proxies for C</w:t>
      </w:r>
      <w:r w:rsidR="00201D16">
        <w:rPr>
          <w:position w:val="-5"/>
          <w:sz w:val="14"/>
        </w:rPr>
        <w:t xml:space="preserve">ant </w:t>
      </w:r>
      <w:r w:rsidR="00201D16">
        <w:rPr>
          <w:sz w:val="24"/>
        </w:rPr>
        <w:t xml:space="preserve">estimates. However, CFCs have been released in the atmosphere approximately a century after </w:t>
      </w:r>
      <w:r w:rsidR="00201D16">
        <w:rPr>
          <w:spacing w:val="-5"/>
          <w:sz w:val="24"/>
        </w:rPr>
        <w:t xml:space="preserve">the </w:t>
      </w:r>
      <w:r w:rsidR="00201D16">
        <w:rPr>
          <w:sz w:val="24"/>
        </w:rPr>
        <w:t>release of C</w:t>
      </w:r>
      <w:r w:rsidR="00201D16">
        <w:rPr>
          <w:position w:val="-5"/>
          <w:sz w:val="14"/>
        </w:rPr>
        <w:t>ant</w:t>
      </w:r>
      <w:r w:rsidR="00201D16">
        <w:rPr>
          <w:sz w:val="24"/>
        </w:rPr>
        <w:t>: CFCs and C</w:t>
      </w:r>
      <w:r w:rsidR="00201D16">
        <w:rPr>
          <w:position w:val="-5"/>
          <w:sz w:val="14"/>
        </w:rPr>
        <w:t xml:space="preserve">ant </w:t>
      </w:r>
      <w:r>
        <w:rPr>
          <w:sz w:val="24"/>
        </w:rPr>
        <w:t>distributions are</w:t>
      </w:r>
      <w:r w:rsidR="00201D16">
        <w:rPr>
          <w:sz w:val="24"/>
        </w:rPr>
        <w:t xml:space="preserve"> </w:t>
      </w:r>
      <w:r w:rsidR="00275926">
        <w:rPr>
          <w:sz w:val="24"/>
        </w:rPr>
        <w:t xml:space="preserve">comparable only in the younger water masses of the </w:t>
      </w:r>
      <w:r w:rsidR="00201D16">
        <w:rPr>
          <w:sz w:val="24"/>
        </w:rPr>
        <w:t>ocean.</w:t>
      </w:r>
    </w:p>
    <w:p w14:paraId="6E7D6EFD" w14:textId="77777777" w:rsidR="0055220C" w:rsidRDefault="0055220C">
      <w:pPr>
        <w:pStyle w:val="BodyText"/>
        <w:spacing w:before="11"/>
        <w:rPr>
          <w:sz w:val="29"/>
        </w:rPr>
      </w:pPr>
    </w:p>
    <w:p w14:paraId="5D17E01C" w14:textId="2ABEF51B" w:rsidR="0055220C" w:rsidRDefault="00201D16" w:rsidP="00180950">
      <w:pPr>
        <w:pStyle w:val="ListParagraph"/>
        <w:numPr>
          <w:ilvl w:val="0"/>
          <w:numId w:val="1"/>
        </w:numPr>
        <w:tabs>
          <w:tab w:val="left" w:pos="492"/>
        </w:tabs>
        <w:spacing w:line="276" w:lineRule="auto"/>
        <w:ind w:firstLine="0"/>
        <w:rPr>
          <w:sz w:val="24"/>
        </w:rPr>
      </w:pPr>
      <w:r>
        <w:rPr>
          <w:sz w:val="24"/>
        </w:rPr>
        <w:t>The extended multi-linear regression (</w:t>
      </w:r>
      <w:r w:rsidR="006B506E">
        <w:rPr>
          <w:sz w:val="24"/>
        </w:rPr>
        <w:t>eMLR) technique</w:t>
      </w:r>
      <w:r>
        <w:rPr>
          <w:sz w:val="24"/>
        </w:rPr>
        <w:t xml:space="preserve"> </w:t>
      </w:r>
      <w:r>
        <w:rPr>
          <w:sz w:val="24"/>
          <w:vertAlign w:val="superscript"/>
        </w:rPr>
        <w:t>[1]</w:t>
      </w:r>
      <w:r>
        <w:rPr>
          <w:sz w:val="24"/>
        </w:rPr>
        <w:t xml:space="preserve"> estimates C</w:t>
      </w:r>
      <w:r>
        <w:rPr>
          <w:position w:val="-5"/>
          <w:sz w:val="14"/>
        </w:rPr>
        <w:t xml:space="preserve">ant </w:t>
      </w:r>
      <w:r w:rsidR="009870B0">
        <w:rPr>
          <w:sz w:val="24"/>
        </w:rPr>
        <w:t xml:space="preserve">changes over time </w:t>
      </w:r>
      <w:r w:rsidR="00C37154">
        <w:rPr>
          <w:sz w:val="24"/>
        </w:rPr>
        <w:t xml:space="preserve">assuming that </w:t>
      </w:r>
      <w:r>
        <w:rPr>
          <w:sz w:val="24"/>
        </w:rPr>
        <w:t>correlations between C</w:t>
      </w:r>
      <w:r>
        <w:rPr>
          <w:position w:val="-5"/>
          <w:sz w:val="14"/>
        </w:rPr>
        <w:t xml:space="preserve">ant </w:t>
      </w:r>
      <w:r>
        <w:rPr>
          <w:sz w:val="14"/>
        </w:rPr>
        <w:t xml:space="preserve"> </w:t>
      </w:r>
      <w:r w:rsidR="00C37154">
        <w:rPr>
          <w:sz w:val="24"/>
        </w:rPr>
        <w:t xml:space="preserve">and </w:t>
      </w:r>
      <w:r>
        <w:rPr>
          <w:sz w:val="24"/>
        </w:rPr>
        <w:t>p</w:t>
      </w:r>
      <w:r w:rsidR="006B506E">
        <w:rPr>
          <w:sz w:val="24"/>
        </w:rPr>
        <w:t>redictors are constant</w:t>
      </w:r>
      <w:r>
        <w:rPr>
          <w:sz w:val="24"/>
        </w:rPr>
        <w:t>. This assumption is unlikely, being the ocea</w:t>
      </w:r>
      <w:r w:rsidR="006B506E">
        <w:rPr>
          <w:sz w:val="24"/>
        </w:rPr>
        <w:t>n in continuous variation</w:t>
      </w:r>
      <w:r>
        <w:rPr>
          <w:sz w:val="24"/>
        </w:rPr>
        <w:t>.</w:t>
      </w:r>
    </w:p>
    <w:p w14:paraId="77FD8A47" w14:textId="77777777" w:rsidR="0055220C" w:rsidRDefault="0055220C">
      <w:pPr>
        <w:pStyle w:val="BodyText"/>
        <w:spacing w:before="10"/>
        <w:rPr>
          <w:sz w:val="29"/>
        </w:rPr>
      </w:pPr>
    </w:p>
    <w:p w14:paraId="50E8AE35" w14:textId="0916B97C" w:rsidR="0055220C" w:rsidRDefault="00375A51" w:rsidP="00821074">
      <w:pPr>
        <w:pStyle w:val="BodyText"/>
        <w:spacing w:line="276" w:lineRule="auto"/>
        <w:ind w:left="102" w:right="102"/>
      </w:pPr>
      <w:r>
        <w:t>The effects o</w:t>
      </w:r>
      <w:r w:rsidR="00C37154">
        <w:t>f those three</w:t>
      </w:r>
      <w:r>
        <w:t xml:space="preserve"> </w:t>
      </w:r>
      <w:r w:rsidR="00201D16">
        <w:t>assumptions lead to an uncertainty in the C</w:t>
      </w:r>
      <w:r w:rsidR="00201D16">
        <w:rPr>
          <w:position w:val="-5"/>
          <w:sz w:val="14"/>
        </w:rPr>
        <w:t xml:space="preserve">ant </w:t>
      </w:r>
      <w:r w:rsidR="00201D16">
        <w:t>estimates</w:t>
      </w:r>
      <w:r w:rsidR="00821074">
        <w:rPr>
          <w:spacing w:val="59"/>
        </w:rPr>
        <w:t xml:space="preserve"> </w:t>
      </w:r>
      <w:r w:rsidR="00201D16">
        <w:t>of</w:t>
      </w:r>
      <w:r w:rsidR="00907ED8">
        <w:t xml:space="preserve"> </w:t>
      </w:r>
      <w:r w:rsidR="008536F1">
        <w:t xml:space="preserve">approximately </w:t>
      </w:r>
      <w:r w:rsidR="00201D16">
        <w:t>±20%</w:t>
      </w:r>
      <w:r w:rsidR="008536F1">
        <w:t xml:space="preserve"> across different methods</w:t>
      </w:r>
      <w:r w:rsidR="00201D16">
        <w:t xml:space="preserve">. This result reduces </w:t>
      </w:r>
      <w:r w:rsidR="00821074">
        <w:t xml:space="preserve">the understanding of the </w:t>
      </w:r>
      <w:r w:rsidR="00201D16">
        <w:t>C</w:t>
      </w:r>
      <w:r w:rsidR="00201D16">
        <w:rPr>
          <w:position w:val="-5"/>
          <w:sz w:val="14"/>
        </w:rPr>
        <w:t xml:space="preserve">ant </w:t>
      </w:r>
      <w:r w:rsidR="00201D16">
        <w:t>cycle and the possibility of predicting its future.</w:t>
      </w:r>
    </w:p>
    <w:p w14:paraId="09700152" w14:textId="77777777" w:rsidR="0055220C" w:rsidRPr="00C10ED2" w:rsidRDefault="0055220C">
      <w:pPr>
        <w:pStyle w:val="BodyText"/>
        <w:spacing w:before="10"/>
        <w:rPr>
          <w:sz w:val="36"/>
          <w:szCs w:val="36"/>
        </w:rPr>
      </w:pPr>
    </w:p>
    <w:p w14:paraId="28EF6701" w14:textId="77777777" w:rsidR="0055220C" w:rsidRDefault="00201D16">
      <w:pPr>
        <w:pStyle w:val="Heading1"/>
      </w:pPr>
      <w:r>
        <w:t>Motivation</w:t>
      </w:r>
    </w:p>
    <w:p w14:paraId="034F5E65" w14:textId="77777777" w:rsidR="0055220C" w:rsidRPr="00C10ED2" w:rsidRDefault="0055220C">
      <w:pPr>
        <w:pStyle w:val="BodyText"/>
        <w:spacing w:before="1"/>
        <w:rPr>
          <w:b/>
          <w:sz w:val="36"/>
          <w:szCs w:val="36"/>
        </w:rPr>
      </w:pPr>
    </w:p>
    <w:p w14:paraId="16E4F1AE" w14:textId="3147F402" w:rsidR="0055220C" w:rsidRDefault="00201D16" w:rsidP="00375A51">
      <w:pPr>
        <w:pStyle w:val="BodyText"/>
        <w:spacing w:before="1" w:line="276" w:lineRule="auto"/>
        <w:ind w:left="102" w:right="102"/>
      </w:pPr>
      <w:r>
        <w:t xml:space="preserve">As chemical oceanographer, I have spent my Ph.D analyzing the most </w:t>
      </w:r>
      <w:r>
        <w:rPr>
          <w:spacing w:val="-3"/>
        </w:rPr>
        <w:t xml:space="preserve">common </w:t>
      </w:r>
      <w:r>
        <w:t>methodologies</w:t>
      </w:r>
      <w:r w:rsidR="0039354F">
        <w:t xml:space="preserve"> (e.g. TTD, eMLR)</w:t>
      </w:r>
      <w:r>
        <w:t xml:space="preserve"> used to estimate C</w:t>
      </w:r>
      <w:r>
        <w:rPr>
          <w:position w:val="-5"/>
          <w:sz w:val="14"/>
        </w:rPr>
        <w:t xml:space="preserve">ant </w:t>
      </w:r>
      <w:r>
        <w:t>. Although the combination of multiple approaches reduces the</w:t>
      </w:r>
      <w:r w:rsidR="0039354F">
        <w:t xml:space="preserve"> uncertainty on the</w:t>
      </w:r>
      <w:r>
        <w:t xml:space="preserve"> C</w:t>
      </w:r>
      <w:r>
        <w:rPr>
          <w:position w:val="-5"/>
          <w:sz w:val="14"/>
        </w:rPr>
        <w:t xml:space="preserve">ant </w:t>
      </w:r>
      <w:r w:rsidR="0039354F">
        <w:t>estimates</w:t>
      </w:r>
      <w:r w:rsidR="008E28A0">
        <w:t>, thi</w:t>
      </w:r>
      <w:r w:rsidR="00D554D8">
        <w:t>s value cannot be reduced</w:t>
      </w:r>
      <w:r w:rsidR="008E28A0">
        <w:t xml:space="preserve"> below</w:t>
      </w:r>
      <w:r>
        <w:t xml:space="preserve"> ±10% with</w:t>
      </w:r>
      <w:r w:rsidR="000752ED">
        <w:t xml:space="preserve"> the current approaches: t</w:t>
      </w:r>
      <w:r w:rsidR="00375A51">
        <w:t>he most commonly used methods for C</w:t>
      </w:r>
      <w:r w:rsidR="00375A51" w:rsidRPr="000752ED">
        <w:rPr>
          <w:vertAlign w:val="subscript"/>
        </w:rPr>
        <w:t>ant</w:t>
      </w:r>
      <w:r w:rsidR="00375A51">
        <w:t xml:space="preserve"> estimates rely on a priori assumptions of the ocean system (e.g. Redfield ratio values). Conversely, th</w:t>
      </w:r>
      <w:r w:rsidR="000752ED">
        <w:t xml:space="preserve">e most common </w:t>
      </w:r>
      <w:r w:rsidR="00375A51">
        <w:t>machine learning</w:t>
      </w:r>
      <w:r w:rsidR="000752ED">
        <w:t xml:space="preserve"> algorithms learn from data, overcoming the necessity of a priori assumptions.</w:t>
      </w:r>
      <w:r w:rsidR="00375A51">
        <w:t xml:space="preserve"> </w:t>
      </w:r>
      <w:r>
        <w:t>So, I am keen to test the potentialities of machine learning algorithms to improve current C</w:t>
      </w:r>
      <w:r>
        <w:rPr>
          <w:position w:val="-5"/>
          <w:sz w:val="14"/>
        </w:rPr>
        <w:t xml:space="preserve">ant </w:t>
      </w:r>
      <w:r>
        <w:t>estimates a</w:t>
      </w:r>
      <w:r w:rsidR="00375A51">
        <w:t>nd therefore</w:t>
      </w:r>
      <w:r>
        <w:t xml:space="preserve"> better</w:t>
      </w:r>
      <w:r w:rsidR="000752ED">
        <w:t xml:space="preserve"> understanding the </w:t>
      </w:r>
      <w:r>
        <w:t>processes</w:t>
      </w:r>
      <w:r w:rsidR="000752ED">
        <w:t xml:space="preserve"> that control their variations</w:t>
      </w:r>
      <w:r>
        <w:t>.</w:t>
      </w:r>
    </w:p>
    <w:p w14:paraId="1C28D44E" w14:textId="77777777" w:rsidR="00ED5CF5" w:rsidRPr="00ED5CF5" w:rsidRDefault="00ED5CF5" w:rsidP="00375A51">
      <w:pPr>
        <w:pStyle w:val="BodyText"/>
        <w:spacing w:before="1" w:line="276" w:lineRule="auto"/>
        <w:ind w:left="102" w:right="102"/>
        <w:rPr>
          <w:sz w:val="36"/>
          <w:szCs w:val="36"/>
        </w:rPr>
      </w:pPr>
    </w:p>
    <w:p w14:paraId="090E4895" w14:textId="77777777" w:rsidR="00ED5CF5" w:rsidRDefault="00ED5CF5" w:rsidP="00ED5CF5">
      <w:pPr>
        <w:pStyle w:val="Heading1"/>
        <w:spacing w:before="1"/>
      </w:pPr>
      <w:r>
        <w:t>Approach</w:t>
      </w:r>
    </w:p>
    <w:p w14:paraId="04033C6C" w14:textId="77777777" w:rsidR="00ED5CF5" w:rsidRDefault="00ED5CF5" w:rsidP="00ED5CF5">
      <w:pPr>
        <w:pStyle w:val="BodyText"/>
        <w:spacing w:before="1"/>
        <w:rPr>
          <w:b/>
          <w:sz w:val="36"/>
          <w:szCs w:val="36"/>
        </w:rPr>
      </w:pPr>
    </w:p>
    <w:p w14:paraId="51EB8DB6" w14:textId="53BCB7CC" w:rsidR="00EA0C18" w:rsidRDefault="00EA0C18" w:rsidP="00EA0C18">
      <w:pPr>
        <w:pStyle w:val="Heading1"/>
        <w:ind w:firstLine="619"/>
        <w:rPr>
          <w:b w:val="0"/>
        </w:rPr>
      </w:pPr>
      <w:r w:rsidRPr="00E14695">
        <w:rPr>
          <w:b w:val="0"/>
        </w:rPr>
        <w:t>Introduction</w:t>
      </w:r>
    </w:p>
    <w:p w14:paraId="15B167E6" w14:textId="77777777" w:rsidR="00EA0C18" w:rsidRPr="00C577D4" w:rsidRDefault="00EA0C18" w:rsidP="00ED5CF5">
      <w:pPr>
        <w:pStyle w:val="BodyText"/>
        <w:spacing w:before="1"/>
        <w:rPr>
          <w:b/>
          <w:sz w:val="36"/>
          <w:szCs w:val="36"/>
        </w:rPr>
      </w:pPr>
    </w:p>
    <w:p w14:paraId="0B31A8DF" w14:textId="2E0655E3" w:rsidR="00ED5CF5" w:rsidRDefault="00ED5CF5" w:rsidP="00ED5CF5">
      <w:pPr>
        <w:pStyle w:val="BodyText"/>
        <w:spacing w:line="276" w:lineRule="auto"/>
        <w:ind w:left="102" w:right="102"/>
      </w:pPr>
      <w:r>
        <w:t>The majority of the algorithms currently used in machine learning does not require prior assumptions but learns from data. This</w:t>
      </w:r>
      <w:r w:rsidR="001B5B96">
        <w:t xml:space="preserve"> overcomes the strongest </w:t>
      </w:r>
      <w:r>
        <w:t>limit i</w:t>
      </w:r>
      <w:r w:rsidR="001B5B96">
        <w:t>n the methods currently used to estimate oceanic</w:t>
      </w:r>
      <w:r>
        <w:t xml:space="preserve"> C</w:t>
      </w:r>
      <w:r>
        <w:rPr>
          <w:position w:val="-5"/>
          <w:sz w:val="14"/>
        </w:rPr>
        <w:t>ant</w:t>
      </w:r>
      <w:r>
        <w:t>.</w:t>
      </w:r>
    </w:p>
    <w:p w14:paraId="0B2817E1" w14:textId="337FBD18" w:rsidR="00ED5CF5" w:rsidRDefault="00ED5CF5" w:rsidP="00ED5CF5">
      <w:pPr>
        <w:pStyle w:val="BodyText"/>
        <w:spacing w:line="276" w:lineRule="auto"/>
        <w:ind w:left="102" w:right="102"/>
      </w:pPr>
      <w:r>
        <w:t xml:space="preserve">My analysis will be performing into three steps. Initially, the GLODAPv2 </w:t>
      </w:r>
      <w:r w:rsidR="00E56E9F">
        <w:rPr>
          <w:vertAlign w:val="superscript"/>
        </w:rPr>
        <w:t xml:space="preserve">[4] </w:t>
      </w:r>
      <w:r>
        <w:t>data will be explored by using box and scatter plots together with correlation matrices</w:t>
      </w:r>
      <w:r w:rsidR="00E56E9F">
        <w:t xml:space="preserve"> (see next section). This </w:t>
      </w:r>
      <w:r>
        <w:t>provide</w:t>
      </w:r>
      <w:r w:rsidR="00E56E9F">
        <w:t xml:space="preserve">s a data overview and identifies features correlations </w:t>
      </w:r>
      <w:r>
        <w:t>and specific patterns. As a second step, all of the most common</w:t>
      </w:r>
      <w:r w:rsidR="00622E42">
        <w:t>ly used</w:t>
      </w:r>
      <w:r>
        <w:t xml:space="preserve"> </w:t>
      </w:r>
      <w:proofErr w:type="spellStart"/>
      <w:r>
        <w:t>regressors</w:t>
      </w:r>
      <w:proofErr w:type="spellEnd"/>
      <w:r>
        <w:t xml:space="preserve"> (linear regression, decision tree, random forest, neural network,</w:t>
      </w:r>
      <w:r w:rsidR="00622E42">
        <w:t xml:space="preserve"> and</w:t>
      </w:r>
      <w:r w:rsidR="00FC3461">
        <w:t xml:space="preserve"> </w:t>
      </w:r>
      <w:proofErr w:type="spellStart"/>
      <w:r w:rsidR="00FC3461">
        <w:t>lightGBM</w:t>
      </w:r>
      <w:proofErr w:type="spellEnd"/>
      <w:r w:rsidR="000422F7">
        <w:t>, see next section</w:t>
      </w:r>
      <w:r w:rsidR="00FC3461">
        <w:t xml:space="preserve">) will be used to predict </w:t>
      </w:r>
      <w:r>
        <w:t>C</w:t>
      </w:r>
      <w:r w:rsidRPr="001D0DFC">
        <w:rPr>
          <w:vertAlign w:val="subscript"/>
        </w:rPr>
        <w:t>ant</w:t>
      </w:r>
      <w:r w:rsidR="00FC3461">
        <w:t xml:space="preserve"> </w:t>
      </w:r>
      <w:r>
        <w:t>and their performances</w:t>
      </w:r>
      <w:r w:rsidR="007A0395">
        <w:t xml:space="preserve"> will be</w:t>
      </w:r>
      <w:r w:rsidR="00E90D80">
        <w:t xml:space="preserve"> compared with the TTD and</w:t>
      </w:r>
      <w:r>
        <w:t xml:space="preserve"> benchmark model described below. Finally, the error of the most performing model</w:t>
      </w:r>
      <w:r w:rsidR="00E90D80">
        <w:t>s</w:t>
      </w:r>
      <w:r>
        <w:t xml:space="preserve"> will be explored and discussed </w:t>
      </w:r>
      <w:r w:rsidR="00BD2289">
        <w:t>together with</w:t>
      </w:r>
      <w:r>
        <w:t xml:space="preserve"> future steps and</w:t>
      </w:r>
      <w:r w:rsidR="00DB3F5B">
        <w:t xml:space="preserve"> potential</w:t>
      </w:r>
      <w:r>
        <w:t xml:space="preserve"> improvements.</w:t>
      </w:r>
    </w:p>
    <w:p w14:paraId="68186166" w14:textId="77777777" w:rsidR="0055220C" w:rsidRDefault="0055220C">
      <w:pPr>
        <w:pStyle w:val="BodyText"/>
        <w:spacing w:before="8"/>
        <w:rPr>
          <w:sz w:val="36"/>
          <w:szCs w:val="36"/>
        </w:rPr>
      </w:pPr>
    </w:p>
    <w:p w14:paraId="09E3DDF6" w14:textId="77777777" w:rsidR="00EA0C18" w:rsidRDefault="00EA0C18">
      <w:pPr>
        <w:pStyle w:val="BodyText"/>
        <w:spacing w:before="8"/>
        <w:rPr>
          <w:sz w:val="36"/>
          <w:szCs w:val="36"/>
        </w:rPr>
      </w:pPr>
    </w:p>
    <w:p w14:paraId="3891A5CA" w14:textId="69CAABCE" w:rsidR="00EA0C18" w:rsidRPr="00E14695" w:rsidRDefault="00EA0C18" w:rsidP="00EA0C18">
      <w:pPr>
        <w:pStyle w:val="Heading1"/>
        <w:ind w:firstLine="619"/>
        <w:rPr>
          <w:b w:val="0"/>
        </w:rPr>
      </w:pPr>
      <w:r>
        <w:rPr>
          <w:b w:val="0"/>
        </w:rPr>
        <w:lastRenderedPageBreak/>
        <w:t>Algorithms</w:t>
      </w:r>
    </w:p>
    <w:p w14:paraId="05C6D979" w14:textId="77777777" w:rsidR="00EA0C18" w:rsidRDefault="00EA0C18" w:rsidP="004118DF">
      <w:pPr>
        <w:pStyle w:val="BodyText"/>
        <w:spacing w:line="276" w:lineRule="auto"/>
        <w:ind w:left="102" w:right="102"/>
        <w:rPr>
          <w:sz w:val="36"/>
          <w:szCs w:val="36"/>
        </w:rPr>
      </w:pPr>
    </w:p>
    <w:p w14:paraId="4E6ECD44" w14:textId="7C266A1A" w:rsidR="00A11F0C" w:rsidRPr="00DE55A6" w:rsidRDefault="002A743C" w:rsidP="004118DF">
      <w:pPr>
        <w:spacing w:line="276" w:lineRule="auto"/>
        <w:ind w:left="102" w:right="102"/>
        <w:rPr>
          <w:rFonts w:eastAsia="Times New Roman" w:cs="Times New Roman"/>
          <w:sz w:val="24"/>
          <w:szCs w:val="24"/>
        </w:rPr>
      </w:pPr>
      <w:r>
        <w:rPr>
          <w:sz w:val="24"/>
          <w:szCs w:val="24"/>
        </w:rPr>
        <w:t>T</w:t>
      </w:r>
      <w:r w:rsidR="00A11F0C" w:rsidRPr="00DE55A6">
        <w:rPr>
          <w:sz w:val="24"/>
          <w:szCs w:val="24"/>
        </w:rPr>
        <w:t xml:space="preserve">he </w:t>
      </w:r>
      <w:r w:rsidR="00A11F0C" w:rsidRPr="002A743C">
        <w:rPr>
          <w:i/>
          <w:sz w:val="24"/>
          <w:szCs w:val="24"/>
        </w:rPr>
        <w:t>linear regression</w:t>
      </w:r>
      <w:r w:rsidR="00A11F0C" w:rsidRPr="00DE55A6">
        <w:rPr>
          <w:sz w:val="24"/>
          <w:szCs w:val="24"/>
        </w:rPr>
        <w:t xml:space="preserve"> is a statistical approach </w:t>
      </w:r>
      <w:r w:rsidR="00D30E67">
        <w:rPr>
          <w:sz w:val="24"/>
          <w:szCs w:val="24"/>
        </w:rPr>
        <w:t xml:space="preserve">used </w:t>
      </w:r>
      <w:r w:rsidR="00A11F0C" w:rsidRPr="00DE55A6">
        <w:rPr>
          <w:sz w:val="24"/>
          <w:szCs w:val="24"/>
        </w:rPr>
        <w:t>to model the relation between a scalar variable of interest a</w:t>
      </w:r>
      <w:r w:rsidR="00D30E67">
        <w:rPr>
          <w:sz w:val="24"/>
          <w:szCs w:val="24"/>
        </w:rPr>
        <w:t>nd one or more</w:t>
      </w:r>
      <w:r>
        <w:rPr>
          <w:sz w:val="24"/>
          <w:szCs w:val="24"/>
        </w:rPr>
        <w:t xml:space="preserve"> predictors. A</w:t>
      </w:r>
      <w:r w:rsidR="00A11F0C" w:rsidRPr="00DE55A6">
        <w:rPr>
          <w:sz w:val="24"/>
          <w:szCs w:val="24"/>
        </w:rPr>
        <w:t xml:space="preserve"> linear regression </w:t>
      </w:r>
      <w:r w:rsidR="00A11F0C" w:rsidRPr="00DE55A6">
        <w:rPr>
          <w:sz w:val="24"/>
          <w:szCs w:val="24"/>
          <w:vertAlign w:val="superscript"/>
        </w:rPr>
        <w:t>[10]</w:t>
      </w:r>
      <w:r w:rsidR="00A11F0C" w:rsidRPr="00DE55A6">
        <w:rPr>
          <w:sz w:val="24"/>
          <w:szCs w:val="24"/>
        </w:rPr>
        <w:t xml:space="preserve"> can be summarized as </w:t>
      </w:r>
      <w:r w:rsidR="00A11F0C" w:rsidRPr="008E50B9">
        <w:rPr>
          <w:i/>
          <w:sz w:val="24"/>
          <w:szCs w:val="24"/>
        </w:rPr>
        <w:t xml:space="preserve">y = a + </w:t>
      </w:r>
      <w:proofErr w:type="spellStart"/>
      <w:r w:rsidR="00A11F0C" w:rsidRPr="008E50B9">
        <w:rPr>
          <w:i/>
          <w:sz w:val="24"/>
          <w:szCs w:val="24"/>
        </w:rPr>
        <w:t>bx</w:t>
      </w:r>
      <w:proofErr w:type="spellEnd"/>
      <w:r w:rsidR="00A11F0C" w:rsidRPr="00DE55A6">
        <w:rPr>
          <w:sz w:val="24"/>
          <w:szCs w:val="24"/>
        </w:rPr>
        <w:t xml:space="preserve">, where y is the variable of interest, </w:t>
      </w:r>
      <w:proofErr w:type="gramStart"/>
      <w:r w:rsidR="00A11F0C" w:rsidRPr="00DE55A6">
        <w:rPr>
          <w:sz w:val="24"/>
          <w:szCs w:val="24"/>
        </w:rPr>
        <w:t xml:space="preserve">a </w:t>
      </w:r>
      <w:r w:rsidR="004118DF">
        <w:rPr>
          <w:sz w:val="24"/>
          <w:szCs w:val="24"/>
        </w:rPr>
        <w:t>is</w:t>
      </w:r>
      <w:proofErr w:type="gramEnd"/>
      <w:r w:rsidR="004118DF">
        <w:rPr>
          <w:sz w:val="24"/>
          <w:szCs w:val="24"/>
        </w:rPr>
        <w:t xml:space="preserve"> </w:t>
      </w:r>
      <w:r w:rsidR="00A11F0C" w:rsidRPr="00DE55A6">
        <w:rPr>
          <w:sz w:val="24"/>
          <w:szCs w:val="24"/>
        </w:rPr>
        <w:t>th</w:t>
      </w:r>
      <w:r w:rsidR="004118DF">
        <w:rPr>
          <w:sz w:val="24"/>
          <w:szCs w:val="24"/>
        </w:rPr>
        <w:t>e constant term, and b i</w:t>
      </w:r>
      <w:r w:rsidR="00A11F0C" w:rsidRPr="00DE55A6">
        <w:rPr>
          <w:sz w:val="24"/>
          <w:szCs w:val="24"/>
        </w:rPr>
        <w:t>s the gen</w:t>
      </w:r>
      <w:r>
        <w:rPr>
          <w:sz w:val="24"/>
          <w:szCs w:val="24"/>
        </w:rPr>
        <w:t xml:space="preserve">eric coefficient of the </w:t>
      </w:r>
      <w:r w:rsidR="00A11F0C" w:rsidRPr="00DE55A6">
        <w:rPr>
          <w:sz w:val="24"/>
          <w:szCs w:val="24"/>
        </w:rPr>
        <w:t>predictor x. In</w:t>
      </w:r>
      <w:r w:rsidR="008E50B9">
        <w:rPr>
          <w:sz w:val="24"/>
          <w:szCs w:val="24"/>
        </w:rPr>
        <w:t xml:space="preserve"> practical terms, a</w:t>
      </w:r>
      <w:r>
        <w:rPr>
          <w:sz w:val="24"/>
          <w:szCs w:val="24"/>
        </w:rPr>
        <w:t xml:space="preserve"> common approach to </w:t>
      </w:r>
      <w:r w:rsidR="00A11F0C" w:rsidRPr="00DE55A6">
        <w:rPr>
          <w:sz w:val="24"/>
          <w:szCs w:val="24"/>
        </w:rPr>
        <w:t>linear regression is the Scikit learn module</w:t>
      </w:r>
      <w:r>
        <w:rPr>
          <w:sz w:val="24"/>
          <w:szCs w:val="24"/>
        </w:rPr>
        <w:t xml:space="preserve"> </w:t>
      </w:r>
      <w:r w:rsidRPr="002A743C">
        <w:rPr>
          <w:sz w:val="24"/>
          <w:szCs w:val="24"/>
          <w:vertAlign w:val="superscript"/>
        </w:rPr>
        <w:t>[14]</w:t>
      </w:r>
      <w:r>
        <w:rPr>
          <w:sz w:val="24"/>
          <w:szCs w:val="24"/>
        </w:rPr>
        <w:t xml:space="preserve"> used in this analysis.</w:t>
      </w:r>
    </w:p>
    <w:p w14:paraId="2B97042A" w14:textId="77777777" w:rsidR="00DE55A6" w:rsidRDefault="00DE55A6" w:rsidP="004118DF">
      <w:pPr>
        <w:spacing w:line="276" w:lineRule="auto"/>
        <w:ind w:left="102" w:right="102"/>
        <w:rPr>
          <w:sz w:val="24"/>
          <w:szCs w:val="24"/>
        </w:rPr>
      </w:pPr>
    </w:p>
    <w:p w14:paraId="18DF352B" w14:textId="6CB79DBD" w:rsidR="0068328A" w:rsidRPr="002A743C" w:rsidRDefault="00FE3903" w:rsidP="004118DF">
      <w:pPr>
        <w:spacing w:line="276" w:lineRule="auto"/>
        <w:ind w:left="102" w:right="102"/>
        <w:rPr>
          <w:rFonts w:eastAsia="Times New Roman" w:cs="Times New Roman"/>
          <w:sz w:val="24"/>
          <w:szCs w:val="24"/>
        </w:rPr>
      </w:pPr>
      <w:r>
        <w:rPr>
          <w:rFonts w:eastAsia="Times New Roman" w:cs="Times New Roman"/>
          <w:sz w:val="24"/>
          <w:szCs w:val="24"/>
        </w:rPr>
        <w:t>T</w:t>
      </w:r>
      <w:r w:rsidR="00CC742A" w:rsidRPr="002A743C">
        <w:rPr>
          <w:rFonts w:eastAsia="Times New Roman" w:cs="Times New Roman"/>
          <w:sz w:val="24"/>
          <w:szCs w:val="24"/>
        </w:rPr>
        <w:t xml:space="preserve">he </w:t>
      </w:r>
      <w:r w:rsidR="00CC742A" w:rsidRPr="00FE3903">
        <w:rPr>
          <w:rFonts w:eastAsia="Times New Roman" w:cs="Times New Roman"/>
          <w:i/>
          <w:sz w:val="24"/>
          <w:szCs w:val="24"/>
        </w:rPr>
        <w:t>ridge</w:t>
      </w:r>
      <w:r w:rsidR="00E06FA1" w:rsidRPr="002A743C">
        <w:rPr>
          <w:rFonts w:eastAsia="Times New Roman" w:cs="Times New Roman"/>
          <w:sz w:val="24"/>
          <w:szCs w:val="24"/>
        </w:rPr>
        <w:t xml:space="preserve"> </w:t>
      </w:r>
      <w:r w:rsidR="00E06FA1" w:rsidRPr="002A743C">
        <w:rPr>
          <w:rFonts w:eastAsia="Times New Roman" w:cs="Times New Roman"/>
          <w:sz w:val="24"/>
          <w:szCs w:val="24"/>
          <w:vertAlign w:val="superscript"/>
        </w:rPr>
        <w:t>[13]</w:t>
      </w:r>
      <w:r w:rsidR="00CC742A" w:rsidRPr="002A743C">
        <w:rPr>
          <w:rFonts w:eastAsia="Times New Roman" w:cs="Times New Roman"/>
          <w:sz w:val="24"/>
          <w:szCs w:val="24"/>
        </w:rPr>
        <w:t xml:space="preserve"> and </w:t>
      </w:r>
      <w:r w:rsidR="00CC742A" w:rsidRPr="00FE3903">
        <w:rPr>
          <w:rFonts w:eastAsia="Times New Roman" w:cs="Times New Roman"/>
          <w:i/>
          <w:sz w:val="24"/>
          <w:szCs w:val="24"/>
        </w:rPr>
        <w:t>lasso</w:t>
      </w:r>
      <w:r w:rsidR="00E06FA1" w:rsidRPr="002A743C">
        <w:rPr>
          <w:rFonts w:eastAsia="Times New Roman" w:cs="Times New Roman"/>
          <w:sz w:val="24"/>
          <w:szCs w:val="24"/>
        </w:rPr>
        <w:t xml:space="preserve"> </w:t>
      </w:r>
      <w:r w:rsidR="00E06FA1" w:rsidRPr="002A743C">
        <w:rPr>
          <w:rFonts w:eastAsia="Times New Roman" w:cs="Times New Roman"/>
          <w:sz w:val="24"/>
          <w:szCs w:val="24"/>
          <w:vertAlign w:val="superscript"/>
        </w:rPr>
        <w:t>[12]</w:t>
      </w:r>
      <w:r w:rsidR="00CC742A" w:rsidRPr="002A743C">
        <w:rPr>
          <w:rFonts w:eastAsia="Times New Roman" w:cs="Times New Roman"/>
          <w:sz w:val="24"/>
          <w:szCs w:val="24"/>
        </w:rPr>
        <w:t xml:space="preserve"> </w:t>
      </w:r>
      <w:r w:rsidR="00CC742A" w:rsidRPr="00FE3903">
        <w:rPr>
          <w:rFonts w:eastAsia="Times New Roman" w:cs="Times New Roman"/>
          <w:i/>
          <w:sz w:val="24"/>
          <w:szCs w:val="24"/>
        </w:rPr>
        <w:t>regressions</w:t>
      </w:r>
      <w:r w:rsidR="00CC742A" w:rsidRPr="002A743C">
        <w:rPr>
          <w:rFonts w:eastAsia="Times New Roman" w:cs="Times New Roman"/>
          <w:sz w:val="24"/>
          <w:szCs w:val="24"/>
        </w:rPr>
        <w:t xml:space="preserve"> are </w:t>
      </w:r>
      <w:r w:rsidR="00327A24" w:rsidRPr="002A743C">
        <w:rPr>
          <w:rFonts w:eastAsia="Times New Roman" w:cs="Times New Roman"/>
          <w:sz w:val="24"/>
          <w:szCs w:val="24"/>
        </w:rPr>
        <w:t>statistical</w:t>
      </w:r>
      <w:r w:rsidR="00F331BE" w:rsidRPr="002A743C">
        <w:rPr>
          <w:rFonts w:eastAsia="Times New Roman" w:cs="Times New Roman"/>
          <w:sz w:val="24"/>
          <w:szCs w:val="24"/>
        </w:rPr>
        <w:t xml:space="preserve"> methods</w:t>
      </w:r>
      <w:r w:rsidR="00327A24" w:rsidRPr="002A743C">
        <w:rPr>
          <w:rFonts w:eastAsia="Times New Roman" w:cs="Times New Roman"/>
          <w:sz w:val="24"/>
          <w:szCs w:val="24"/>
        </w:rPr>
        <w:t xml:space="preserve"> developed to overcome challe</w:t>
      </w:r>
      <w:r>
        <w:rPr>
          <w:rFonts w:eastAsia="Times New Roman" w:cs="Times New Roman"/>
          <w:sz w:val="24"/>
          <w:szCs w:val="24"/>
        </w:rPr>
        <w:t>nges in the simple</w:t>
      </w:r>
      <w:r w:rsidR="00327A24" w:rsidRPr="002A743C">
        <w:rPr>
          <w:rFonts w:eastAsia="Times New Roman" w:cs="Times New Roman"/>
          <w:sz w:val="24"/>
          <w:szCs w:val="24"/>
        </w:rPr>
        <w:t xml:space="preserve"> linear regression. The ridge approach</w:t>
      </w:r>
      <w:r w:rsidR="007E450F" w:rsidRPr="002A743C">
        <w:rPr>
          <w:rFonts w:eastAsia="Times New Roman" w:cs="Times New Roman"/>
          <w:sz w:val="24"/>
          <w:szCs w:val="24"/>
        </w:rPr>
        <w:t xml:space="preserve"> </w:t>
      </w:r>
      <w:r w:rsidR="007E450F" w:rsidRPr="002A743C">
        <w:rPr>
          <w:rFonts w:eastAsia="Times New Roman" w:cs="Times New Roman"/>
          <w:sz w:val="24"/>
          <w:szCs w:val="24"/>
          <w:vertAlign w:val="superscript"/>
        </w:rPr>
        <w:t>[11]</w:t>
      </w:r>
      <w:r w:rsidR="00327A24" w:rsidRPr="002A743C">
        <w:rPr>
          <w:rFonts w:eastAsia="Times New Roman" w:cs="Times New Roman"/>
          <w:sz w:val="24"/>
          <w:szCs w:val="24"/>
        </w:rPr>
        <w:t xml:space="preserve"> </w:t>
      </w:r>
      <w:r>
        <w:rPr>
          <w:rFonts w:eastAsia="Times New Roman" w:cs="Times New Roman"/>
          <w:sz w:val="24"/>
          <w:szCs w:val="24"/>
        </w:rPr>
        <w:t>is particularly useful when data include</w:t>
      </w:r>
      <w:r w:rsidR="00327A24" w:rsidRPr="002A743C">
        <w:rPr>
          <w:rFonts w:eastAsia="Times New Roman" w:cs="Times New Roman"/>
          <w:sz w:val="24"/>
          <w:szCs w:val="24"/>
        </w:rPr>
        <w:t xml:space="preserve"> an excessive amount of variables with respect to the data col</w:t>
      </w:r>
      <w:r w:rsidR="0024138D" w:rsidRPr="002A743C">
        <w:rPr>
          <w:rFonts w:eastAsia="Times New Roman" w:cs="Times New Roman"/>
          <w:sz w:val="24"/>
          <w:szCs w:val="24"/>
        </w:rPr>
        <w:t xml:space="preserve">lected for each or include </w:t>
      </w:r>
      <w:r w:rsidR="003E66AD" w:rsidRPr="002A743C">
        <w:rPr>
          <w:rFonts w:eastAsia="Times New Roman" w:cs="Times New Roman"/>
          <w:sz w:val="24"/>
          <w:szCs w:val="24"/>
        </w:rPr>
        <w:t>highly correlated</w:t>
      </w:r>
      <w:r w:rsidR="0024138D" w:rsidRPr="002A743C">
        <w:rPr>
          <w:rFonts w:eastAsia="Times New Roman" w:cs="Times New Roman"/>
          <w:sz w:val="24"/>
          <w:szCs w:val="24"/>
        </w:rPr>
        <w:t xml:space="preserve"> predictors</w:t>
      </w:r>
      <w:r w:rsidR="003E66AD" w:rsidRPr="002A743C">
        <w:rPr>
          <w:rFonts w:eastAsia="Times New Roman" w:cs="Times New Roman"/>
          <w:sz w:val="24"/>
          <w:szCs w:val="24"/>
        </w:rPr>
        <w:t>.</w:t>
      </w:r>
      <w:r w:rsidR="0024138D" w:rsidRPr="002A743C">
        <w:rPr>
          <w:rFonts w:eastAsia="Times New Roman" w:cs="Times New Roman"/>
          <w:sz w:val="24"/>
          <w:szCs w:val="24"/>
        </w:rPr>
        <w:t xml:space="preserve"> </w:t>
      </w:r>
      <w:r w:rsidR="00F9364C" w:rsidRPr="002A743C">
        <w:rPr>
          <w:rFonts w:eastAsia="Times New Roman" w:cs="Times New Roman"/>
          <w:sz w:val="24"/>
          <w:szCs w:val="24"/>
        </w:rPr>
        <w:t>The least absolute shrinkage and selector operator (lasso) regression is an approach that perf</w:t>
      </w:r>
      <w:r w:rsidR="00E06FA1" w:rsidRPr="002A743C">
        <w:rPr>
          <w:rFonts w:eastAsia="Times New Roman" w:cs="Times New Roman"/>
          <w:sz w:val="24"/>
          <w:szCs w:val="24"/>
        </w:rPr>
        <w:t xml:space="preserve">orms </w:t>
      </w:r>
      <w:r w:rsidR="00F9364C" w:rsidRPr="002A743C">
        <w:rPr>
          <w:rFonts w:eastAsia="Times New Roman" w:cs="Times New Roman"/>
          <w:sz w:val="24"/>
          <w:szCs w:val="24"/>
        </w:rPr>
        <w:t xml:space="preserve">the selection and regularization of the predictors used </w:t>
      </w:r>
      <w:r>
        <w:rPr>
          <w:rFonts w:eastAsia="Times New Roman" w:cs="Times New Roman"/>
          <w:sz w:val="24"/>
          <w:szCs w:val="24"/>
        </w:rPr>
        <w:t>in the linear regression. T</w:t>
      </w:r>
      <w:r w:rsidR="00F9364C" w:rsidRPr="002A743C">
        <w:rPr>
          <w:rFonts w:eastAsia="Times New Roman" w:cs="Times New Roman"/>
          <w:sz w:val="24"/>
          <w:szCs w:val="24"/>
        </w:rPr>
        <w:t xml:space="preserve">he lasso and ridge approaches are generally improving the results of the </w:t>
      </w:r>
      <w:r w:rsidR="005D210F">
        <w:rPr>
          <w:rFonts w:eastAsia="Times New Roman" w:cs="Times New Roman"/>
          <w:sz w:val="24"/>
          <w:szCs w:val="24"/>
        </w:rPr>
        <w:t xml:space="preserve">simple </w:t>
      </w:r>
      <w:r w:rsidR="00F9364C" w:rsidRPr="002A743C">
        <w:rPr>
          <w:rFonts w:eastAsia="Times New Roman" w:cs="Times New Roman"/>
          <w:sz w:val="24"/>
          <w:szCs w:val="24"/>
        </w:rPr>
        <w:t>linear regression.</w:t>
      </w:r>
    </w:p>
    <w:p w14:paraId="496884B7" w14:textId="77777777" w:rsidR="00F7589A" w:rsidRDefault="00F7589A" w:rsidP="004118DF">
      <w:pPr>
        <w:spacing w:line="276" w:lineRule="auto"/>
        <w:ind w:left="102" w:right="102"/>
        <w:rPr>
          <w:rFonts w:eastAsia="Times New Roman" w:cs="Times New Roman"/>
        </w:rPr>
      </w:pPr>
    </w:p>
    <w:p w14:paraId="52D40353" w14:textId="77777777" w:rsidR="00E15CC5" w:rsidRDefault="0087230A" w:rsidP="004118DF">
      <w:pPr>
        <w:spacing w:line="276" w:lineRule="auto"/>
        <w:ind w:left="102" w:right="102"/>
        <w:rPr>
          <w:rFonts w:eastAsia="Times New Roman" w:cs="Times New Roman"/>
          <w:sz w:val="24"/>
          <w:szCs w:val="24"/>
        </w:rPr>
      </w:pPr>
      <w:r>
        <w:rPr>
          <w:rFonts w:eastAsia="Times New Roman" w:cs="Times New Roman"/>
          <w:sz w:val="24"/>
          <w:szCs w:val="24"/>
        </w:rPr>
        <w:t>T</w:t>
      </w:r>
      <w:r w:rsidR="00CD4EB3" w:rsidRPr="002A743C">
        <w:rPr>
          <w:rFonts w:eastAsia="Times New Roman" w:cs="Times New Roman"/>
          <w:sz w:val="24"/>
          <w:szCs w:val="24"/>
        </w:rPr>
        <w:t xml:space="preserve">he </w:t>
      </w:r>
      <w:r w:rsidR="00CD4EB3" w:rsidRPr="0087230A">
        <w:rPr>
          <w:rFonts w:eastAsia="Times New Roman" w:cs="Times New Roman"/>
          <w:i/>
          <w:sz w:val="24"/>
          <w:szCs w:val="24"/>
        </w:rPr>
        <w:t>decision</w:t>
      </w:r>
      <w:r w:rsidR="00CD4EB3" w:rsidRPr="002A743C">
        <w:rPr>
          <w:rFonts w:eastAsia="Times New Roman" w:cs="Times New Roman"/>
          <w:sz w:val="24"/>
          <w:szCs w:val="24"/>
        </w:rPr>
        <w:t xml:space="preserve"> </w:t>
      </w:r>
      <w:r w:rsidR="00CD4EB3" w:rsidRPr="0087230A">
        <w:rPr>
          <w:rFonts w:eastAsia="Times New Roman" w:cs="Times New Roman"/>
          <w:i/>
          <w:sz w:val="24"/>
          <w:szCs w:val="24"/>
        </w:rPr>
        <w:t xml:space="preserve">tree </w:t>
      </w:r>
      <w:r w:rsidRPr="0087230A">
        <w:rPr>
          <w:rFonts w:eastAsia="Times New Roman" w:cs="Times New Roman"/>
          <w:sz w:val="24"/>
          <w:szCs w:val="24"/>
          <w:vertAlign w:val="superscript"/>
        </w:rPr>
        <w:t xml:space="preserve">[15] </w:t>
      </w:r>
      <w:r>
        <w:rPr>
          <w:rFonts w:eastAsia="Times New Roman" w:cs="Times New Roman"/>
          <w:sz w:val="24"/>
          <w:szCs w:val="24"/>
        </w:rPr>
        <w:t>i</w:t>
      </w:r>
      <w:r w:rsidR="00CD4EB3" w:rsidRPr="002A743C">
        <w:rPr>
          <w:rFonts w:eastAsia="Times New Roman" w:cs="Times New Roman"/>
          <w:sz w:val="24"/>
          <w:szCs w:val="24"/>
        </w:rPr>
        <w:t xml:space="preserve">s a </w:t>
      </w:r>
      <w:r w:rsidR="002A743C" w:rsidRPr="002A743C">
        <w:rPr>
          <w:rFonts w:eastAsia="Times New Roman" w:cs="Times New Roman"/>
          <w:sz w:val="24"/>
          <w:szCs w:val="24"/>
        </w:rPr>
        <w:t>machine-learning</w:t>
      </w:r>
      <w:r w:rsidR="00785612">
        <w:rPr>
          <w:rFonts w:eastAsia="Times New Roman" w:cs="Times New Roman"/>
          <w:sz w:val="24"/>
          <w:szCs w:val="24"/>
        </w:rPr>
        <w:t xml:space="preserve"> algorithm based on </w:t>
      </w:r>
      <w:r w:rsidR="00CD4EB3" w:rsidRPr="002A743C">
        <w:rPr>
          <w:rFonts w:eastAsia="Times New Roman" w:cs="Times New Roman"/>
          <w:sz w:val="24"/>
          <w:szCs w:val="24"/>
        </w:rPr>
        <w:t xml:space="preserve">a decision tree system of </w:t>
      </w:r>
      <w:r w:rsidR="000A7C6B">
        <w:rPr>
          <w:rFonts w:eastAsia="Times New Roman" w:cs="Times New Roman"/>
          <w:sz w:val="24"/>
          <w:szCs w:val="24"/>
        </w:rPr>
        <w:t>categorization that</w:t>
      </w:r>
      <w:r w:rsidR="00CD4EB3" w:rsidRPr="002A743C">
        <w:rPr>
          <w:rFonts w:eastAsia="Times New Roman" w:cs="Times New Roman"/>
          <w:sz w:val="24"/>
          <w:szCs w:val="24"/>
        </w:rPr>
        <w:t xml:space="preserve"> predict</w:t>
      </w:r>
      <w:r w:rsidR="000A7C6B">
        <w:rPr>
          <w:rFonts w:eastAsia="Times New Roman" w:cs="Times New Roman"/>
          <w:sz w:val="24"/>
          <w:szCs w:val="24"/>
        </w:rPr>
        <w:t>s</w:t>
      </w:r>
      <w:r w:rsidR="00CD4EB3" w:rsidRPr="002A743C">
        <w:rPr>
          <w:rFonts w:eastAsia="Times New Roman" w:cs="Times New Roman"/>
          <w:sz w:val="24"/>
          <w:szCs w:val="24"/>
        </w:rPr>
        <w:t xml:space="preserve"> a value or class of a variable of interest. </w:t>
      </w:r>
      <w:r w:rsidR="00AB474F" w:rsidRPr="002A743C">
        <w:rPr>
          <w:rFonts w:eastAsia="Times New Roman" w:cs="Times New Roman"/>
          <w:sz w:val="24"/>
          <w:szCs w:val="24"/>
        </w:rPr>
        <w:t>The decision tree approach is normally used to visually represent a decision making approa</w:t>
      </w:r>
      <w:r w:rsidR="000A7C6B">
        <w:rPr>
          <w:rFonts w:eastAsia="Times New Roman" w:cs="Times New Roman"/>
          <w:sz w:val="24"/>
          <w:szCs w:val="24"/>
        </w:rPr>
        <w:t>ch and can be used to cluster variable values or classes</w:t>
      </w:r>
      <w:r w:rsidR="00AB474F" w:rsidRPr="002A743C">
        <w:rPr>
          <w:rFonts w:eastAsia="Times New Roman" w:cs="Times New Roman"/>
          <w:sz w:val="24"/>
          <w:szCs w:val="24"/>
        </w:rPr>
        <w:t xml:space="preserve">. </w:t>
      </w:r>
    </w:p>
    <w:p w14:paraId="02C880B6" w14:textId="77777777" w:rsidR="00E15CC5" w:rsidRDefault="00E15CC5" w:rsidP="004118DF">
      <w:pPr>
        <w:spacing w:line="276" w:lineRule="auto"/>
        <w:ind w:left="102" w:right="102"/>
        <w:rPr>
          <w:rFonts w:eastAsia="Times New Roman" w:cs="Times New Roman"/>
          <w:sz w:val="24"/>
          <w:szCs w:val="24"/>
        </w:rPr>
      </w:pPr>
    </w:p>
    <w:p w14:paraId="78AAF1C3" w14:textId="79C6A915" w:rsidR="00E15CC5" w:rsidRPr="008D5231" w:rsidRDefault="00E15CC5" w:rsidP="004118DF">
      <w:pPr>
        <w:spacing w:line="276" w:lineRule="auto"/>
        <w:ind w:left="102" w:right="102"/>
        <w:rPr>
          <w:rFonts w:eastAsia="Times New Roman" w:cs="Times New Roman"/>
          <w:sz w:val="24"/>
          <w:szCs w:val="24"/>
        </w:rPr>
      </w:pPr>
      <w:r w:rsidRPr="008D5231">
        <w:rPr>
          <w:sz w:val="24"/>
          <w:szCs w:val="24"/>
        </w:rPr>
        <w:t xml:space="preserve">The </w:t>
      </w:r>
      <w:r w:rsidRPr="007E04FE">
        <w:rPr>
          <w:i/>
          <w:sz w:val="24"/>
          <w:szCs w:val="24"/>
        </w:rPr>
        <w:t>random</w:t>
      </w:r>
      <w:r w:rsidRPr="008D5231">
        <w:rPr>
          <w:sz w:val="24"/>
          <w:szCs w:val="24"/>
        </w:rPr>
        <w:t xml:space="preserve"> </w:t>
      </w:r>
      <w:r w:rsidRPr="007E04FE">
        <w:rPr>
          <w:i/>
          <w:sz w:val="24"/>
          <w:szCs w:val="24"/>
        </w:rPr>
        <w:t xml:space="preserve">forest </w:t>
      </w:r>
      <w:r w:rsidRPr="008D5231">
        <w:rPr>
          <w:sz w:val="24"/>
          <w:szCs w:val="24"/>
        </w:rPr>
        <w:t xml:space="preserve">algorithm </w:t>
      </w:r>
      <w:r w:rsidRPr="008D5231">
        <w:rPr>
          <w:sz w:val="24"/>
          <w:szCs w:val="24"/>
          <w:vertAlign w:val="superscript"/>
        </w:rPr>
        <w:t>[16]</w:t>
      </w:r>
      <w:r w:rsidRPr="008D5231">
        <w:rPr>
          <w:sz w:val="24"/>
          <w:szCs w:val="24"/>
        </w:rPr>
        <w:t xml:space="preserve"> is an </w:t>
      </w:r>
      <w:r w:rsidR="008D5231">
        <w:rPr>
          <w:sz w:val="24"/>
          <w:szCs w:val="24"/>
        </w:rPr>
        <w:t>evolution of the decision tree that</w:t>
      </w:r>
      <w:r w:rsidRPr="008D5231">
        <w:rPr>
          <w:sz w:val="24"/>
          <w:szCs w:val="24"/>
        </w:rPr>
        <w:t xml:space="preserve"> use</w:t>
      </w:r>
      <w:r w:rsidR="008D5231">
        <w:rPr>
          <w:sz w:val="24"/>
          <w:szCs w:val="24"/>
        </w:rPr>
        <w:t>s</w:t>
      </w:r>
      <w:r w:rsidRPr="008D5231">
        <w:rPr>
          <w:sz w:val="24"/>
          <w:szCs w:val="24"/>
        </w:rPr>
        <w:t xml:space="preserve"> multiple combinations of multiple decision trees. The use of multiple decision trees captures a larger fraction of the variable variance and reduces the error on the final estimate.</w:t>
      </w:r>
    </w:p>
    <w:p w14:paraId="65656556" w14:textId="77777777" w:rsidR="00ED5CF5" w:rsidRPr="004118DF" w:rsidRDefault="00ED5CF5" w:rsidP="004118DF">
      <w:pPr>
        <w:pStyle w:val="BodyText"/>
        <w:spacing w:line="276" w:lineRule="auto"/>
        <w:ind w:left="102" w:right="102"/>
      </w:pPr>
    </w:p>
    <w:p w14:paraId="29249891" w14:textId="6EEC4FC8" w:rsidR="000A6773" w:rsidRDefault="00D16263" w:rsidP="00C93E18">
      <w:pPr>
        <w:pStyle w:val="BodyText"/>
        <w:spacing w:line="276" w:lineRule="auto"/>
        <w:ind w:left="102" w:right="102"/>
      </w:pPr>
      <w:r>
        <w:t xml:space="preserve">The </w:t>
      </w:r>
      <w:r w:rsidRPr="00D16263">
        <w:rPr>
          <w:i/>
        </w:rPr>
        <w:t>neural network</w:t>
      </w:r>
      <w:r>
        <w:t xml:space="preserve"> algorithm </w:t>
      </w:r>
      <w:r w:rsidRPr="00D16263">
        <w:rPr>
          <w:vertAlign w:val="superscript"/>
        </w:rPr>
        <w:t>[17]</w:t>
      </w:r>
      <w:r w:rsidR="00581A19">
        <w:t xml:space="preserve"> is </w:t>
      </w:r>
      <w:r w:rsidR="004118DF">
        <w:t>more complex than the previously described methods.</w:t>
      </w:r>
      <w:r>
        <w:t xml:space="preserve"> Artificial neural networks are systems designed to be similar to the biological network of neurons and generally are able to learn from data without requiring specific coded instructions.</w:t>
      </w:r>
      <w:r w:rsidR="00581A19">
        <w:t xml:space="preserve"> More in detail, each neuron of the network receive a signal, process it accordingly to specifically designed functions</w:t>
      </w:r>
      <w:r w:rsidR="000A6773">
        <w:t xml:space="preserve"> that determine the degree of activation of the neuron</w:t>
      </w:r>
      <w:r w:rsidR="00581A19">
        <w:t xml:space="preserve">, and propagates the signal to the following neuron or to the end of the system. </w:t>
      </w:r>
      <w:r w:rsidR="00544971">
        <w:t xml:space="preserve">In this analysis, I use the multi-layer perceptron (MLP) implementation of the Scikit learn module </w:t>
      </w:r>
      <w:r w:rsidR="00544971" w:rsidRPr="00544971">
        <w:rPr>
          <w:vertAlign w:val="superscript"/>
        </w:rPr>
        <w:t>[18]</w:t>
      </w:r>
      <w:r w:rsidR="00544971">
        <w:t xml:space="preserve">. </w:t>
      </w:r>
      <w:r w:rsidR="000A6773">
        <w:t>In formal terms, a function of activation for a neural network can be summarized as:</w:t>
      </w:r>
    </w:p>
    <w:p w14:paraId="52709790" w14:textId="379827AF" w:rsidR="000A6773" w:rsidRPr="004118DF" w:rsidRDefault="000A6773" w:rsidP="000A6773">
      <w:pPr>
        <w:pStyle w:val="BodyText"/>
        <w:spacing w:line="276" w:lineRule="auto"/>
        <w:ind w:left="102" w:right="102"/>
        <w:jc w:val="center"/>
      </w:pPr>
      <w:r>
        <w:rPr>
          <w:noProof/>
        </w:rPr>
        <w:drawing>
          <wp:inline distT="0" distB="0" distL="0" distR="0" wp14:anchorId="352B2DD2" wp14:editId="6B1B58A9">
            <wp:extent cx="1844145" cy="54117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48244" cy="542378"/>
                    </a:xfrm>
                    <a:prstGeom prst="rect">
                      <a:avLst/>
                    </a:prstGeom>
                    <a:noFill/>
                    <a:ln>
                      <a:noFill/>
                    </a:ln>
                  </pic:spPr>
                </pic:pic>
              </a:graphicData>
            </a:graphic>
          </wp:inline>
        </w:drawing>
      </w:r>
    </w:p>
    <w:p w14:paraId="1D33F8CC" w14:textId="49D94E72" w:rsidR="00ED5CF5" w:rsidRDefault="000A6773">
      <w:pPr>
        <w:pStyle w:val="BodyText"/>
        <w:spacing w:before="8"/>
      </w:pPr>
      <w:r>
        <w:t>This activation function shows that the neuron of the network would act differently depending on the information carried by the incoming signal. Only if this signal reaches a pre-determined threshold, the neuron activates and propagates it.</w:t>
      </w:r>
    </w:p>
    <w:p w14:paraId="34246C7D" w14:textId="77777777" w:rsidR="009D5D8A" w:rsidRDefault="009D5D8A">
      <w:pPr>
        <w:pStyle w:val="BodyText"/>
        <w:spacing w:before="8"/>
      </w:pPr>
    </w:p>
    <w:p w14:paraId="13253E43" w14:textId="77777777" w:rsidR="002A22F3" w:rsidRDefault="009D5D8A" w:rsidP="004E4EAA">
      <w:pPr>
        <w:rPr>
          <w:sz w:val="24"/>
          <w:szCs w:val="24"/>
        </w:rPr>
      </w:pPr>
      <w:r w:rsidRPr="004E4EAA">
        <w:rPr>
          <w:sz w:val="24"/>
          <w:szCs w:val="24"/>
        </w:rPr>
        <w:t xml:space="preserve">The </w:t>
      </w:r>
      <w:proofErr w:type="spellStart"/>
      <w:r w:rsidRPr="002A22F3">
        <w:rPr>
          <w:i/>
          <w:sz w:val="24"/>
          <w:szCs w:val="24"/>
        </w:rPr>
        <w:t>lightGBM</w:t>
      </w:r>
      <w:proofErr w:type="spellEnd"/>
      <w:r w:rsidRPr="004E4EAA">
        <w:rPr>
          <w:sz w:val="24"/>
          <w:szCs w:val="24"/>
        </w:rPr>
        <w:t xml:space="preserve"> algorithm </w:t>
      </w:r>
      <w:r w:rsidR="004E4EAA" w:rsidRPr="004E4EAA">
        <w:rPr>
          <w:sz w:val="24"/>
          <w:szCs w:val="24"/>
        </w:rPr>
        <w:t>is ‘</w:t>
      </w:r>
      <w:r w:rsidR="004E4EAA" w:rsidRPr="004E4EAA">
        <w:rPr>
          <w:rFonts w:eastAsia="Times New Roman"/>
          <w:spacing w:val="-1"/>
          <w:sz w:val="24"/>
          <w:szCs w:val="24"/>
          <w:lang w:val="en-GB"/>
        </w:rPr>
        <w:t>a gradient boosting framework that uses tree based learning algorithm</w:t>
      </w:r>
      <w:r w:rsidR="004E4EAA" w:rsidRPr="004E4EAA">
        <w:rPr>
          <w:sz w:val="24"/>
          <w:szCs w:val="24"/>
        </w:rPr>
        <w:t>’</w:t>
      </w:r>
      <w:r w:rsidR="004E4EAA">
        <w:rPr>
          <w:sz w:val="24"/>
          <w:szCs w:val="24"/>
        </w:rPr>
        <w:t xml:space="preserve"> </w:t>
      </w:r>
      <w:r w:rsidR="004E4EAA" w:rsidRPr="004E4EAA">
        <w:rPr>
          <w:sz w:val="24"/>
          <w:szCs w:val="24"/>
          <w:vertAlign w:val="superscript"/>
        </w:rPr>
        <w:t>[19]</w:t>
      </w:r>
      <w:r w:rsidR="004E4EAA">
        <w:rPr>
          <w:sz w:val="24"/>
          <w:szCs w:val="24"/>
        </w:rPr>
        <w:t xml:space="preserve">. This relatively new approach is similar conceptually to the decision tree and random forest algorithms but it grows the trees vertically instead of horizontally. In another words, the </w:t>
      </w:r>
      <w:proofErr w:type="spellStart"/>
      <w:r w:rsidR="004E4EAA">
        <w:rPr>
          <w:sz w:val="24"/>
          <w:szCs w:val="24"/>
        </w:rPr>
        <w:t>lightGBM</w:t>
      </w:r>
      <w:proofErr w:type="spellEnd"/>
      <w:r w:rsidR="004E4EAA">
        <w:rPr>
          <w:sz w:val="24"/>
          <w:szCs w:val="24"/>
        </w:rPr>
        <w:t xml:space="preserve"> approach includes multiple trees where the leaves combinations changes and gener</w:t>
      </w:r>
      <w:r w:rsidR="00AE7D5B">
        <w:rPr>
          <w:sz w:val="24"/>
          <w:szCs w:val="24"/>
        </w:rPr>
        <w:t xml:space="preserve">ates new trees and not only new static trees are added to the analysis. </w:t>
      </w:r>
    </w:p>
    <w:p w14:paraId="7462CDE0" w14:textId="16D2555A" w:rsidR="009D5D8A" w:rsidRPr="004E4EAA" w:rsidRDefault="00AE7D5B" w:rsidP="004E4EAA">
      <w:pPr>
        <w:rPr>
          <w:rFonts w:eastAsia="Times New Roman"/>
          <w:sz w:val="24"/>
          <w:szCs w:val="24"/>
          <w:lang w:val="en-GB"/>
        </w:rPr>
      </w:pPr>
      <w:bookmarkStart w:id="0" w:name="_GoBack"/>
      <w:bookmarkEnd w:id="0"/>
      <w:r>
        <w:rPr>
          <w:sz w:val="24"/>
          <w:szCs w:val="24"/>
        </w:rPr>
        <w:lastRenderedPageBreak/>
        <w:t xml:space="preserve">The two main reasons why the </w:t>
      </w:r>
      <w:proofErr w:type="spellStart"/>
      <w:r>
        <w:rPr>
          <w:sz w:val="24"/>
          <w:szCs w:val="24"/>
        </w:rPr>
        <w:t>lighGBM</w:t>
      </w:r>
      <w:proofErr w:type="spellEnd"/>
      <w:r>
        <w:rPr>
          <w:sz w:val="24"/>
          <w:szCs w:val="24"/>
        </w:rPr>
        <w:t xml:space="preserve"> is getting so popular in the machine-learning word and so it is used here is that the vertical increase in the tree approach allows to work more efficiently and faster, and the structure of the algorithm has been built to focus on the result accuracy.</w:t>
      </w:r>
    </w:p>
    <w:p w14:paraId="63373725" w14:textId="77777777" w:rsidR="000A6773" w:rsidRPr="00C577D4" w:rsidRDefault="000A6773">
      <w:pPr>
        <w:pStyle w:val="BodyText"/>
        <w:spacing w:before="8"/>
        <w:rPr>
          <w:sz w:val="36"/>
          <w:szCs w:val="36"/>
        </w:rPr>
      </w:pPr>
    </w:p>
    <w:p w14:paraId="0A5D77F3" w14:textId="77777777" w:rsidR="0055220C" w:rsidRDefault="00201D16">
      <w:pPr>
        <w:pStyle w:val="Heading1"/>
      </w:pPr>
      <w:r>
        <w:t>Dataset and Input</w:t>
      </w:r>
    </w:p>
    <w:p w14:paraId="7653CC80" w14:textId="77777777" w:rsidR="00E14695" w:rsidRDefault="00E14695">
      <w:pPr>
        <w:pStyle w:val="Heading1"/>
      </w:pPr>
    </w:p>
    <w:p w14:paraId="07D93799" w14:textId="3336AE0B" w:rsidR="00E14695" w:rsidRPr="00E14695" w:rsidRDefault="00E14695" w:rsidP="00E14695">
      <w:pPr>
        <w:pStyle w:val="Heading1"/>
        <w:ind w:firstLine="619"/>
        <w:rPr>
          <w:b w:val="0"/>
        </w:rPr>
      </w:pPr>
      <w:r w:rsidRPr="00E14695">
        <w:rPr>
          <w:b w:val="0"/>
        </w:rPr>
        <w:t>Introduction</w:t>
      </w:r>
    </w:p>
    <w:p w14:paraId="3ECF5C5A" w14:textId="77777777" w:rsidR="0055220C" w:rsidRPr="00C577D4" w:rsidRDefault="0055220C">
      <w:pPr>
        <w:pStyle w:val="BodyText"/>
        <w:spacing w:before="9"/>
        <w:rPr>
          <w:b/>
          <w:sz w:val="36"/>
          <w:szCs w:val="36"/>
        </w:rPr>
      </w:pPr>
    </w:p>
    <w:p w14:paraId="13227461" w14:textId="23152227" w:rsidR="0039354F" w:rsidRDefault="00201D16" w:rsidP="00180950">
      <w:pPr>
        <w:pStyle w:val="BodyText"/>
        <w:spacing w:line="276" w:lineRule="auto"/>
        <w:ind w:left="102" w:right="102"/>
      </w:pPr>
      <w:r>
        <w:t xml:space="preserve">As dataset, I will use the freely accessible data from the second version of the global ocean data analysis project (GLODAPv2, </w:t>
      </w:r>
      <w:hyperlink r:id="rId8">
        <w:r>
          <w:rPr>
            <w:color w:val="1154CC"/>
            <w:u w:val="single" w:color="1154CC"/>
          </w:rPr>
          <w:t>https://www.glodap.info/</w:t>
        </w:r>
      </w:hyperlink>
      <w:r>
        <w:t>). This data include measures of the most common oceanography variables, such as dissolved inorganic carbon, total alkalinity, inorganic nutrients, and a C</w:t>
      </w:r>
      <w:r>
        <w:rPr>
          <w:position w:val="-5"/>
          <w:sz w:val="14"/>
        </w:rPr>
        <w:t xml:space="preserve">ant </w:t>
      </w:r>
      <w:r>
        <w:t xml:space="preserve">estimate </w:t>
      </w:r>
      <w:r>
        <w:rPr>
          <w:vertAlign w:val="superscript"/>
        </w:rPr>
        <w:t>[4]</w:t>
      </w:r>
      <w:r>
        <w:t>. C</w:t>
      </w:r>
      <w:r>
        <w:rPr>
          <w:position w:val="-5"/>
          <w:sz w:val="14"/>
        </w:rPr>
        <w:t xml:space="preserve">ant </w:t>
      </w:r>
      <w:r w:rsidR="00D27BFF">
        <w:t>is estimating using</w:t>
      </w:r>
      <w:r w:rsidR="00D554D8">
        <w:t xml:space="preserve"> the transit-time d</w:t>
      </w:r>
      <w:r w:rsidR="0096347E">
        <w:t xml:space="preserve">istribution </w:t>
      </w:r>
      <w:r w:rsidR="008E28A0">
        <w:t>(TTD</w:t>
      </w:r>
      <w:r>
        <w:t xml:space="preserve"> </w:t>
      </w:r>
      <w:r>
        <w:rPr>
          <w:vertAlign w:val="superscript"/>
        </w:rPr>
        <w:t>[7]</w:t>
      </w:r>
      <w:r w:rsidR="008E28A0">
        <w:t>)</w:t>
      </w:r>
      <w:r w:rsidR="0096347E">
        <w:t xml:space="preserve"> technique</w:t>
      </w:r>
      <w:r w:rsidR="008E28A0">
        <w:t xml:space="preserve"> </w:t>
      </w:r>
      <w:r w:rsidR="0096347E">
        <w:t>and it will be considered here as</w:t>
      </w:r>
      <w:r>
        <w:t xml:space="preserve"> the baseline for the prop</w:t>
      </w:r>
      <w:r w:rsidR="00D27BFF">
        <w:t>osed machine learning models</w:t>
      </w:r>
      <w:r>
        <w:t xml:space="preserve">. </w:t>
      </w:r>
      <w:proofErr w:type="gramStart"/>
      <w:r w:rsidR="0039354F">
        <w:t>C</w:t>
      </w:r>
      <w:r w:rsidR="0039354F">
        <w:rPr>
          <w:vertAlign w:val="subscript"/>
        </w:rPr>
        <w:t>ant</w:t>
      </w:r>
      <w:proofErr w:type="gramEnd"/>
      <w:r w:rsidR="008E28A0">
        <w:t xml:space="preserve"> can also be quantified </w:t>
      </w:r>
      <w:r w:rsidR="002852D1">
        <w:t xml:space="preserve">in the GLODAPv2 data </w:t>
      </w:r>
      <w:r w:rsidR="008E28A0">
        <w:t>as difference between</w:t>
      </w:r>
      <w:r w:rsidR="0039354F">
        <w:t xml:space="preserve"> industrial and pre-indus</w:t>
      </w:r>
      <w:r w:rsidR="002852D1">
        <w:t>trial</w:t>
      </w:r>
      <w:r w:rsidR="00C21251">
        <w:t xml:space="preserve"> dissolved inorganic carbon</w:t>
      </w:r>
      <w:r w:rsidR="002852D1">
        <w:t xml:space="preserve"> </w:t>
      </w:r>
      <w:r w:rsidR="00C21251">
        <w:t>(</w:t>
      </w:r>
      <w:r w:rsidR="002852D1">
        <w:t>tCO2</w:t>
      </w:r>
      <w:r w:rsidR="00C21251">
        <w:t>)</w:t>
      </w:r>
      <w:r w:rsidR="0039354F">
        <w:t xml:space="preserve">, </w:t>
      </w:r>
      <w:r w:rsidR="008E28A0">
        <w:t xml:space="preserve">both of which are given in the </w:t>
      </w:r>
      <w:r w:rsidR="00C43286">
        <w:t xml:space="preserve">GLODAPv2 </w:t>
      </w:r>
      <w:r w:rsidR="008E28A0">
        <w:t>dataset. I use t</w:t>
      </w:r>
      <w:r w:rsidR="0039354F">
        <w:t>his second estim</w:t>
      </w:r>
      <w:r w:rsidR="00C43286">
        <w:t xml:space="preserve">ate as </w:t>
      </w:r>
      <w:r w:rsidR="0039354F">
        <w:t>C</w:t>
      </w:r>
      <w:r w:rsidR="0039354F">
        <w:rPr>
          <w:vertAlign w:val="subscript"/>
        </w:rPr>
        <w:t>ant</w:t>
      </w:r>
      <w:r w:rsidR="00D554D8">
        <w:t xml:space="preserve"> </w:t>
      </w:r>
      <w:r w:rsidR="009E2E1C">
        <w:t>reference for all of</w:t>
      </w:r>
      <w:r w:rsidR="00F9315A">
        <w:t xml:space="preserve"> </w:t>
      </w:r>
      <w:r w:rsidR="009E2E1C">
        <w:t xml:space="preserve">the </w:t>
      </w:r>
      <w:r w:rsidR="0039354F">
        <w:t>models</w:t>
      </w:r>
      <w:r w:rsidR="008E28A0">
        <w:t xml:space="preserve"> results</w:t>
      </w:r>
      <w:r w:rsidR="0039354F">
        <w:t>.</w:t>
      </w:r>
    </w:p>
    <w:p w14:paraId="79977A59" w14:textId="2D064304" w:rsidR="00C577D4" w:rsidRDefault="00977DD9" w:rsidP="00900684">
      <w:pPr>
        <w:pStyle w:val="BodyText"/>
        <w:spacing w:line="276" w:lineRule="auto"/>
        <w:ind w:left="102" w:right="102"/>
      </w:pPr>
      <w:r>
        <w:t>T</w:t>
      </w:r>
      <w:r w:rsidR="00201D16">
        <w:t>he GLODAPv2 dataset provides climatology for the year 2006, which allow</w:t>
      </w:r>
      <w:r w:rsidR="00D27BFF">
        <w:t xml:space="preserve">s applying </w:t>
      </w:r>
      <w:r w:rsidR="00A1174B">
        <w:t xml:space="preserve">machine </w:t>
      </w:r>
      <w:r w:rsidR="00201D16">
        <w:t>learning algorithm</w:t>
      </w:r>
      <w:r w:rsidR="00D27BFF">
        <w:t>s globally and testing their</w:t>
      </w:r>
      <w:r w:rsidR="00201D16">
        <w:t xml:space="preserve"> performance</w:t>
      </w:r>
      <w:r w:rsidR="00D27BFF">
        <w:t>s</w:t>
      </w:r>
      <w:r w:rsidR="00201D16">
        <w:t xml:space="preserve"> with respect to a homogeneous set of data. </w:t>
      </w:r>
      <w:r w:rsidR="00C43286">
        <w:t>Also, t</w:t>
      </w:r>
      <w:r w:rsidR="00201D16">
        <w:t xml:space="preserve">he GLODAPv2 data include </w:t>
      </w:r>
      <w:r w:rsidR="00D27BFF">
        <w:t xml:space="preserve">a detailed quality </w:t>
      </w:r>
      <w:r w:rsidR="0039354F">
        <w:t>check,</w:t>
      </w:r>
      <w:r w:rsidR="00C43286">
        <w:t xml:space="preserve"> which reduces the necessity </w:t>
      </w:r>
      <w:r w:rsidR="00A1174B">
        <w:t xml:space="preserve">of data exploration and </w:t>
      </w:r>
      <w:r w:rsidR="00D27BFF">
        <w:t>analysi</w:t>
      </w:r>
      <w:r w:rsidR="00900684">
        <w:t>s.</w:t>
      </w:r>
    </w:p>
    <w:p w14:paraId="6C578F50" w14:textId="77777777" w:rsidR="00ED5CF5" w:rsidRPr="00900684" w:rsidRDefault="00ED5CF5" w:rsidP="00900684">
      <w:pPr>
        <w:pStyle w:val="BodyText"/>
        <w:spacing w:line="276" w:lineRule="auto"/>
        <w:ind w:left="102" w:right="102"/>
      </w:pPr>
    </w:p>
    <w:p w14:paraId="07476058" w14:textId="53E280EE" w:rsidR="006F34A7" w:rsidRPr="00E14695" w:rsidRDefault="006F34A7" w:rsidP="006F34A7">
      <w:pPr>
        <w:pStyle w:val="Heading1"/>
        <w:ind w:firstLine="619"/>
        <w:rPr>
          <w:b w:val="0"/>
        </w:rPr>
      </w:pPr>
      <w:r>
        <w:rPr>
          <w:b w:val="0"/>
        </w:rPr>
        <w:t>Dataset</w:t>
      </w:r>
    </w:p>
    <w:p w14:paraId="43E019B7" w14:textId="77777777" w:rsidR="006F34A7" w:rsidRPr="00C577D4" w:rsidRDefault="006F34A7" w:rsidP="00C577D4">
      <w:pPr>
        <w:pStyle w:val="BodyText"/>
        <w:spacing w:line="330" w:lineRule="exact"/>
        <w:ind w:right="102"/>
        <w:rPr>
          <w:sz w:val="36"/>
          <w:szCs w:val="36"/>
        </w:rPr>
      </w:pPr>
    </w:p>
    <w:p w14:paraId="042B6031" w14:textId="46FFD6B8" w:rsidR="00612563" w:rsidRDefault="00B64B01" w:rsidP="00612563">
      <w:pPr>
        <w:pStyle w:val="BodyText"/>
        <w:spacing w:line="276" w:lineRule="auto"/>
        <w:ind w:left="102" w:right="102"/>
      </w:pPr>
      <w:r>
        <w:t>The</w:t>
      </w:r>
      <w:r w:rsidR="00DD1994">
        <w:t xml:space="preserve"> dataset description is given on a random subset including </w:t>
      </w:r>
      <w:r>
        <w:t>0.</w:t>
      </w:r>
      <w:r w:rsidR="00DD1994">
        <w:t>0</w:t>
      </w:r>
      <w:r>
        <w:t>5%</w:t>
      </w:r>
      <w:r w:rsidR="00DD1994">
        <w:t xml:space="preserve"> (520 records) of the </w:t>
      </w:r>
      <w:r>
        <w:t>2006 GLODAPv2 climatology dataset</w:t>
      </w:r>
      <w:r w:rsidR="00DD1994">
        <w:t xml:space="preserve"> (1</w:t>
      </w:r>
      <w:r w:rsidR="00AE1D2D">
        <w:t>,</w:t>
      </w:r>
      <w:r w:rsidR="00DD1994">
        <w:t>039</w:t>
      </w:r>
      <w:r w:rsidR="00AE1D2D">
        <w:t>,</w:t>
      </w:r>
      <w:r w:rsidR="00DD1994">
        <w:t>941 records)</w:t>
      </w:r>
      <w:r>
        <w:t>. This da</w:t>
      </w:r>
      <w:r w:rsidR="004D0E6E">
        <w:t>ta reduction improves the analysis velocity and</w:t>
      </w:r>
      <w:r w:rsidR="00D53387">
        <w:t xml:space="preserve"> the laptop</w:t>
      </w:r>
      <w:r w:rsidR="004D0E6E">
        <w:t xml:space="preserve"> performance</w:t>
      </w:r>
      <w:r w:rsidR="00D53387">
        <w:t>s</w:t>
      </w:r>
      <w:r w:rsidR="00125386">
        <w:t>, being</w:t>
      </w:r>
      <w:r w:rsidR="000816D0">
        <w:t xml:space="preserve"> significant thanks</w:t>
      </w:r>
      <w:r w:rsidR="005F3A0A">
        <w:t xml:space="preserve"> to the randomness of the data selection</w:t>
      </w:r>
      <w:r w:rsidR="00196719">
        <w:t>.</w:t>
      </w:r>
    </w:p>
    <w:p w14:paraId="79C0BAA6" w14:textId="096D3291" w:rsidR="00ED5CF5" w:rsidRDefault="00ED5CF5" w:rsidP="00ED5CF5">
      <w:pPr>
        <w:pStyle w:val="BodyText"/>
        <w:spacing w:line="276" w:lineRule="auto"/>
        <w:ind w:left="102" w:right="102"/>
      </w:pPr>
      <w:r>
        <w:t xml:space="preserve">The GLODAPv2 climatology data are shown in Fig.2 as scatter plots and kernel density estimations </w:t>
      </w:r>
      <w:r>
        <w:rPr>
          <w:vertAlign w:val="superscript"/>
        </w:rPr>
        <w:t>[9]</w:t>
      </w:r>
      <w:r>
        <w:t xml:space="preserve"> (</w:t>
      </w:r>
      <w:proofErr w:type="spellStart"/>
      <w:r>
        <w:t>kde</w:t>
      </w:r>
      <w:proofErr w:type="spellEnd"/>
      <w:r>
        <w:t>, continuous lines). The formers identify correlation</w:t>
      </w:r>
      <w:r w:rsidR="008C5162">
        <w:t xml:space="preserve">s between features </w:t>
      </w:r>
      <w:r>
        <w:t>(TTD anthropogenic carbon (</w:t>
      </w:r>
      <w:proofErr w:type="spellStart"/>
      <w:r>
        <w:t>Cant_ttd</w:t>
      </w:r>
      <w:proofErr w:type="spellEnd"/>
      <w:r>
        <w:t>), inorganic nitrates (</w:t>
      </w:r>
      <w:proofErr w:type="spellStart"/>
      <w:r>
        <w:t>Nitr</w:t>
      </w:r>
      <w:proofErr w:type="spellEnd"/>
      <w:r>
        <w:t>), dissolved oxygen (</w:t>
      </w:r>
      <w:proofErr w:type="spellStart"/>
      <w:r>
        <w:t>O</w:t>
      </w:r>
      <w:r w:rsidR="00B13D6B">
        <w:t>xyg</w:t>
      </w:r>
      <w:proofErr w:type="spellEnd"/>
      <w:r w:rsidR="005527BE">
        <w:t>), pH measured at 25</w:t>
      </w:r>
      <w:r>
        <w:t>°C (pH25), inorganic phosphate (</w:t>
      </w:r>
      <w:proofErr w:type="spellStart"/>
      <w:r>
        <w:t>Phos</w:t>
      </w:r>
      <w:proofErr w:type="spellEnd"/>
      <w:r>
        <w:t>), salinity (</w:t>
      </w:r>
      <w:proofErr w:type="spellStart"/>
      <w:r>
        <w:t>Sali</w:t>
      </w:r>
      <w:proofErr w:type="spellEnd"/>
      <w:r>
        <w:t>), inorganic silicate (</w:t>
      </w:r>
      <w:proofErr w:type="spellStart"/>
      <w:r>
        <w:t>Sili</w:t>
      </w:r>
      <w:proofErr w:type="spellEnd"/>
      <w:r>
        <w:t>), total alkalinity (Tal</w:t>
      </w:r>
      <w:r w:rsidR="0076066B">
        <w:t>k), tCO2</w:t>
      </w:r>
      <w:r w:rsidR="00C721D2">
        <w:t xml:space="preserve">, temperature (Temp), and </w:t>
      </w:r>
      <w:r>
        <w:t>reference C</w:t>
      </w:r>
      <w:r>
        <w:rPr>
          <w:vertAlign w:val="subscript"/>
        </w:rPr>
        <w:t>ant</w:t>
      </w:r>
      <w:r>
        <w:t xml:space="preserve"> (</w:t>
      </w:r>
      <w:proofErr w:type="spellStart"/>
      <w:r>
        <w:t>Cant_ref</w:t>
      </w:r>
      <w:proofErr w:type="spellEnd"/>
      <w:r>
        <w:t xml:space="preserve">)), while the latters show the probability distribution of the data density. </w:t>
      </w:r>
    </w:p>
    <w:p w14:paraId="080BB2FC" w14:textId="45C57558" w:rsidR="00ED5CF5" w:rsidRDefault="00ED5CF5" w:rsidP="00ED5CF5">
      <w:pPr>
        <w:spacing w:line="276" w:lineRule="auto"/>
        <w:ind w:left="102" w:right="102"/>
        <w:rPr>
          <w:sz w:val="24"/>
          <w:szCs w:val="24"/>
        </w:rPr>
      </w:pPr>
      <w:r>
        <w:rPr>
          <w:sz w:val="24"/>
          <w:szCs w:val="24"/>
        </w:rPr>
        <w:t>As expected, all of fields shown in Fig.2 are correlated with C</w:t>
      </w:r>
      <w:r>
        <w:rPr>
          <w:sz w:val="24"/>
          <w:szCs w:val="24"/>
          <w:vertAlign w:val="subscript"/>
        </w:rPr>
        <w:t>ant</w:t>
      </w:r>
      <w:r>
        <w:rPr>
          <w:sz w:val="24"/>
          <w:szCs w:val="24"/>
        </w:rPr>
        <w:t xml:space="preserve">. The only exceptions are </w:t>
      </w:r>
      <w:proofErr w:type="spellStart"/>
      <w:r>
        <w:rPr>
          <w:sz w:val="24"/>
          <w:szCs w:val="24"/>
        </w:rPr>
        <w:t>Sali</w:t>
      </w:r>
      <w:proofErr w:type="spellEnd"/>
      <w:r>
        <w:rPr>
          <w:sz w:val="24"/>
          <w:szCs w:val="24"/>
        </w:rPr>
        <w:t xml:space="preserve"> and Talk, but this effect is due to a small amount of high and low val</w:t>
      </w:r>
      <w:r w:rsidR="00452114">
        <w:rPr>
          <w:sz w:val="24"/>
          <w:szCs w:val="24"/>
        </w:rPr>
        <w:t>ues in both distributions, whereas</w:t>
      </w:r>
      <w:r>
        <w:rPr>
          <w:sz w:val="24"/>
          <w:szCs w:val="24"/>
        </w:rPr>
        <w:t xml:space="preserve"> a study focused on the second and third quartiles would have shown higher correlations for both features. </w:t>
      </w:r>
    </w:p>
    <w:p w14:paraId="3BED919E" w14:textId="4AED1B1B" w:rsidR="00ED5CF5" w:rsidRDefault="00ED5CF5" w:rsidP="00ED5CF5">
      <w:pPr>
        <w:spacing w:line="276" w:lineRule="auto"/>
        <w:ind w:left="102" w:right="102"/>
        <w:rPr>
          <w:sz w:val="24"/>
          <w:szCs w:val="24"/>
        </w:rPr>
      </w:pPr>
      <w:r>
        <w:rPr>
          <w:sz w:val="24"/>
          <w:szCs w:val="24"/>
        </w:rPr>
        <w:t xml:space="preserve">The </w:t>
      </w:r>
      <w:proofErr w:type="spellStart"/>
      <w:r>
        <w:rPr>
          <w:sz w:val="24"/>
          <w:szCs w:val="24"/>
        </w:rPr>
        <w:t>kde</w:t>
      </w:r>
      <w:proofErr w:type="spellEnd"/>
      <w:r>
        <w:rPr>
          <w:sz w:val="24"/>
          <w:szCs w:val="24"/>
        </w:rPr>
        <w:t xml:space="preserve"> distributions show a similar result with the majority of the dat</w:t>
      </w:r>
      <w:r w:rsidR="004347F2">
        <w:rPr>
          <w:sz w:val="24"/>
          <w:szCs w:val="24"/>
        </w:rPr>
        <w:t>a lying around the average</w:t>
      </w:r>
      <w:r>
        <w:rPr>
          <w:sz w:val="24"/>
          <w:szCs w:val="24"/>
        </w:rPr>
        <w:t xml:space="preserve">s for </w:t>
      </w:r>
      <w:proofErr w:type="spellStart"/>
      <w:r>
        <w:rPr>
          <w:sz w:val="24"/>
          <w:szCs w:val="24"/>
        </w:rPr>
        <w:t>Sali</w:t>
      </w:r>
      <w:proofErr w:type="spellEnd"/>
      <w:r>
        <w:rPr>
          <w:sz w:val="24"/>
          <w:szCs w:val="24"/>
        </w:rPr>
        <w:t xml:space="preserve"> and Talk. Other fields are more homogeneously distributed with </w:t>
      </w:r>
      <w:r w:rsidR="00801052">
        <w:rPr>
          <w:sz w:val="24"/>
          <w:szCs w:val="24"/>
        </w:rPr>
        <w:t xml:space="preserve">peaks towards the </w:t>
      </w:r>
      <w:proofErr w:type="spellStart"/>
      <w:r w:rsidR="00801052">
        <w:rPr>
          <w:sz w:val="24"/>
          <w:szCs w:val="24"/>
        </w:rPr>
        <w:t>kde</w:t>
      </w:r>
      <w:proofErr w:type="spellEnd"/>
      <w:r w:rsidR="00801052">
        <w:rPr>
          <w:sz w:val="24"/>
          <w:szCs w:val="24"/>
        </w:rPr>
        <w:t xml:space="preserve"> </w:t>
      </w:r>
      <w:r>
        <w:rPr>
          <w:sz w:val="24"/>
          <w:szCs w:val="24"/>
        </w:rPr>
        <w:t xml:space="preserve">extremes (e.g. </w:t>
      </w:r>
      <w:proofErr w:type="spellStart"/>
      <w:r>
        <w:rPr>
          <w:sz w:val="24"/>
          <w:szCs w:val="24"/>
        </w:rPr>
        <w:t>Phos</w:t>
      </w:r>
      <w:proofErr w:type="spellEnd"/>
      <w:r>
        <w:rPr>
          <w:sz w:val="24"/>
          <w:szCs w:val="24"/>
        </w:rPr>
        <w:t>).</w:t>
      </w:r>
    </w:p>
    <w:p w14:paraId="3DF2008B" w14:textId="77777777" w:rsidR="00ED5CF5" w:rsidRDefault="00ED5CF5" w:rsidP="00ED5CF5">
      <w:pPr>
        <w:pStyle w:val="BodyText"/>
        <w:spacing w:line="276" w:lineRule="auto"/>
        <w:ind w:left="102" w:right="102"/>
      </w:pPr>
    </w:p>
    <w:p w14:paraId="40C5A7BC" w14:textId="77777777" w:rsidR="00ED5CF5" w:rsidRDefault="00ED5CF5" w:rsidP="00612563">
      <w:pPr>
        <w:pStyle w:val="BodyText"/>
        <w:spacing w:line="276" w:lineRule="auto"/>
        <w:ind w:left="102" w:right="102"/>
      </w:pPr>
    </w:p>
    <w:p w14:paraId="2CD8841A" w14:textId="697E86EB" w:rsidR="0055220C" w:rsidRPr="005171EF" w:rsidRDefault="00612563" w:rsidP="00612563">
      <w:pPr>
        <w:pStyle w:val="BodyText"/>
        <w:spacing w:line="276" w:lineRule="auto"/>
        <w:ind w:left="102" w:right="102"/>
      </w:pPr>
      <w:r>
        <w:rPr>
          <w:noProof/>
        </w:rPr>
        <w:lastRenderedPageBreak/>
        <w:drawing>
          <wp:inline distT="0" distB="0" distL="0" distR="0" wp14:anchorId="38606787" wp14:editId="25E729CC">
            <wp:extent cx="5867400" cy="586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png"/>
                    <pic:cNvPicPr/>
                  </pic:nvPicPr>
                  <pic:blipFill>
                    <a:blip r:embed="rId9">
                      <a:extLst>
                        <a:ext uri="{28A0092B-C50C-407E-A947-70E740481C1C}">
                          <a14:useLocalDpi xmlns:a14="http://schemas.microsoft.com/office/drawing/2010/main" val="0"/>
                        </a:ext>
                      </a:extLst>
                    </a:blip>
                    <a:stretch>
                      <a:fillRect/>
                    </a:stretch>
                  </pic:blipFill>
                  <pic:spPr>
                    <a:xfrm>
                      <a:off x="0" y="0"/>
                      <a:ext cx="5867400" cy="5867400"/>
                    </a:xfrm>
                    <a:prstGeom prst="rect">
                      <a:avLst/>
                    </a:prstGeom>
                  </pic:spPr>
                </pic:pic>
              </a:graphicData>
            </a:graphic>
          </wp:inline>
        </w:drawing>
      </w:r>
    </w:p>
    <w:p w14:paraId="37F24716" w14:textId="35AA8DDE" w:rsidR="00425B7E" w:rsidRDefault="00425B7E" w:rsidP="00425B7E">
      <w:pPr>
        <w:spacing w:before="1" w:line="264" w:lineRule="auto"/>
        <w:ind w:left="101" w:right="103"/>
        <w:rPr>
          <w:i/>
          <w:sz w:val="20"/>
        </w:rPr>
      </w:pPr>
      <w:r>
        <w:rPr>
          <w:i/>
          <w:sz w:val="20"/>
        </w:rPr>
        <w:t>Fig. 2</w:t>
      </w:r>
      <w:r>
        <w:rPr>
          <w:sz w:val="20"/>
        </w:rPr>
        <w:t xml:space="preserve">: </w:t>
      </w:r>
      <w:r w:rsidR="00825253">
        <w:rPr>
          <w:i/>
          <w:sz w:val="20"/>
        </w:rPr>
        <w:t xml:space="preserve">Scatter matrix of </w:t>
      </w:r>
      <w:r>
        <w:rPr>
          <w:i/>
          <w:sz w:val="20"/>
        </w:rPr>
        <w:t>ocean data</w:t>
      </w:r>
      <w:r w:rsidR="00825253">
        <w:rPr>
          <w:i/>
          <w:sz w:val="20"/>
        </w:rPr>
        <w:t xml:space="preserve"> (</w:t>
      </w:r>
      <w:r w:rsidR="005171EF">
        <w:rPr>
          <w:i/>
          <w:sz w:val="20"/>
        </w:rPr>
        <w:t xml:space="preserve">TTD </w:t>
      </w:r>
      <w:r w:rsidR="00825253">
        <w:rPr>
          <w:i/>
          <w:sz w:val="20"/>
        </w:rPr>
        <w:t>anthropogenic carbon (</w:t>
      </w:r>
      <w:proofErr w:type="spellStart"/>
      <w:r w:rsidR="005171EF">
        <w:rPr>
          <w:i/>
          <w:sz w:val="20"/>
        </w:rPr>
        <w:t>Cant_ttd</w:t>
      </w:r>
      <w:proofErr w:type="spellEnd"/>
      <w:r w:rsidR="00825253">
        <w:rPr>
          <w:i/>
          <w:sz w:val="20"/>
        </w:rPr>
        <w:t>), inorganic nitrate (</w:t>
      </w:r>
      <w:proofErr w:type="spellStart"/>
      <w:r w:rsidR="00825253">
        <w:rPr>
          <w:i/>
          <w:sz w:val="20"/>
        </w:rPr>
        <w:t>Ni</w:t>
      </w:r>
      <w:r w:rsidR="00977DD9">
        <w:rPr>
          <w:i/>
          <w:sz w:val="20"/>
        </w:rPr>
        <w:t>tr</w:t>
      </w:r>
      <w:proofErr w:type="spellEnd"/>
      <w:r w:rsidR="00977DD9">
        <w:rPr>
          <w:i/>
          <w:sz w:val="20"/>
        </w:rPr>
        <w:t>),</w:t>
      </w:r>
      <w:r w:rsidR="00825253">
        <w:rPr>
          <w:i/>
          <w:sz w:val="20"/>
        </w:rPr>
        <w:t xml:space="preserve"> dissolved oxygen (</w:t>
      </w:r>
      <w:proofErr w:type="spellStart"/>
      <w:r w:rsidR="00825253">
        <w:rPr>
          <w:i/>
          <w:sz w:val="20"/>
        </w:rPr>
        <w:t>Oxyg</w:t>
      </w:r>
      <w:proofErr w:type="spellEnd"/>
      <w:r w:rsidR="00825253">
        <w:rPr>
          <w:i/>
          <w:sz w:val="20"/>
        </w:rPr>
        <w:t xml:space="preserve">), pH </w:t>
      </w:r>
      <w:r w:rsidR="006C3C41">
        <w:rPr>
          <w:i/>
          <w:sz w:val="20"/>
        </w:rPr>
        <w:t>measured at 25</w:t>
      </w:r>
      <w:r w:rsidR="00AE1D2D">
        <w:rPr>
          <w:i/>
          <w:sz w:val="20"/>
        </w:rPr>
        <w:t>°C</w:t>
      </w:r>
      <w:r w:rsidR="00977DD9">
        <w:rPr>
          <w:i/>
          <w:sz w:val="20"/>
        </w:rPr>
        <w:t xml:space="preserve"> (pH25</w:t>
      </w:r>
      <w:r w:rsidR="005171EF">
        <w:rPr>
          <w:i/>
          <w:sz w:val="20"/>
        </w:rPr>
        <w:t>),</w:t>
      </w:r>
      <w:r w:rsidR="00825253">
        <w:rPr>
          <w:i/>
          <w:sz w:val="20"/>
        </w:rPr>
        <w:t xml:space="preserve"> inorganic phosphate (</w:t>
      </w:r>
      <w:proofErr w:type="spellStart"/>
      <w:r w:rsidR="00825253">
        <w:rPr>
          <w:i/>
          <w:sz w:val="20"/>
        </w:rPr>
        <w:t>Phos</w:t>
      </w:r>
      <w:proofErr w:type="spellEnd"/>
      <w:r w:rsidR="00825253">
        <w:rPr>
          <w:i/>
          <w:sz w:val="20"/>
        </w:rPr>
        <w:t>), salinity (</w:t>
      </w:r>
      <w:proofErr w:type="spellStart"/>
      <w:r w:rsidR="00825253">
        <w:rPr>
          <w:i/>
          <w:sz w:val="20"/>
        </w:rPr>
        <w:t>Sali</w:t>
      </w:r>
      <w:proofErr w:type="spellEnd"/>
      <w:r w:rsidR="00825253">
        <w:rPr>
          <w:i/>
          <w:sz w:val="20"/>
        </w:rPr>
        <w:t>), inorganic silicate (</w:t>
      </w:r>
      <w:proofErr w:type="spellStart"/>
      <w:r w:rsidR="00825253">
        <w:rPr>
          <w:i/>
          <w:sz w:val="20"/>
        </w:rPr>
        <w:t>Sili</w:t>
      </w:r>
      <w:proofErr w:type="spellEnd"/>
      <w:r w:rsidR="00825253">
        <w:rPr>
          <w:i/>
          <w:sz w:val="20"/>
        </w:rPr>
        <w:t>), total alkalinity (Talk), dissol</w:t>
      </w:r>
      <w:r w:rsidR="00AE1D2D">
        <w:rPr>
          <w:i/>
          <w:sz w:val="20"/>
        </w:rPr>
        <w:t>ved inorganic carbon (tCO2</w:t>
      </w:r>
      <w:r w:rsidR="00C429BA">
        <w:rPr>
          <w:i/>
          <w:sz w:val="20"/>
        </w:rPr>
        <w:t>),</w:t>
      </w:r>
      <w:r w:rsidR="00825253">
        <w:rPr>
          <w:i/>
          <w:sz w:val="20"/>
        </w:rPr>
        <w:t xml:space="preserve"> temperature (Temp)</w:t>
      </w:r>
      <w:r w:rsidR="00F01FAE">
        <w:rPr>
          <w:i/>
          <w:sz w:val="20"/>
        </w:rPr>
        <w:t xml:space="preserve">, and </w:t>
      </w:r>
      <w:r w:rsidR="005171EF">
        <w:rPr>
          <w:i/>
          <w:sz w:val="20"/>
        </w:rPr>
        <w:t>reference C</w:t>
      </w:r>
      <w:r w:rsidR="005171EF">
        <w:rPr>
          <w:i/>
          <w:sz w:val="20"/>
          <w:vertAlign w:val="subscript"/>
        </w:rPr>
        <w:t>ant</w:t>
      </w:r>
      <w:r w:rsidR="005171EF">
        <w:rPr>
          <w:i/>
          <w:sz w:val="20"/>
        </w:rPr>
        <w:t xml:space="preserve"> (</w:t>
      </w:r>
      <w:proofErr w:type="spellStart"/>
      <w:r w:rsidR="005171EF">
        <w:rPr>
          <w:i/>
          <w:sz w:val="20"/>
        </w:rPr>
        <w:t>Cant_ref</w:t>
      </w:r>
      <w:proofErr w:type="spellEnd"/>
      <w:r w:rsidR="005171EF">
        <w:rPr>
          <w:i/>
          <w:sz w:val="20"/>
        </w:rPr>
        <w:t>)</w:t>
      </w:r>
      <w:r w:rsidR="00825253">
        <w:rPr>
          <w:i/>
          <w:sz w:val="20"/>
        </w:rPr>
        <w:t>)</w:t>
      </w:r>
      <w:r>
        <w:rPr>
          <w:i/>
          <w:sz w:val="20"/>
        </w:rPr>
        <w:t>. X and y axes are identical with the scatter plots showing the</w:t>
      </w:r>
      <w:r w:rsidR="00654D3A">
        <w:rPr>
          <w:i/>
          <w:sz w:val="20"/>
        </w:rPr>
        <w:t xml:space="preserve"> </w:t>
      </w:r>
      <w:r w:rsidR="005171EF">
        <w:rPr>
          <w:i/>
          <w:sz w:val="20"/>
        </w:rPr>
        <w:t>correlations</w:t>
      </w:r>
      <w:r w:rsidR="00654D3A">
        <w:rPr>
          <w:i/>
          <w:sz w:val="20"/>
        </w:rPr>
        <w:t xml:space="preserve"> between features</w:t>
      </w:r>
      <w:r>
        <w:rPr>
          <w:i/>
          <w:sz w:val="20"/>
        </w:rPr>
        <w:t xml:space="preserve"> and the continuous lines showing the kernel density estimation </w:t>
      </w:r>
      <w:r>
        <w:rPr>
          <w:i/>
          <w:sz w:val="20"/>
          <w:vertAlign w:val="superscript"/>
        </w:rPr>
        <w:t>[9]</w:t>
      </w:r>
      <w:r w:rsidR="00825253">
        <w:rPr>
          <w:i/>
          <w:sz w:val="20"/>
        </w:rPr>
        <w:t xml:space="preserve"> </w:t>
      </w:r>
      <w:r>
        <w:rPr>
          <w:i/>
          <w:sz w:val="20"/>
        </w:rPr>
        <w:t xml:space="preserve">of each feature. </w:t>
      </w:r>
      <w:r w:rsidR="00CD21B1">
        <w:rPr>
          <w:i/>
          <w:sz w:val="20"/>
        </w:rPr>
        <w:t>D</w:t>
      </w:r>
      <w:r w:rsidR="00825253">
        <w:rPr>
          <w:i/>
          <w:sz w:val="20"/>
        </w:rPr>
        <w:t>ata units are not shown for simplicity.</w:t>
      </w:r>
    </w:p>
    <w:p w14:paraId="298CFADD" w14:textId="77777777" w:rsidR="006E2C69" w:rsidRDefault="006E2C69">
      <w:pPr>
        <w:pStyle w:val="BodyText"/>
        <w:spacing w:before="1"/>
      </w:pPr>
    </w:p>
    <w:p w14:paraId="3B68FC7E" w14:textId="45214A6C" w:rsidR="006B5C50" w:rsidRDefault="008B4CFC" w:rsidP="006B5C50">
      <w:pPr>
        <w:spacing w:line="276" w:lineRule="auto"/>
        <w:ind w:left="102" w:right="102"/>
        <w:rPr>
          <w:sz w:val="24"/>
          <w:szCs w:val="24"/>
        </w:rPr>
      </w:pPr>
      <w:r>
        <w:rPr>
          <w:sz w:val="24"/>
          <w:szCs w:val="24"/>
        </w:rPr>
        <w:t>Fig.</w:t>
      </w:r>
      <w:r w:rsidR="006B5C50">
        <w:rPr>
          <w:sz w:val="24"/>
          <w:szCs w:val="24"/>
        </w:rPr>
        <w:t>3 shows the GLODAPv2 climatology data distributions after a calibration that forc</w:t>
      </w:r>
      <w:r w:rsidR="001375B8">
        <w:rPr>
          <w:sz w:val="24"/>
          <w:szCs w:val="24"/>
        </w:rPr>
        <w:t>es them to vary between -1 and 1</w:t>
      </w:r>
      <w:r w:rsidR="006B5C50">
        <w:rPr>
          <w:sz w:val="24"/>
          <w:szCs w:val="24"/>
        </w:rPr>
        <w:t>. This approach allows comparing the feature distributions and identifying common patterns. For</w:t>
      </w:r>
      <w:r w:rsidR="0051366C">
        <w:rPr>
          <w:sz w:val="24"/>
          <w:szCs w:val="24"/>
        </w:rPr>
        <w:t xml:space="preserve"> instance, all data are </w:t>
      </w:r>
      <w:r w:rsidR="00D729D4">
        <w:rPr>
          <w:sz w:val="24"/>
          <w:szCs w:val="24"/>
        </w:rPr>
        <w:t>showing a greater</w:t>
      </w:r>
      <w:r w:rsidR="006B5C50">
        <w:rPr>
          <w:sz w:val="24"/>
          <w:szCs w:val="24"/>
        </w:rPr>
        <w:t xml:space="preserve"> density around the averages, which is zero in the transformed coordinates of the graph. Some distributions are normally distributed (e.g. </w:t>
      </w:r>
      <w:proofErr w:type="spellStart"/>
      <w:r w:rsidR="006B5C50">
        <w:rPr>
          <w:sz w:val="24"/>
          <w:szCs w:val="24"/>
        </w:rPr>
        <w:t>Nitr</w:t>
      </w:r>
      <w:proofErr w:type="spellEnd"/>
      <w:r w:rsidR="006B5C50">
        <w:rPr>
          <w:sz w:val="24"/>
          <w:szCs w:val="24"/>
        </w:rPr>
        <w:t>), while others are more skewed</w:t>
      </w:r>
      <w:r w:rsidR="00D729D4">
        <w:rPr>
          <w:sz w:val="24"/>
          <w:szCs w:val="24"/>
        </w:rPr>
        <w:t xml:space="preserve"> towards the extremes</w:t>
      </w:r>
      <w:r w:rsidR="006B5C50">
        <w:rPr>
          <w:sz w:val="24"/>
          <w:szCs w:val="24"/>
        </w:rPr>
        <w:t xml:space="preserve"> (e.g. </w:t>
      </w:r>
      <w:proofErr w:type="spellStart"/>
      <w:r w:rsidR="006B5C50">
        <w:rPr>
          <w:sz w:val="24"/>
          <w:szCs w:val="24"/>
        </w:rPr>
        <w:t>Sili</w:t>
      </w:r>
      <w:proofErr w:type="spellEnd"/>
      <w:r w:rsidR="006B5C50">
        <w:rPr>
          <w:sz w:val="24"/>
          <w:szCs w:val="24"/>
        </w:rPr>
        <w:t xml:space="preserve">). </w:t>
      </w:r>
    </w:p>
    <w:p w14:paraId="5CA961AA" w14:textId="77777777" w:rsidR="009D3101" w:rsidRDefault="006B5C50" w:rsidP="006B5C50">
      <w:pPr>
        <w:pStyle w:val="BodyText"/>
        <w:spacing w:line="276" w:lineRule="auto"/>
        <w:ind w:left="102" w:right="102"/>
      </w:pPr>
      <w:r>
        <w:t>Finally, Fig.4 show</w:t>
      </w:r>
      <w:r w:rsidR="00EC4F6D">
        <w:t xml:space="preserve">s the correlations between </w:t>
      </w:r>
      <w:r>
        <w:t>pair</w:t>
      </w:r>
      <w:r w:rsidR="00EC4F6D">
        <w:t>s</w:t>
      </w:r>
      <w:r>
        <w:t xml:space="preserve"> of oceanograph</w:t>
      </w:r>
      <w:r w:rsidR="009D3101">
        <w:t>ic fields. A</w:t>
      </w:r>
      <w:r>
        <w:t>ll of the features analyzed are correlated with C</w:t>
      </w:r>
      <w:r>
        <w:rPr>
          <w:vertAlign w:val="subscript"/>
        </w:rPr>
        <w:t>ant</w:t>
      </w:r>
      <w:r>
        <w:t xml:space="preserve">. This is true also for </w:t>
      </w:r>
      <w:proofErr w:type="spellStart"/>
      <w:r>
        <w:t>Sali</w:t>
      </w:r>
      <w:proofErr w:type="spellEnd"/>
      <w:r>
        <w:t xml:space="preserve"> and Talk, with respective values of 0.20 and 0.40. </w:t>
      </w:r>
    </w:p>
    <w:p w14:paraId="4D628925" w14:textId="6914953D" w:rsidR="00612563" w:rsidRDefault="006B5C50" w:rsidP="006B5C50">
      <w:pPr>
        <w:pStyle w:val="BodyText"/>
        <w:spacing w:line="276" w:lineRule="auto"/>
        <w:ind w:left="102" w:right="102"/>
      </w:pPr>
      <w:r>
        <w:t>Omega A and C are also provided in the GLODAPv2 climatology but are not used in this analysis as they are not common in the oceanographic data. The in situ measurement of pH is also given in the dataset but it is ignored in the present analysis as it is highly correlated with the pH25 distribution.</w:t>
      </w:r>
    </w:p>
    <w:p w14:paraId="20F5A5B6" w14:textId="1112F37C" w:rsidR="00425B7E" w:rsidRDefault="00612563" w:rsidP="00612563">
      <w:pPr>
        <w:pStyle w:val="BodyText"/>
        <w:spacing w:line="276" w:lineRule="auto"/>
        <w:ind w:left="102" w:right="102"/>
      </w:pPr>
      <w:r>
        <w:rPr>
          <w:noProof/>
        </w:rPr>
        <w:lastRenderedPageBreak/>
        <w:drawing>
          <wp:inline distT="0" distB="0" distL="0" distR="0" wp14:anchorId="6B180C9C" wp14:editId="23FBE1D2">
            <wp:extent cx="5867400" cy="3771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png"/>
                    <pic:cNvPicPr/>
                  </pic:nvPicPr>
                  <pic:blipFill>
                    <a:blip r:embed="rId10">
                      <a:extLst>
                        <a:ext uri="{28A0092B-C50C-407E-A947-70E740481C1C}">
                          <a14:useLocalDpi xmlns:a14="http://schemas.microsoft.com/office/drawing/2010/main" val="0"/>
                        </a:ext>
                      </a:extLst>
                    </a:blip>
                    <a:stretch>
                      <a:fillRect/>
                    </a:stretch>
                  </pic:blipFill>
                  <pic:spPr>
                    <a:xfrm>
                      <a:off x="0" y="0"/>
                      <a:ext cx="5867400" cy="3771900"/>
                    </a:xfrm>
                    <a:prstGeom prst="rect">
                      <a:avLst/>
                    </a:prstGeom>
                  </pic:spPr>
                </pic:pic>
              </a:graphicData>
            </a:graphic>
          </wp:inline>
        </w:drawing>
      </w:r>
    </w:p>
    <w:p w14:paraId="637F8AA1" w14:textId="77777777" w:rsidR="005171EF" w:rsidRPr="005171EF" w:rsidRDefault="005171EF">
      <w:pPr>
        <w:pStyle w:val="BodyText"/>
        <w:spacing w:before="1"/>
      </w:pPr>
    </w:p>
    <w:p w14:paraId="68E2BC6C" w14:textId="2B3544A8" w:rsidR="00425B7E" w:rsidRDefault="00425B7E" w:rsidP="00425B7E">
      <w:pPr>
        <w:spacing w:before="1" w:line="264" w:lineRule="auto"/>
        <w:ind w:left="101" w:right="103"/>
        <w:rPr>
          <w:i/>
          <w:sz w:val="20"/>
        </w:rPr>
      </w:pPr>
      <w:r>
        <w:rPr>
          <w:i/>
          <w:sz w:val="20"/>
        </w:rPr>
        <w:t>Fig. 3</w:t>
      </w:r>
      <w:r>
        <w:rPr>
          <w:sz w:val="20"/>
        </w:rPr>
        <w:t xml:space="preserve">: </w:t>
      </w:r>
      <w:r>
        <w:rPr>
          <w:i/>
          <w:sz w:val="20"/>
        </w:rPr>
        <w:t>Box</w:t>
      </w:r>
      <w:r w:rsidR="00B6654D">
        <w:rPr>
          <w:i/>
          <w:sz w:val="20"/>
        </w:rPr>
        <w:t xml:space="preserve"> and scatter</w:t>
      </w:r>
      <w:r>
        <w:rPr>
          <w:i/>
          <w:sz w:val="20"/>
        </w:rPr>
        <w:t xml:space="preserve"> plots showi</w:t>
      </w:r>
      <w:r w:rsidR="00B6654D">
        <w:rPr>
          <w:i/>
          <w:sz w:val="20"/>
        </w:rPr>
        <w:t>ng calibrated distributions of o</w:t>
      </w:r>
      <w:r>
        <w:rPr>
          <w:i/>
          <w:sz w:val="20"/>
        </w:rPr>
        <w:t>ceanographic data. Calibration applied by remo</w:t>
      </w:r>
      <w:r w:rsidR="00151981">
        <w:rPr>
          <w:i/>
          <w:sz w:val="20"/>
        </w:rPr>
        <w:t>ving the distribution average</w:t>
      </w:r>
      <w:r>
        <w:rPr>
          <w:i/>
          <w:sz w:val="20"/>
        </w:rPr>
        <w:t xml:space="preserve"> and dividing by the distribution range (max - min). </w:t>
      </w:r>
    </w:p>
    <w:p w14:paraId="78BF0717" w14:textId="77777777" w:rsidR="00A33836" w:rsidRDefault="00A33836" w:rsidP="00425B7E">
      <w:pPr>
        <w:spacing w:before="1" w:line="264" w:lineRule="auto"/>
        <w:ind w:left="101" w:right="103"/>
        <w:rPr>
          <w:sz w:val="24"/>
          <w:szCs w:val="24"/>
        </w:rPr>
      </w:pPr>
    </w:p>
    <w:p w14:paraId="1236597A" w14:textId="7DC1945C" w:rsidR="00612563" w:rsidRDefault="00612563" w:rsidP="00612563">
      <w:pPr>
        <w:spacing w:before="1" w:line="264" w:lineRule="auto"/>
        <w:ind w:right="103"/>
        <w:rPr>
          <w:noProof/>
          <w:sz w:val="24"/>
          <w:szCs w:val="24"/>
        </w:rPr>
      </w:pPr>
      <w:r>
        <w:rPr>
          <w:noProof/>
          <w:sz w:val="24"/>
          <w:szCs w:val="24"/>
        </w:rPr>
        <w:drawing>
          <wp:inline distT="0" distB="0" distL="0" distR="0" wp14:anchorId="0665871C" wp14:editId="2591E303">
            <wp:extent cx="5867400" cy="3771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4.png"/>
                    <pic:cNvPicPr/>
                  </pic:nvPicPr>
                  <pic:blipFill>
                    <a:blip r:embed="rId11">
                      <a:extLst>
                        <a:ext uri="{28A0092B-C50C-407E-A947-70E740481C1C}">
                          <a14:useLocalDpi xmlns:a14="http://schemas.microsoft.com/office/drawing/2010/main" val="0"/>
                        </a:ext>
                      </a:extLst>
                    </a:blip>
                    <a:stretch>
                      <a:fillRect/>
                    </a:stretch>
                  </pic:blipFill>
                  <pic:spPr>
                    <a:xfrm>
                      <a:off x="0" y="0"/>
                      <a:ext cx="5867400" cy="3771900"/>
                    </a:xfrm>
                    <a:prstGeom prst="rect">
                      <a:avLst/>
                    </a:prstGeom>
                  </pic:spPr>
                </pic:pic>
              </a:graphicData>
            </a:graphic>
          </wp:inline>
        </w:drawing>
      </w:r>
    </w:p>
    <w:p w14:paraId="4A13597D" w14:textId="77777777" w:rsidR="00612563" w:rsidRPr="005171EF" w:rsidRDefault="00612563" w:rsidP="005171EF">
      <w:pPr>
        <w:spacing w:before="1" w:line="264" w:lineRule="auto"/>
        <w:ind w:left="101" w:right="103"/>
        <w:rPr>
          <w:sz w:val="24"/>
          <w:szCs w:val="24"/>
        </w:rPr>
      </w:pPr>
    </w:p>
    <w:p w14:paraId="13FFB3AE" w14:textId="35B474AE" w:rsidR="004B0641" w:rsidRDefault="004B0641" w:rsidP="004B0641">
      <w:pPr>
        <w:spacing w:before="1" w:line="264" w:lineRule="auto"/>
        <w:ind w:left="101" w:right="103"/>
        <w:rPr>
          <w:i/>
          <w:sz w:val="20"/>
        </w:rPr>
      </w:pPr>
      <w:r>
        <w:rPr>
          <w:i/>
          <w:sz w:val="20"/>
        </w:rPr>
        <w:t>Fig. 4</w:t>
      </w:r>
      <w:r>
        <w:rPr>
          <w:sz w:val="20"/>
        </w:rPr>
        <w:t>:</w:t>
      </w:r>
      <w:r>
        <w:rPr>
          <w:i/>
          <w:sz w:val="20"/>
        </w:rPr>
        <w:t xml:space="preserve"> Correlatio</w:t>
      </w:r>
      <w:r w:rsidR="00C96981">
        <w:rPr>
          <w:i/>
          <w:sz w:val="20"/>
        </w:rPr>
        <w:t>n matrix of oceanographic data based on the GLODAPv2 climatology</w:t>
      </w:r>
      <w:r w:rsidR="009D6B9A">
        <w:rPr>
          <w:i/>
          <w:sz w:val="20"/>
        </w:rPr>
        <w:t xml:space="preserve"> data</w:t>
      </w:r>
      <w:r w:rsidR="00C96981">
        <w:rPr>
          <w:i/>
          <w:sz w:val="20"/>
        </w:rPr>
        <w:t>.</w:t>
      </w:r>
    </w:p>
    <w:p w14:paraId="27B14582" w14:textId="77777777" w:rsidR="008A2D68" w:rsidRDefault="008A2D68" w:rsidP="004B0641">
      <w:pPr>
        <w:spacing w:before="1" w:line="264" w:lineRule="auto"/>
        <w:ind w:left="101" w:right="103"/>
        <w:rPr>
          <w:i/>
          <w:sz w:val="20"/>
        </w:rPr>
      </w:pPr>
    </w:p>
    <w:p w14:paraId="7B7123BF" w14:textId="1EC30A25" w:rsidR="00977DD9" w:rsidRDefault="00977DD9" w:rsidP="00977DD9">
      <w:pPr>
        <w:spacing w:line="276" w:lineRule="auto"/>
        <w:ind w:left="102" w:right="102"/>
        <w:rPr>
          <w:sz w:val="24"/>
          <w:szCs w:val="24"/>
        </w:rPr>
      </w:pPr>
    </w:p>
    <w:p w14:paraId="02DA58CC" w14:textId="77777777" w:rsidR="001D0DFC" w:rsidRDefault="001D0DFC" w:rsidP="00ED5CF5">
      <w:pPr>
        <w:pStyle w:val="BodyText"/>
        <w:spacing w:line="276" w:lineRule="auto"/>
        <w:ind w:right="102"/>
        <w:rPr>
          <w:sz w:val="36"/>
          <w:szCs w:val="36"/>
        </w:rPr>
      </w:pPr>
    </w:p>
    <w:p w14:paraId="54C7DC26" w14:textId="77777777" w:rsidR="006B5C50" w:rsidRPr="001D0DFC" w:rsidRDefault="006B5C50" w:rsidP="00ED5CF5">
      <w:pPr>
        <w:pStyle w:val="BodyText"/>
        <w:spacing w:line="276" w:lineRule="auto"/>
        <w:ind w:right="102"/>
        <w:rPr>
          <w:sz w:val="36"/>
          <w:szCs w:val="36"/>
        </w:rPr>
      </w:pPr>
    </w:p>
    <w:p w14:paraId="35226C7E" w14:textId="77777777" w:rsidR="0055220C" w:rsidRDefault="00201D16">
      <w:pPr>
        <w:pStyle w:val="Heading1"/>
      </w:pPr>
      <w:r>
        <w:lastRenderedPageBreak/>
        <w:t>Benchmark model</w:t>
      </w:r>
    </w:p>
    <w:p w14:paraId="04A8E5B5" w14:textId="77777777" w:rsidR="0055220C" w:rsidRPr="00C577D4" w:rsidRDefault="0055220C">
      <w:pPr>
        <w:pStyle w:val="BodyText"/>
        <w:spacing w:before="9"/>
        <w:rPr>
          <w:b/>
          <w:sz w:val="36"/>
          <w:szCs w:val="36"/>
        </w:rPr>
      </w:pPr>
    </w:p>
    <w:p w14:paraId="7E835509" w14:textId="7621D849" w:rsidR="001D0DFC" w:rsidRDefault="00AA0C13" w:rsidP="00ED5CF5">
      <w:pPr>
        <w:pStyle w:val="BodyText"/>
        <w:spacing w:line="276" w:lineRule="auto"/>
        <w:ind w:left="102" w:right="102"/>
      </w:pPr>
      <w:r>
        <w:t>The transit-t</w:t>
      </w:r>
      <w:r w:rsidR="00201D16">
        <w:t>ime</w:t>
      </w:r>
      <w:r>
        <w:t xml:space="preserve"> distribution technique </w:t>
      </w:r>
      <w:r w:rsidR="002C50BF">
        <w:rPr>
          <w:vertAlign w:val="superscript"/>
        </w:rPr>
        <w:t>[7]</w:t>
      </w:r>
      <w:r w:rsidR="00201D16">
        <w:t xml:space="preserve"> assumes that the anthropogenic CO</w:t>
      </w:r>
      <w:r w:rsidR="00201D16">
        <w:rPr>
          <w:position w:val="-5"/>
          <w:sz w:val="14"/>
        </w:rPr>
        <w:t xml:space="preserve">2 </w:t>
      </w:r>
      <w:r w:rsidR="00201D16">
        <w:t>can be treated as a transient tracer and so its concentration can be considered uninfluenced by biological cycles when entered the ocean. If so, other transient tracers, such as CFCs, can be used as proxies for</w:t>
      </w:r>
      <w:r>
        <w:t xml:space="preserve"> it. This </w:t>
      </w:r>
      <w:r w:rsidR="00201D16">
        <w:t xml:space="preserve">relies on complicated equations and would require </w:t>
      </w:r>
      <w:r>
        <w:t>a longer explanation, but for the analysis</w:t>
      </w:r>
      <w:r w:rsidR="00201D16">
        <w:t xml:space="preserve"> in</w:t>
      </w:r>
      <w:r>
        <w:t xml:space="preserve"> this project, I</w:t>
      </w:r>
      <w:r w:rsidR="00201D16">
        <w:t xml:space="preserve"> </w:t>
      </w:r>
      <w:r w:rsidR="002C50BF">
        <w:t>summarize</w:t>
      </w:r>
      <w:r w:rsidR="00201D16">
        <w:t xml:space="preserve"> it as if changes in CFCs can approximate C</w:t>
      </w:r>
      <w:r w:rsidR="00201D16">
        <w:rPr>
          <w:position w:val="-5"/>
          <w:sz w:val="14"/>
        </w:rPr>
        <w:t xml:space="preserve">ant </w:t>
      </w:r>
      <w:r>
        <w:t>variations</w:t>
      </w:r>
      <w:r w:rsidR="00201D16">
        <w:t xml:space="preserve"> under few</w:t>
      </w:r>
      <w:r>
        <w:t xml:space="preserve"> assumptions not always fulfilled. The </w:t>
      </w:r>
      <w:r w:rsidR="001D0DFC">
        <w:t>benchmark model should be able to</w:t>
      </w:r>
      <w:r w:rsidR="00797C97">
        <w:t xml:space="preserve"> challenge the TTD approach</w:t>
      </w:r>
      <w:r w:rsidR="001D0DFC">
        <w:t>.</w:t>
      </w:r>
    </w:p>
    <w:p w14:paraId="16E7A8FE" w14:textId="4C8B3931" w:rsidR="00977DD9" w:rsidRDefault="00AA0C13" w:rsidP="00C577D4">
      <w:pPr>
        <w:pStyle w:val="BodyText"/>
        <w:spacing w:line="276" w:lineRule="auto"/>
        <w:ind w:left="102" w:right="102"/>
      </w:pPr>
      <w:r>
        <w:t xml:space="preserve">As a </w:t>
      </w:r>
      <w:r w:rsidR="00B83FFB">
        <w:t xml:space="preserve">benchmark model, I will consider a relatively simple linear regression based </w:t>
      </w:r>
      <w:r w:rsidR="00797C97">
        <w:t>on al</w:t>
      </w:r>
      <w:r w:rsidR="00A00755">
        <w:t xml:space="preserve">l </w:t>
      </w:r>
      <w:r w:rsidR="00797C97">
        <w:t>available fields. This model results</w:t>
      </w:r>
      <w:r w:rsidR="00B83FFB">
        <w:t xml:space="preserve"> will be compared with </w:t>
      </w:r>
      <w:r w:rsidR="00797C97">
        <w:t xml:space="preserve">the </w:t>
      </w:r>
      <w:proofErr w:type="spellStart"/>
      <w:r w:rsidR="00797C97">
        <w:t>Cant_ref</w:t>
      </w:r>
      <w:proofErr w:type="spellEnd"/>
      <w:r w:rsidR="00A00755">
        <w:t xml:space="preserve">, used in this study as the </w:t>
      </w:r>
      <w:r w:rsidR="00B83FFB">
        <w:t>reference. M</w:t>
      </w:r>
      <w:r w:rsidR="00797C97">
        <w:t xml:space="preserve">ore complicated models would </w:t>
      </w:r>
      <w:r w:rsidR="00B83FFB">
        <w:t>also</w:t>
      </w:r>
      <w:r w:rsidR="00797C97">
        <w:t xml:space="preserve"> be</w:t>
      </w:r>
      <w:r w:rsidR="00B83FFB">
        <w:t xml:space="preserve"> train</w:t>
      </w:r>
      <w:r w:rsidR="00797C97">
        <w:t>ed</w:t>
      </w:r>
      <w:r w:rsidR="00B83FFB">
        <w:t xml:space="preserve"> and </w:t>
      </w:r>
      <w:r w:rsidR="00A00755">
        <w:t xml:space="preserve">compared with the TTD, the benchmark, and the </w:t>
      </w:r>
      <w:proofErr w:type="spellStart"/>
      <w:r w:rsidR="00A00755">
        <w:t>Cant_ref</w:t>
      </w:r>
      <w:proofErr w:type="spellEnd"/>
      <w:r w:rsidR="00A00755">
        <w:t xml:space="preserve"> </w:t>
      </w:r>
      <w:r w:rsidR="002102E0">
        <w:t>C</w:t>
      </w:r>
      <w:r w:rsidR="002102E0">
        <w:rPr>
          <w:vertAlign w:val="subscript"/>
        </w:rPr>
        <w:t>ant</w:t>
      </w:r>
      <w:r w:rsidR="002102E0">
        <w:t xml:space="preserve"> </w:t>
      </w:r>
      <w:r w:rsidR="00A00755">
        <w:t>values</w:t>
      </w:r>
      <w:r w:rsidR="00B83FFB">
        <w:t>.</w:t>
      </w:r>
    </w:p>
    <w:p w14:paraId="0D8D3DAA" w14:textId="77777777" w:rsidR="001D0DFC" w:rsidRPr="004B6711" w:rsidRDefault="001D0DFC" w:rsidP="00C577D4">
      <w:pPr>
        <w:pStyle w:val="BodyText"/>
        <w:spacing w:line="276" w:lineRule="auto"/>
        <w:ind w:left="102" w:right="102"/>
        <w:rPr>
          <w:sz w:val="36"/>
          <w:szCs w:val="36"/>
        </w:rPr>
      </w:pPr>
    </w:p>
    <w:p w14:paraId="4D14D934" w14:textId="77777777" w:rsidR="0055220C" w:rsidRDefault="00201D16">
      <w:pPr>
        <w:pStyle w:val="Heading1"/>
      </w:pPr>
      <w:r>
        <w:t>Evaluation metric</w:t>
      </w:r>
    </w:p>
    <w:p w14:paraId="33DD8FAF" w14:textId="77777777" w:rsidR="0055220C" w:rsidRPr="00C577D4" w:rsidRDefault="0055220C">
      <w:pPr>
        <w:pStyle w:val="BodyText"/>
        <w:spacing w:before="1"/>
        <w:rPr>
          <w:b/>
          <w:sz w:val="36"/>
          <w:szCs w:val="36"/>
        </w:rPr>
      </w:pPr>
    </w:p>
    <w:p w14:paraId="11AACDC5" w14:textId="200B355F" w:rsidR="00E83E47" w:rsidRDefault="00201D16" w:rsidP="00180950">
      <w:pPr>
        <w:pStyle w:val="BodyText"/>
        <w:spacing w:line="276" w:lineRule="auto"/>
        <w:ind w:left="102" w:right="102"/>
      </w:pPr>
      <w:r>
        <w:t>The choice of the evaluation key performance indicator (KPI) is probably the most challenging aspect of the project. As mentioned, C</w:t>
      </w:r>
      <w:r>
        <w:rPr>
          <w:position w:val="-5"/>
          <w:sz w:val="14"/>
        </w:rPr>
        <w:t xml:space="preserve">ant </w:t>
      </w:r>
      <w:r>
        <w:t>cannot be measured directly</w:t>
      </w:r>
      <w:r w:rsidR="00DD617A">
        <w:t xml:space="preserve"> in the ocean but</w:t>
      </w:r>
      <w:r w:rsidR="0065615E">
        <w:t xml:space="preserve"> it</w:t>
      </w:r>
      <w:r w:rsidR="00DD617A">
        <w:t xml:space="preserve"> </w:t>
      </w:r>
      <w:r w:rsidR="00797C97">
        <w:t>is</w:t>
      </w:r>
      <w:r>
        <w:t xml:space="preserve"> estimated indirectly f</w:t>
      </w:r>
      <w:r w:rsidR="00797C97">
        <w:t>rom other variables. I will</w:t>
      </w:r>
      <w:r w:rsidR="00C1742E">
        <w:t xml:space="preserve"> assume the ref </w:t>
      </w:r>
      <w:r>
        <w:t>C</w:t>
      </w:r>
      <w:r>
        <w:rPr>
          <w:position w:val="-5"/>
          <w:sz w:val="14"/>
        </w:rPr>
        <w:t xml:space="preserve">ant </w:t>
      </w:r>
      <w:r w:rsidR="00C1742E">
        <w:t>estimates to be the “truth” towards which all other methods will be compared. The comparison will be based on the calculation of</w:t>
      </w:r>
      <w:r w:rsidR="00880B40">
        <w:t xml:space="preserve"> the </w:t>
      </w:r>
      <w:r w:rsidR="00707A21">
        <w:t>R squared (</w:t>
      </w:r>
      <w:r w:rsidR="00880B40">
        <w:t>R</w:t>
      </w:r>
      <w:r w:rsidR="00880B40">
        <w:rPr>
          <w:vertAlign w:val="superscript"/>
        </w:rPr>
        <w:t>2</w:t>
      </w:r>
      <w:r w:rsidR="00707A21">
        <w:t xml:space="preserve">), </w:t>
      </w:r>
      <w:r w:rsidR="00880B40">
        <w:t>the</w:t>
      </w:r>
      <w:r w:rsidR="00C1742E">
        <w:t xml:space="preserve"> </w:t>
      </w:r>
      <w:r w:rsidR="00C9022F">
        <w:t>root mean s</w:t>
      </w:r>
      <w:r w:rsidR="00C1742E">
        <w:t xml:space="preserve">tandard error (RMSE), and </w:t>
      </w:r>
      <w:r w:rsidR="00880B40">
        <w:t xml:space="preserve">the </w:t>
      </w:r>
      <w:r w:rsidR="00C9022F">
        <w:t>ma</w:t>
      </w:r>
      <w:r w:rsidR="00E32DCC">
        <w:t>in absolute</w:t>
      </w:r>
      <w:r w:rsidR="00880B40">
        <w:t xml:space="preserve"> error (MAE)</w:t>
      </w:r>
      <w:r w:rsidR="00C9022F">
        <w:t xml:space="preserve">. </w:t>
      </w:r>
    </w:p>
    <w:p w14:paraId="22C2469B" w14:textId="6DBF4A58" w:rsidR="00B83FFB" w:rsidRDefault="00C9022F" w:rsidP="00ED5CF5">
      <w:pPr>
        <w:pStyle w:val="BodyText"/>
        <w:spacing w:line="276" w:lineRule="auto"/>
        <w:ind w:left="102" w:right="102"/>
      </w:pPr>
      <w:r>
        <w:t>The R</w:t>
      </w:r>
      <w:r>
        <w:rPr>
          <w:vertAlign w:val="superscript"/>
        </w:rPr>
        <w:t>2</w:t>
      </w:r>
      <w:r>
        <w:t>, RMSE, and M</w:t>
      </w:r>
      <w:r w:rsidR="00880B40">
        <w:t>AE a</w:t>
      </w:r>
      <w:r w:rsidR="00707A21">
        <w:t>re chosen because</w:t>
      </w:r>
      <w:r w:rsidR="00880B40">
        <w:t xml:space="preserve"> they are </w:t>
      </w:r>
      <w:r>
        <w:t xml:space="preserve">the </w:t>
      </w:r>
      <w:r w:rsidR="00E83E47">
        <w:t>most used calculations. Among them, however, the R</w:t>
      </w:r>
      <w:r w:rsidR="00E83E47">
        <w:rPr>
          <w:vertAlign w:val="superscript"/>
        </w:rPr>
        <w:t>2</w:t>
      </w:r>
      <w:r w:rsidR="00880B40">
        <w:t xml:space="preserve"> will receive the least</w:t>
      </w:r>
      <w:r w:rsidR="00E83E47">
        <w:t xml:space="preserve"> consideration, as its units are not</w:t>
      </w:r>
      <w:r w:rsidR="0065615E">
        <w:t xml:space="preserve"> the same as the predictions</w:t>
      </w:r>
      <w:r w:rsidR="00E83E47">
        <w:t>. Between RMSE and MAE, th</w:t>
      </w:r>
      <w:r w:rsidR="007C1413">
        <w:t xml:space="preserve">e latter will receive </w:t>
      </w:r>
      <w:r w:rsidR="00B37A65">
        <w:t>grea</w:t>
      </w:r>
      <w:r w:rsidR="00880B40">
        <w:t>ter attention</w:t>
      </w:r>
      <w:r w:rsidR="00E83E47">
        <w:t xml:space="preserve"> because it penalizes l</w:t>
      </w:r>
      <w:r w:rsidR="00880B40">
        <w:t xml:space="preserve">ess the discrepancies among predictions and </w:t>
      </w:r>
      <w:r w:rsidR="00E83E47">
        <w:t>measurements.</w:t>
      </w:r>
      <w:r w:rsidR="002B51F3">
        <w:t xml:space="preserve"> </w:t>
      </w:r>
    </w:p>
    <w:p w14:paraId="125582D0" w14:textId="77777777" w:rsidR="006B5C50" w:rsidRPr="006B5C50" w:rsidRDefault="006B5C50" w:rsidP="00ED5CF5">
      <w:pPr>
        <w:pStyle w:val="BodyText"/>
        <w:spacing w:line="276" w:lineRule="auto"/>
        <w:ind w:left="102" w:right="102"/>
        <w:rPr>
          <w:sz w:val="36"/>
          <w:szCs w:val="36"/>
        </w:rPr>
      </w:pPr>
    </w:p>
    <w:p w14:paraId="36DA97A1" w14:textId="10442EC0" w:rsidR="00B83FFB" w:rsidRDefault="00B83FFB" w:rsidP="002B51F3">
      <w:pPr>
        <w:pStyle w:val="BodyText"/>
        <w:spacing w:before="1" w:line="273" w:lineRule="auto"/>
        <w:ind w:left="101" w:right="101"/>
        <w:rPr>
          <w:b/>
          <w:sz w:val="36"/>
          <w:szCs w:val="36"/>
        </w:rPr>
      </w:pPr>
      <w:r w:rsidRPr="00B83FFB">
        <w:rPr>
          <w:b/>
          <w:sz w:val="36"/>
          <w:szCs w:val="36"/>
        </w:rPr>
        <w:t>Analysis</w:t>
      </w:r>
    </w:p>
    <w:p w14:paraId="3D1545B7" w14:textId="77777777" w:rsidR="00C53A7E" w:rsidRDefault="00C53A7E" w:rsidP="002B51F3">
      <w:pPr>
        <w:pStyle w:val="BodyText"/>
        <w:spacing w:before="1" w:line="273" w:lineRule="auto"/>
        <w:ind w:left="101" w:right="101"/>
        <w:rPr>
          <w:b/>
          <w:sz w:val="36"/>
          <w:szCs w:val="36"/>
        </w:rPr>
      </w:pPr>
    </w:p>
    <w:p w14:paraId="6396E932" w14:textId="48417254" w:rsidR="00ED5CF5" w:rsidRDefault="006B5C50" w:rsidP="00A5047B">
      <w:pPr>
        <w:pStyle w:val="BodyText"/>
        <w:spacing w:before="1" w:line="273" w:lineRule="auto"/>
        <w:ind w:left="101" w:right="101"/>
      </w:pPr>
      <w:r>
        <w:t>Based on the analyses conducted in the dataset introduction</w:t>
      </w:r>
      <w:r w:rsidR="00952520">
        <w:t xml:space="preserve"> section</w:t>
      </w:r>
      <w:r>
        <w:t>,</w:t>
      </w:r>
      <w:r w:rsidR="00952520">
        <w:t xml:space="preserve"> I choose</w:t>
      </w:r>
      <w:r>
        <w:t xml:space="preserve"> the benchmark model</w:t>
      </w:r>
      <w:r w:rsidR="00952520">
        <w:t xml:space="preserve"> to be </w:t>
      </w:r>
      <w:r>
        <w:t xml:space="preserve">a simple linear regression based on nine features: </w:t>
      </w:r>
      <w:proofErr w:type="spellStart"/>
      <w:r>
        <w:t>Nitr</w:t>
      </w:r>
      <w:proofErr w:type="spellEnd"/>
      <w:r>
        <w:t xml:space="preserve">, </w:t>
      </w:r>
      <w:proofErr w:type="spellStart"/>
      <w:r>
        <w:t>Oxyg</w:t>
      </w:r>
      <w:proofErr w:type="spellEnd"/>
      <w:r>
        <w:t xml:space="preserve">, pH25, </w:t>
      </w:r>
      <w:proofErr w:type="spellStart"/>
      <w:r>
        <w:t>Phos</w:t>
      </w:r>
      <w:proofErr w:type="spellEnd"/>
      <w:r>
        <w:t xml:space="preserve">, </w:t>
      </w:r>
      <w:proofErr w:type="spellStart"/>
      <w:r>
        <w:t>Sali</w:t>
      </w:r>
      <w:proofErr w:type="spellEnd"/>
      <w:r>
        <w:t xml:space="preserve">, </w:t>
      </w:r>
      <w:proofErr w:type="spellStart"/>
      <w:r>
        <w:t>Sili</w:t>
      </w:r>
      <w:proofErr w:type="spellEnd"/>
      <w:r>
        <w:t>, Talk, tCO2,</w:t>
      </w:r>
      <w:r w:rsidR="00952520">
        <w:t xml:space="preserve"> and</w:t>
      </w:r>
      <w:r>
        <w:t xml:space="preserve"> Temp. </w:t>
      </w:r>
      <w:r w:rsidR="00B064E9">
        <w:t>No model parameters have been sel</w:t>
      </w:r>
      <w:r w:rsidR="008E2EA1">
        <w:t xml:space="preserve">ected a priori to avoid the risk of </w:t>
      </w:r>
      <w:r w:rsidR="00A5047B">
        <w:t xml:space="preserve">link the model to the dataset used for the train and hence generate overfitting that may increase the </w:t>
      </w:r>
      <w:r w:rsidR="00B064E9">
        <w:t>uncertainty on the final C</w:t>
      </w:r>
      <w:r w:rsidR="00B064E9">
        <w:rPr>
          <w:vertAlign w:val="subscript"/>
        </w:rPr>
        <w:t>ant</w:t>
      </w:r>
      <w:r w:rsidR="00952520">
        <w:t xml:space="preserve"> estimates</w:t>
      </w:r>
      <w:r w:rsidR="00B064E9">
        <w:t>.</w:t>
      </w:r>
    </w:p>
    <w:p w14:paraId="659FFE94" w14:textId="2ACDDA5F" w:rsidR="00256DF7" w:rsidRDefault="00256DF7" w:rsidP="002B51F3">
      <w:pPr>
        <w:pStyle w:val="BodyText"/>
        <w:spacing w:before="1" w:line="273" w:lineRule="auto"/>
        <w:ind w:left="101" w:right="101"/>
      </w:pPr>
      <w:r>
        <w:t>The initial dataset h</w:t>
      </w:r>
      <w:r w:rsidR="003A7E12">
        <w:t xml:space="preserve">as been randomly reduced to </w:t>
      </w:r>
      <w:r>
        <w:t>10% (</w:t>
      </w:r>
      <w:r w:rsidR="000B7F53">
        <w:t xml:space="preserve">103,994 </w:t>
      </w:r>
      <w:r>
        <w:t xml:space="preserve">records) to improve the speed of the analysis and the laptop performance. Of this initial data, 20% (20815 records) have </w:t>
      </w:r>
      <w:r w:rsidR="00B90821">
        <w:t xml:space="preserve">been stored in the test </w:t>
      </w:r>
      <w:r>
        <w:t>and 80% (83257 records) in the train dataset</w:t>
      </w:r>
      <w:r w:rsidR="00B90821">
        <w:t>s</w:t>
      </w:r>
      <w:r>
        <w:t>.</w:t>
      </w:r>
      <w:r w:rsidR="002F5B08">
        <w:t xml:space="preserve"> As per common practice, the model has been trained on the train dataset and the results compared with the </w:t>
      </w:r>
      <w:proofErr w:type="spellStart"/>
      <w:r w:rsidR="002F5B08">
        <w:t>Cant_ref</w:t>
      </w:r>
      <w:proofErr w:type="spellEnd"/>
      <w:r w:rsidR="002F5B08">
        <w:t xml:space="preserve"> on the test dataset</w:t>
      </w:r>
      <w:r w:rsidR="004227DD">
        <w:t xml:space="preserve"> (see Fig.5)</w:t>
      </w:r>
      <w:r w:rsidR="002F5B08">
        <w:t>.</w:t>
      </w:r>
    </w:p>
    <w:p w14:paraId="62219C05" w14:textId="77777777" w:rsidR="00B064E9" w:rsidRPr="00B064E9" w:rsidRDefault="00B064E9" w:rsidP="002B51F3">
      <w:pPr>
        <w:pStyle w:val="BodyText"/>
        <w:spacing w:before="1" w:line="273" w:lineRule="auto"/>
        <w:ind w:left="101" w:right="101"/>
      </w:pPr>
    </w:p>
    <w:p w14:paraId="76C32583" w14:textId="77777777" w:rsidR="0040635B" w:rsidRPr="0040635B" w:rsidRDefault="0040635B" w:rsidP="002B51F3">
      <w:pPr>
        <w:pStyle w:val="BodyText"/>
        <w:spacing w:before="1" w:line="273" w:lineRule="auto"/>
        <w:ind w:left="101" w:right="101"/>
        <w:rPr>
          <w:b/>
        </w:rPr>
      </w:pPr>
    </w:p>
    <w:p w14:paraId="74204808" w14:textId="699274F5" w:rsidR="00C53A7E" w:rsidRPr="00C53A7E" w:rsidRDefault="00C577D4" w:rsidP="002B51F3">
      <w:pPr>
        <w:pStyle w:val="BodyText"/>
        <w:spacing w:before="1" w:line="273" w:lineRule="auto"/>
        <w:ind w:left="101" w:right="101"/>
        <w:rPr>
          <w:b/>
        </w:rPr>
      </w:pPr>
      <w:r>
        <w:rPr>
          <w:b/>
          <w:noProof/>
        </w:rPr>
        <w:lastRenderedPageBreak/>
        <w:drawing>
          <wp:inline distT="0" distB="0" distL="0" distR="0" wp14:anchorId="329DCC26" wp14:editId="1EDDA677">
            <wp:extent cx="5867400" cy="3771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int.png"/>
                    <pic:cNvPicPr/>
                  </pic:nvPicPr>
                  <pic:blipFill>
                    <a:blip r:embed="rId12">
                      <a:extLst>
                        <a:ext uri="{28A0092B-C50C-407E-A947-70E740481C1C}">
                          <a14:useLocalDpi xmlns:a14="http://schemas.microsoft.com/office/drawing/2010/main" val="0"/>
                        </a:ext>
                      </a:extLst>
                    </a:blip>
                    <a:stretch>
                      <a:fillRect/>
                    </a:stretch>
                  </pic:blipFill>
                  <pic:spPr>
                    <a:xfrm>
                      <a:off x="0" y="0"/>
                      <a:ext cx="5867400" cy="3771900"/>
                    </a:xfrm>
                    <a:prstGeom prst="rect">
                      <a:avLst/>
                    </a:prstGeom>
                  </pic:spPr>
                </pic:pic>
              </a:graphicData>
            </a:graphic>
          </wp:inline>
        </w:drawing>
      </w:r>
    </w:p>
    <w:p w14:paraId="3B3D7ECD" w14:textId="05D93734" w:rsidR="00C577D4" w:rsidRDefault="00C577D4" w:rsidP="00C577D4">
      <w:pPr>
        <w:spacing w:before="1" w:line="264" w:lineRule="auto"/>
        <w:ind w:left="101" w:right="103"/>
        <w:rPr>
          <w:i/>
          <w:sz w:val="20"/>
        </w:rPr>
      </w:pPr>
      <w:r>
        <w:rPr>
          <w:i/>
          <w:sz w:val="20"/>
        </w:rPr>
        <w:t>Fig. 5</w:t>
      </w:r>
      <w:r>
        <w:rPr>
          <w:sz w:val="20"/>
        </w:rPr>
        <w:t xml:space="preserve">: </w:t>
      </w:r>
      <w:r>
        <w:rPr>
          <w:i/>
          <w:sz w:val="20"/>
        </w:rPr>
        <w:t>Density distributions of predicted and measured anthropogenic carbon (C</w:t>
      </w:r>
      <w:r w:rsidRPr="00132C31">
        <w:rPr>
          <w:i/>
          <w:sz w:val="20"/>
          <w:vertAlign w:val="subscript"/>
        </w:rPr>
        <w:t>ant</w:t>
      </w:r>
      <w:r>
        <w:rPr>
          <w:i/>
          <w:sz w:val="20"/>
        </w:rPr>
        <w:t>). Data are taken from the GLODAPv2 climatology for the year 2006 and predictions are estimated with a linear regression, which is used hereafter as benchmark model.</w:t>
      </w:r>
      <w:r w:rsidR="004D3107">
        <w:rPr>
          <w:i/>
          <w:sz w:val="20"/>
        </w:rPr>
        <w:t xml:space="preserve"> Only the initial 500 rows of the</w:t>
      </w:r>
      <w:r w:rsidR="00FB03C5">
        <w:rPr>
          <w:i/>
          <w:sz w:val="20"/>
        </w:rPr>
        <w:t xml:space="preserve"> test dataset are plotted for visibility</w:t>
      </w:r>
      <w:r w:rsidR="004D3107">
        <w:rPr>
          <w:i/>
          <w:sz w:val="20"/>
        </w:rPr>
        <w:t>.</w:t>
      </w:r>
    </w:p>
    <w:p w14:paraId="18173497" w14:textId="77777777" w:rsidR="00C577D4" w:rsidRPr="00C577D4" w:rsidRDefault="00C577D4" w:rsidP="00C577D4">
      <w:pPr>
        <w:spacing w:before="1" w:line="264" w:lineRule="auto"/>
        <w:ind w:left="101" w:right="103"/>
        <w:rPr>
          <w:sz w:val="24"/>
          <w:szCs w:val="24"/>
        </w:rPr>
      </w:pPr>
    </w:p>
    <w:p w14:paraId="4174AD27" w14:textId="6619BD8C" w:rsidR="00853CB1" w:rsidRDefault="00D37EA7" w:rsidP="00C577D4">
      <w:pPr>
        <w:spacing w:before="1" w:line="264" w:lineRule="auto"/>
        <w:ind w:left="101" w:right="103"/>
        <w:rPr>
          <w:sz w:val="24"/>
          <w:szCs w:val="24"/>
        </w:rPr>
      </w:pPr>
      <w:r>
        <w:rPr>
          <w:sz w:val="24"/>
          <w:szCs w:val="24"/>
        </w:rPr>
        <w:t>Fig.</w:t>
      </w:r>
      <w:r w:rsidR="002F5B08">
        <w:rPr>
          <w:sz w:val="24"/>
          <w:szCs w:val="24"/>
        </w:rPr>
        <w:t>5 shows the benchmark model C</w:t>
      </w:r>
      <w:r w:rsidR="002F5B08">
        <w:rPr>
          <w:sz w:val="24"/>
          <w:szCs w:val="24"/>
          <w:vertAlign w:val="subscript"/>
        </w:rPr>
        <w:t>ant</w:t>
      </w:r>
      <w:r w:rsidR="002F5B08">
        <w:rPr>
          <w:sz w:val="24"/>
          <w:szCs w:val="24"/>
        </w:rPr>
        <w:t xml:space="preserve"> predictions in comparison with the </w:t>
      </w:r>
      <w:proofErr w:type="spellStart"/>
      <w:r w:rsidR="002F5B08">
        <w:rPr>
          <w:sz w:val="24"/>
          <w:szCs w:val="24"/>
        </w:rPr>
        <w:t>C</w:t>
      </w:r>
      <w:r w:rsidR="00853CB1">
        <w:rPr>
          <w:sz w:val="24"/>
          <w:szCs w:val="24"/>
        </w:rPr>
        <w:t>ant_ref</w:t>
      </w:r>
      <w:proofErr w:type="spellEnd"/>
      <w:r w:rsidR="00853CB1">
        <w:rPr>
          <w:sz w:val="24"/>
          <w:szCs w:val="24"/>
        </w:rPr>
        <w:t>, which are named ‘measurements’ in the figure.</w:t>
      </w:r>
      <w:r>
        <w:rPr>
          <w:sz w:val="24"/>
          <w:szCs w:val="24"/>
        </w:rPr>
        <w:t xml:space="preserve"> In the upper panel </w:t>
      </w:r>
      <w:r w:rsidR="00853CB1">
        <w:rPr>
          <w:sz w:val="24"/>
          <w:szCs w:val="24"/>
        </w:rPr>
        <w:t xml:space="preserve">histograms have been plotted for both distributions together with the associated </w:t>
      </w:r>
      <w:proofErr w:type="spellStart"/>
      <w:r w:rsidR="00853CB1">
        <w:rPr>
          <w:sz w:val="24"/>
          <w:szCs w:val="24"/>
        </w:rPr>
        <w:t>kde</w:t>
      </w:r>
      <w:proofErr w:type="spellEnd"/>
      <w:r w:rsidR="00853CB1">
        <w:rPr>
          <w:sz w:val="24"/>
          <w:szCs w:val="24"/>
        </w:rPr>
        <w:t>. In the lower panel, the histograms are shown from the above, highlighting the areas of greater density of data. Only the initial 500 rows of the benchmark model results and measurements are reported to</w:t>
      </w:r>
      <w:r>
        <w:rPr>
          <w:sz w:val="24"/>
          <w:szCs w:val="24"/>
        </w:rPr>
        <w:t xml:space="preserve"> improve the graph visibility</w:t>
      </w:r>
      <w:r w:rsidR="00853CB1">
        <w:rPr>
          <w:sz w:val="24"/>
          <w:szCs w:val="24"/>
        </w:rPr>
        <w:t xml:space="preserve">. </w:t>
      </w:r>
    </w:p>
    <w:p w14:paraId="5CF8B1FD" w14:textId="77777777" w:rsidR="00A0785F" w:rsidRDefault="00CC4A90" w:rsidP="00853CB1">
      <w:pPr>
        <w:spacing w:before="1" w:line="264" w:lineRule="auto"/>
        <w:ind w:left="101" w:right="103"/>
        <w:rPr>
          <w:sz w:val="24"/>
          <w:szCs w:val="24"/>
        </w:rPr>
      </w:pPr>
      <w:r>
        <w:rPr>
          <w:sz w:val="24"/>
          <w:szCs w:val="24"/>
        </w:rPr>
        <w:t>Overall, Fig.</w:t>
      </w:r>
      <w:r w:rsidR="00853CB1">
        <w:rPr>
          <w:sz w:val="24"/>
          <w:szCs w:val="24"/>
        </w:rPr>
        <w:t>5 shows consistency between the benchmark model results and the C</w:t>
      </w:r>
      <w:r w:rsidR="00853CB1">
        <w:rPr>
          <w:sz w:val="24"/>
          <w:szCs w:val="24"/>
          <w:vertAlign w:val="subscript"/>
        </w:rPr>
        <w:t>ant</w:t>
      </w:r>
      <w:r>
        <w:rPr>
          <w:sz w:val="24"/>
          <w:szCs w:val="24"/>
        </w:rPr>
        <w:t xml:space="preserve"> measurements. D</w:t>
      </w:r>
      <w:r w:rsidR="00853CB1">
        <w:rPr>
          <w:sz w:val="24"/>
          <w:szCs w:val="24"/>
        </w:rPr>
        <w:t>ifferences exist in the low estimates, with the density peak being at 15 for the benchmark mode</w:t>
      </w:r>
      <w:r>
        <w:rPr>
          <w:sz w:val="24"/>
          <w:szCs w:val="24"/>
        </w:rPr>
        <w:t>l while it i</w:t>
      </w:r>
      <w:r w:rsidR="00853CB1">
        <w:rPr>
          <w:sz w:val="24"/>
          <w:szCs w:val="24"/>
        </w:rPr>
        <w:t>s at 6 for the reference. Also, differences exist on the other extreme of the distributions, with the benchmark model quantifying C</w:t>
      </w:r>
      <w:r w:rsidR="00853CB1" w:rsidRPr="00853CB1">
        <w:rPr>
          <w:sz w:val="24"/>
          <w:szCs w:val="24"/>
          <w:vertAlign w:val="subscript"/>
        </w:rPr>
        <w:t>ant</w:t>
      </w:r>
      <w:r w:rsidR="00853CB1">
        <w:rPr>
          <w:sz w:val="24"/>
          <w:szCs w:val="24"/>
        </w:rPr>
        <w:t xml:space="preserve"> values to a maximu</w:t>
      </w:r>
      <w:r>
        <w:rPr>
          <w:sz w:val="24"/>
          <w:szCs w:val="24"/>
        </w:rPr>
        <w:t xml:space="preserve">m of 77, while </w:t>
      </w:r>
      <w:r w:rsidR="00853CB1">
        <w:rPr>
          <w:sz w:val="24"/>
          <w:szCs w:val="24"/>
        </w:rPr>
        <w:t>the measurements</w:t>
      </w:r>
      <w:r>
        <w:rPr>
          <w:sz w:val="24"/>
          <w:szCs w:val="24"/>
        </w:rPr>
        <w:t xml:space="preserve"> maximum</w:t>
      </w:r>
      <w:r w:rsidR="00A0785F">
        <w:rPr>
          <w:sz w:val="24"/>
          <w:szCs w:val="24"/>
        </w:rPr>
        <w:t xml:space="preserve"> is 69. </w:t>
      </w:r>
    </w:p>
    <w:p w14:paraId="31E9F5D5" w14:textId="7FD39891" w:rsidR="00612563" w:rsidRDefault="00A0785F" w:rsidP="00853CB1">
      <w:pPr>
        <w:spacing w:before="1" w:line="264" w:lineRule="auto"/>
        <w:ind w:left="101" w:right="103"/>
        <w:rPr>
          <w:sz w:val="24"/>
          <w:szCs w:val="24"/>
        </w:rPr>
      </w:pPr>
      <w:r>
        <w:rPr>
          <w:sz w:val="24"/>
          <w:szCs w:val="24"/>
        </w:rPr>
        <w:t>T</w:t>
      </w:r>
      <w:r w:rsidR="00853CB1">
        <w:rPr>
          <w:sz w:val="24"/>
          <w:szCs w:val="24"/>
        </w:rPr>
        <w:t>he benchmark model is a good baseline for the C</w:t>
      </w:r>
      <w:r w:rsidR="00853CB1" w:rsidRPr="00853CB1">
        <w:rPr>
          <w:sz w:val="24"/>
          <w:szCs w:val="24"/>
          <w:vertAlign w:val="subscript"/>
        </w:rPr>
        <w:t>ant</w:t>
      </w:r>
      <w:r w:rsidR="00853CB1">
        <w:rPr>
          <w:sz w:val="24"/>
          <w:szCs w:val="24"/>
        </w:rPr>
        <w:t xml:space="preserve"> distributions that hopefully will be challenged by other models hereafter</w:t>
      </w:r>
      <w:r w:rsidR="00FB3375">
        <w:rPr>
          <w:sz w:val="24"/>
          <w:szCs w:val="24"/>
        </w:rPr>
        <w:t xml:space="preserve"> (see Tab.1)</w:t>
      </w:r>
      <w:r w:rsidR="00853CB1">
        <w:rPr>
          <w:sz w:val="24"/>
          <w:szCs w:val="24"/>
        </w:rPr>
        <w:t xml:space="preserve">. </w:t>
      </w:r>
    </w:p>
    <w:p w14:paraId="3E17A712" w14:textId="77777777" w:rsidR="00853CB1" w:rsidRPr="00853CB1" w:rsidRDefault="00853CB1" w:rsidP="00853CB1">
      <w:pPr>
        <w:spacing w:before="1" w:line="264" w:lineRule="auto"/>
        <w:ind w:left="101" w:right="103"/>
        <w:rPr>
          <w:sz w:val="24"/>
          <w:szCs w:val="24"/>
        </w:rPr>
      </w:pPr>
    </w:p>
    <w:tbl>
      <w:tblPr>
        <w:tblStyle w:val="TableGrid"/>
        <w:tblW w:w="0" w:type="auto"/>
        <w:tblInd w:w="101" w:type="dxa"/>
        <w:tblLook w:val="04A0" w:firstRow="1" w:lastRow="0" w:firstColumn="1" w:lastColumn="0" w:noHBand="0" w:noVBand="1"/>
      </w:tblPr>
      <w:tblGrid>
        <w:gridCol w:w="2346"/>
        <w:gridCol w:w="2335"/>
        <w:gridCol w:w="2338"/>
        <w:gridCol w:w="2336"/>
      </w:tblGrid>
      <w:tr w:rsidR="00612563" w14:paraId="7B7A464B" w14:textId="77777777" w:rsidTr="00612563">
        <w:tc>
          <w:tcPr>
            <w:tcW w:w="2364" w:type="dxa"/>
          </w:tcPr>
          <w:p w14:paraId="15BABCFE" w14:textId="77E352AF" w:rsidR="00612563" w:rsidRPr="007863C7" w:rsidRDefault="00612563" w:rsidP="00612563">
            <w:pPr>
              <w:pStyle w:val="BodyText"/>
              <w:spacing w:before="1" w:line="273" w:lineRule="auto"/>
              <w:ind w:right="101"/>
              <w:jc w:val="center"/>
              <w:rPr>
                <w:b/>
                <w:sz w:val="20"/>
                <w:szCs w:val="20"/>
              </w:rPr>
            </w:pPr>
            <w:r w:rsidRPr="007863C7">
              <w:rPr>
                <w:b/>
                <w:sz w:val="20"/>
                <w:szCs w:val="20"/>
              </w:rPr>
              <w:t>Model Name</w:t>
            </w:r>
          </w:p>
        </w:tc>
        <w:tc>
          <w:tcPr>
            <w:tcW w:w="2364" w:type="dxa"/>
          </w:tcPr>
          <w:p w14:paraId="37F10E40" w14:textId="6A2E45C5" w:rsidR="00612563" w:rsidRPr="007863C7" w:rsidRDefault="00612563" w:rsidP="00612563">
            <w:pPr>
              <w:pStyle w:val="BodyText"/>
              <w:spacing w:before="1" w:line="273" w:lineRule="auto"/>
              <w:ind w:right="101"/>
              <w:jc w:val="center"/>
              <w:rPr>
                <w:b/>
                <w:sz w:val="20"/>
                <w:szCs w:val="20"/>
                <w:vertAlign w:val="superscript"/>
              </w:rPr>
            </w:pPr>
            <w:r w:rsidRPr="007863C7">
              <w:rPr>
                <w:b/>
                <w:sz w:val="20"/>
                <w:szCs w:val="20"/>
              </w:rPr>
              <w:t>R</w:t>
            </w:r>
            <w:r w:rsidRPr="007863C7">
              <w:rPr>
                <w:b/>
                <w:sz w:val="20"/>
                <w:szCs w:val="20"/>
                <w:vertAlign w:val="superscript"/>
              </w:rPr>
              <w:t>2</w:t>
            </w:r>
          </w:p>
        </w:tc>
        <w:tc>
          <w:tcPr>
            <w:tcW w:w="2364" w:type="dxa"/>
          </w:tcPr>
          <w:p w14:paraId="35BC8D02" w14:textId="0C378550" w:rsidR="00612563" w:rsidRPr="007863C7" w:rsidRDefault="00612563" w:rsidP="00612563">
            <w:pPr>
              <w:pStyle w:val="BodyText"/>
              <w:spacing w:before="1" w:line="273" w:lineRule="auto"/>
              <w:ind w:right="101"/>
              <w:jc w:val="center"/>
              <w:rPr>
                <w:b/>
                <w:sz w:val="20"/>
                <w:szCs w:val="20"/>
              </w:rPr>
            </w:pPr>
            <w:r w:rsidRPr="007863C7">
              <w:rPr>
                <w:b/>
                <w:sz w:val="20"/>
                <w:szCs w:val="20"/>
              </w:rPr>
              <w:t>RMSE</w:t>
            </w:r>
          </w:p>
        </w:tc>
        <w:tc>
          <w:tcPr>
            <w:tcW w:w="2364" w:type="dxa"/>
          </w:tcPr>
          <w:p w14:paraId="1D7A64D0" w14:textId="4902135F" w:rsidR="00612563" w:rsidRPr="007863C7" w:rsidRDefault="00612563" w:rsidP="00612563">
            <w:pPr>
              <w:pStyle w:val="BodyText"/>
              <w:spacing w:before="1" w:line="273" w:lineRule="auto"/>
              <w:ind w:right="101"/>
              <w:jc w:val="center"/>
              <w:rPr>
                <w:b/>
                <w:sz w:val="20"/>
                <w:szCs w:val="20"/>
              </w:rPr>
            </w:pPr>
            <w:r w:rsidRPr="007863C7">
              <w:rPr>
                <w:b/>
                <w:sz w:val="20"/>
                <w:szCs w:val="20"/>
              </w:rPr>
              <w:t>MAE</w:t>
            </w:r>
          </w:p>
        </w:tc>
      </w:tr>
      <w:tr w:rsidR="00612563" w:rsidRPr="00612563" w14:paraId="57BFC829" w14:textId="77777777" w:rsidTr="00612563">
        <w:tc>
          <w:tcPr>
            <w:tcW w:w="2364" w:type="dxa"/>
          </w:tcPr>
          <w:p w14:paraId="1CE79712" w14:textId="6FADFE06" w:rsidR="00612563" w:rsidRPr="007863C7" w:rsidRDefault="00612563" w:rsidP="00612563">
            <w:pPr>
              <w:pStyle w:val="BodyText"/>
              <w:spacing w:before="1" w:line="273" w:lineRule="auto"/>
              <w:ind w:right="101"/>
              <w:jc w:val="center"/>
              <w:rPr>
                <w:color w:val="000000" w:themeColor="text1"/>
                <w:sz w:val="20"/>
                <w:szCs w:val="20"/>
              </w:rPr>
            </w:pPr>
            <w:r w:rsidRPr="007863C7">
              <w:rPr>
                <w:color w:val="000000" w:themeColor="text1"/>
                <w:sz w:val="20"/>
                <w:szCs w:val="20"/>
              </w:rPr>
              <w:t>Linear Regression</w:t>
            </w:r>
          </w:p>
        </w:tc>
        <w:tc>
          <w:tcPr>
            <w:tcW w:w="2364" w:type="dxa"/>
          </w:tcPr>
          <w:p w14:paraId="7B9B4FB3" w14:textId="5A29DBBE" w:rsidR="00612563" w:rsidRPr="007863C7" w:rsidRDefault="00612563" w:rsidP="00612563">
            <w:pPr>
              <w:pStyle w:val="BodyText"/>
              <w:spacing w:before="1" w:line="273" w:lineRule="auto"/>
              <w:ind w:right="101"/>
              <w:jc w:val="center"/>
              <w:rPr>
                <w:sz w:val="20"/>
                <w:szCs w:val="20"/>
              </w:rPr>
            </w:pPr>
            <w:r w:rsidRPr="007863C7">
              <w:rPr>
                <w:sz w:val="20"/>
                <w:szCs w:val="20"/>
              </w:rPr>
              <w:t>0.91</w:t>
            </w:r>
          </w:p>
        </w:tc>
        <w:tc>
          <w:tcPr>
            <w:tcW w:w="2364" w:type="dxa"/>
          </w:tcPr>
          <w:p w14:paraId="104D6EC8" w14:textId="12E00070" w:rsidR="00612563" w:rsidRPr="007863C7" w:rsidRDefault="00612563" w:rsidP="00612563">
            <w:pPr>
              <w:pStyle w:val="BodyText"/>
              <w:spacing w:before="1" w:line="273" w:lineRule="auto"/>
              <w:ind w:right="101"/>
              <w:jc w:val="center"/>
              <w:rPr>
                <w:sz w:val="20"/>
                <w:szCs w:val="20"/>
              </w:rPr>
            </w:pPr>
            <w:r w:rsidRPr="007863C7">
              <w:rPr>
                <w:sz w:val="20"/>
                <w:szCs w:val="20"/>
              </w:rPr>
              <w:t>6.30</w:t>
            </w:r>
          </w:p>
        </w:tc>
        <w:tc>
          <w:tcPr>
            <w:tcW w:w="2364" w:type="dxa"/>
          </w:tcPr>
          <w:p w14:paraId="059F9FBD" w14:textId="367D7831" w:rsidR="00612563" w:rsidRPr="007863C7" w:rsidRDefault="00612563" w:rsidP="00612563">
            <w:pPr>
              <w:pStyle w:val="BodyText"/>
              <w:spacing w:before="1" w:line="273" w:lineRule="auto"/>
              <w:ind w:right="101"/>
              <w:jc w:val="center"/>
              <w:rPr>
                <w:sz w:val="20"/>
                <w:szCs w:val="20"/>
              </w:rPr>
            </w:pPr>
            <w:r w:rsidRPr="007863C7">
              <w:rPr>
                <w:sz w:val="20"/>
                <w:szCs w:val="20"/>
              </w:rPr>
              <w:t>4.90</w:t>
            </w:r>
          </w:p>
        </w:tc>
      </w:tr>
      <w:tr w:rsidR="00612563" w:rsidRPr="00612563" w14:paraId="5D3A587E" w14:textId="77777777" w:rsidTr="00612563">
        <w:tc>
          <w:tcPr>
            <w:tcW w:w="2364" w:type="dxa"/>
          </w:tcPr>
          <w:p w14:paraId="736EB711" w14:textId="1961300F" w:rsidR="00612563" w:rsidRPr="007863C7" w:rsidRDefault="00612563" w:rsidP="00612563">
            <w:pPr>
              <w:pStyle w:val="BodyText"/>
              <w:spacing w:before="1" w:line="273" w:lineRule="auto"/>
              <w:ind w:right="101"/>
              <w:jc w:val="center"/>
              <w:rPr>
                <w:sz w:val="20"/>
                <w:szCs w:val="20"/>
              </w:rPr>
            </w:pPr>
            <w:r w:rsidRPr="007863C7">
              <w:rPr>
                <w:sz w:val="20"/>
                <w:szCs w:val="20"/>
              </w:rPr>
              <w:t>Ridge Regression</w:t>
            </w:r>
          </w:p>
        </w:tc>
        <w:tc>
          <w:tcPr>
            <w:tcW w:w="2364" w:type="dxa"/>
          </w:tcPr>
          <w:p w14:paraId="7971EFC6" w14:textId="0F72DDAD" w:rsidR="00612563" w:rsidRPr="007863C7" w:rsidRDefault="007863C7" w:rsidP="00612563">
            <w:pPr>
              <w:pStyle w:val="BodyText"/>
              <w:spacing w:before="1" w:line="273" w:lineRule="auto"/>
              <w:ind w:right="101"/>
              <w:jc w:val="center"/>
              <w:rPr>
                <w:sz w:val="20"/>
                <w:szCs w:val="20"/>
              </w:rPr>
            </w:pPr>
            <w:r w:rsidRPr="007863C7">
              <w:rPr>
                <w:sz w:val="20"/>
                <w:szCs w:val="20"/>
              </w:rPr>
              <w:t>0.91</w:t>
            </w:r>
          </w:p>
        </w:tc>
        <w:tc>
          <w:tcPr>
            <w:tcW w:w="2364" w:type="dxa"/>
          </w:tcPr>
          <w:p w14:paraId="23086EA6" w14:textId="44AEFC6E" w:rsidR="00612563" w:rsidRPr="007863C7" w:rsidRDefault="007863C7" w:rsidP="00612563">
            <w:pPr>
              <w:pStyle w:val="BodyText"/>
              <w:spacing w:before="1" w:line="273" w:lineRule="auto"/>
              <w:ind w:right="101"/>
              <w:jc w:val="center"/>
              <w:rPr>
                <w:sz w:val="20"/>
                <w:szCs w:val="20"/>
              </w:rPr>
            </w:pPr>
            <w:r w:rsidRPr="007863C7">
              <w:rPr>
                <w:sz w:val="20"/>
                <w:szCs w:val="20"/>
              </w:rPr>
              <w:t>6.30</w:t>
            </w:r>
          </w:p>
        </w:tc>
        <w:tc>
          <w:tcPr>
            <w:tcW w:w="2364" w:type="dxa"/>
          </w:tcPr>
          <w:p w14:paraId="1589A98E" w14:textId="2DC741E2" w:rsidR="00612563" w:rsidRPr="007863C7" w:rsidRDefault="007863C7" w:rsidP="00612563">
            <w:pPr>
              <w:pStyle w:val="BodyText"/>
              <w:spacing w:before="1" w:line="273" w:lineRule="auto"/>
              <w:ind w:right="101"/>
              <w:jc w:val="center"/>
              <w:rPr>
                <w:sz w:val="20"/>
                <w:szCs w:val="20"/>
              </w:rPr>
            </w:pPr>
            <w:r w:rsidRPr="007863C7">
              <w:rPr>
                <w:sz w:val="20"/>
                <w:szCs w:val="20"/>
              </w:rPr>
              <w:t>4.9</w:t>
            </w:r>
            <w:r w:rsidR="003D00A6">
              <w:rPr>
                <w:sz w:val="20"/>
                <w:szCs w:val="20"/>
              </w:rPr>
              <w:t>0</w:t>
            </w:r>
          </w:p>
        </w:tc>
      </w:tr>
      <w:tr w:rsidR="00612563" w:rsidRPr="00612563" w14:paraId="557A3E44" w14:textId="77777777" w:rsidTr="00612563">
        <w:tc>
          <w:tcPr>
            <w:tcW w:w="2364" w:type="dxa"/>
          </w:tcPr>
          <w:p w14:paraId="2261C48C" w14:textId="407D62E3" w:rsidR="00612563" w:rsidRPr="007863C7" w:rsidRDefault="00612563" w:rsidP="00612563">
            <w:pPr>
              <w:pStyle w:val="BodyText"/>
              <w:spacing w:before="1" w:line="273" w:lineRule="auto"/>
              <w:ind w:right="101"/>
              <w:jc w:val="center"/>
              <w:rPr>
                <w:sz w:val="20"/>
                <w:szCs w:val="20"/>
              </w:rPr>
            </w:pPr>
            <w:r w:rsidRPr="007863C7">
              <w:rPr>
                <w:sz w:val="20"/>
                <w:szCs w:val="20"/>
              </w:rPr>
              <w:t>Lasso Regression</w:t>
            </w:r>
          </w:p>
        </w:tc>
        <w:tc>
          <w:tcPr>
            <w:tcW w:w="2364" w:type="dxa"/>
          </w:tcPr>
          <w:p w14:paraId="1BBE027B" w14:textId="717C8029" w:rsidR="00612563" w:rsidRPr="007863C7" w:rsidRDefault="007863C7" w:rsidP="00612563">
            <w:pPr>
              <w:pStyle w:val="BodyText"/>
              <w:spacing w:before="1" w:line="273" w:lineRule="auto"/>
              <w:ind w:right="101"/>
              <w:jc w:val="center"/>
              <w:rPr>
                <w:sz w:val="20"/>
                <w:szCs w:val="20"/>
              </w:rPr>
            </w:pPr>
            <w:r w:rsidRPr="007863C7">
              <w:rPr>
                <w:sz w:val="20"/>
                <w:szCs w:val="20"/>
              </w:rPr>
              <w:t>0.90</w:t>
            </w:r>
          </w:p>
        </w:tc>
        <w:tc>
          <w:tcPr>
            <w:tcW w:w="2364" w:type="dxa"/>
          </w:tcPr>
          <w:p w14:paraId="6371F76E" w14:textId="504D85ED" w:rsidR="00612563" w:rsidRPr="007863C7" w:rsidRDefault="007863C7" w:rsidP="00612563">
            <w:pPr>
              <w:pStyle w:val="BodyText"/>
              <w:spacing w:before="1" w:line="273" w:lineRule="auto"/>
              <w:ind w:right="101"/>
              <w:jc w:val="center"/>
              <w:rPr>
                <w:sz w:val="20"/>
                <w:szCs w:val="20"/>
              </w:rPr>
            </w:pPr>
            <w:r w:rsidRPr="007863C7">
              <w:rPr>
                <w:sz w:val="20"/>
                <w:szCs w:val="20"/>
              </w:rPr>
              <w:t>5.53</w:t>
            </w:r>
          </w:p>
        </w:tc>
        <w:tc>
          <w:tcPr>
            <w:tcW w:w="2364" w:type="dxa"/>
          </w:tcPr>
          <w:p w14:paraId="262E337E" w14:textId="4917B7A1" w:rsidR="00612563" w:rsidRPr="007863C7" w:rsidRDefault="007863C7" w:rsidP="00612563">
            <w:pPr>
              <w:pStyle w:val="BodyText"/>
              <w:spacing w:before="1" w:line="273" w:lineRule="auto"/>
              <w:ind w:right="101"/>
              <w:jc w:val="center"/>
              <w:rPr>
                <w:sz w:val="20"/>
                <w:szCs w:val="20"/>
              </w:rPr>
            </w:pPr>
            <w:r w:rsidRPr="007863C7">
              <w:rPr>
                <w:sz w:val="20"/>
                <w:szCs w:val="20"/>
              </w:rPr>
              <w:t>5.12</w:t>
            </w:r>
          </w:p>
        </w:tc>
      </w:tr>
      <w:tr w:rsidR="00612563" w:rsidRPr="00612563" w14:paraId="05078386" w14:textId="77777777" w:rsidTr="00612563">
        <w:tc>
          <w:tcPr>
            <w:tcW w:w="2364" w:type="dxa"/>
          </w:tcPr>
          <w:p w14:paraId="4DB39A35" w14:textId="25477FD6" w:rsidR="00612563" w:rsidRPr="007863C7" w:rsidRDefault="00612563" w:rsidP="00612563">
            <w:pPr>
              <w:pStyle w:val="BodyText"/>
              <w:spacing w:before="1" w:line="273" w:lineRule="auto"/>
              <w:ind w:right="101"/>
              <w:jc w:val="center"/>
              <w:rPr>
                <w:sz w:val="20"/>
                <w:szCs w:val="20"/>
              </w:rPr>
            </w:pPr>
            <w:r w:rsidRPr="007863C7">
              <w:rPr>
                <w:sz w:val="20"/>
                <w:szCs w:val="20"/>
              </w:rPr>
              <w:t>Decision Tree</w:t>
            </w:r>
          </w:p>
        </w:tc>
        <w:tc>
          <w:tcPr>
            <w:tcW w:w="2364" w:type="dxa"/>
          </w:tcPr>
          <w:p w14:paraId="7E2FC57B" w14:textId="2DEC6FDC" w:rsidR="00612563" w:rsidRPr="007863C7" w:rsidRDefault="007863C7" w:rsidP="00612563">
            <w:pPr>
              <w:pStyle w:val="BodyText"/>
              <w:spacing w:before="1" w:line="273" w:lineRule="auto"/>
              <w:ind w:right="101"/>
              <w:jc w:val="center"/>
              <w:rPr>
                <w:sz w:val="20"/>
                <w:szCs w:val="20"/>
              </w:rPr>
            </w:pPr>
            <w:r w:rsidRPr="007863C7">
              <w:rPr>
                <w:sz w:val="20"/>
                <w:szCs w:val="20"/>
              </w:rPr>
              <w:t>0.98</w:t>
            </w:r>
          </w:p>
        </w:tc>
        <w:tc>
          <w:tcPr>
            <w:tcW w:w="2364" w:type="dxa"/>
          </w:tcPr>
          <w:p w14:paraId="09B804E9" w14:textId="628C12A0" w:rsidR="00612563" w:rsidRPr="007863C7" w:rsidRDefault="007863C7" w:rsidP="00612563">
            <w:pPr>
              <w:pStyle w:val="BodyText"/>
              <w:spacing w:before="1" w:line="273" w:lineRule="auto"/>
              <w:ind w:right="101"/>
              <w:jc w:val="center"/>
              <w:rPr>
                <w:sz w:val="20"/>
                <w:szCs w:val="20"/>
              </w:rPr>
            </w:pPr>
            <w:r w:rsidRPr="007863C7">
              <w:rPr>
                <w:sz w:val="20"/>
                <w:szCs w:val="20"/>
              </w:rPr>
              <w:t>2.66</w:t>
            </w:r>
          </w:p>
        </w:tc>
        <w:tc>
          <w:tcPr>
            <w:tcW w:w="2364" w:type="dxa"/>
          </w:tcPr>
          <w:p w14:paraId="73A1109E" w14:textId="32B37DCF" w:rsidR="00612563" w:rsidRPr="007863C7" w:rsidRDefault="007863C7" w:rsidP="00612563">
            <w:pPr>
              <w:pStyle w:val="BodyText"/>
              <w:spacing w:before="1" w:line="273" w:lineRule="auto"/>
              <w:ind w:right="101"/>
              <w:jc w:val="center"/>
              <w:rPr>
                <w:sz w:val="20"/>
                <w:szCs w:val="20"/>
              </w:rPr>
            </w:pPr>
            <w:r w:rsidRPr="007863C7">
              <w:rPr>
                <w:sz w:val="20"/>
                <w:szCs w:val="20"/>
              </w:rPr>
              <w:t>1.55</w:t>
            </w:r>
          </w:p>
        </w:tc>
      </w:tr>
      <w:tr w:rsidR="00612563" w:rsidRPr="00612563" w14:paraId="6304A8EC" w14:textId="77777777" w:rsidTr="00612563">
        <w:tc>
          <w:tcPr>
            <w:tcW w:w="2364" w:type="dxa"/>
          </w:tcPr>
          <w:p w14:paraId="0C4D648E" w14:textId="42FFFCF9" w:rsidR="00612563" w:rsidRPr="007863C7" w:rsidRDefault="00612563" w:rsidP="00612563">
            <w:pPr>
              <w:pStyle w:val="BodyText"/>
              <w:spacing w:before="1" w:line="273" w:lineRule="auto"/>
              <w:ind w:right="101"/>
              <w:jc w:val="center"/>
              <w:rPr>
                <w:sz w:val="20"/>
                <w:szCs w:val="20"/>
              </w:rPr>
            </w:pPr>
            <w:r w:rsidRPr="007863C7">
              <w:rPr>
                <w:sz w:val="20"/>
                <w:szCs w:val="20"/>
              </w:rPr>
              <w:t>Random Forest</w:t>
            </w:r>
          </w:p>
        </w:tc>
        <w:tc>
          <w:tcPr>
            <w:tcW w:w="2364" w:type="dxa"/>
          </w:tcPr>
          <w:p w14:paraId="101749E5" w14:textId="2AEE4771" w:rsidR="00612563" w:rsidRPr="007863C7" w:rsidRDefault="007863C7" w:rsidP="00612563">
            <w:pPr>
              <w:pStyle w:val="BodyText"/>
              <w:spacing w:before="1" w:line="273" w:lineRule="auto"/>
              <w:ind w:right="101"/>
              <w:jc w:val="center"/>
              <w:rPr>
                <w:sz w:val="20"/>
                <w:szCs w:val="20"/>
              </w:rPr>
            </w:pPr>
            <w:r w:rsidRPr="007863C7">
              <w:rPr>
                <w:sz w:val="20"/>
                <w:szCs w:val="20"/>
              </w:rPr>
              <w:t>0.99</w:t>
            </w:r>
          </w:p>
        </w:tc>
        <w:tc>
          <w:tcPr>
            <w:tcW w:w="2364" w:type="dxa"/>
          </w:tcPr>
          <w:p w14:paraId="687A9368" w14:textId="12377A58" w:rsidR="00612563" w:rsidRPr="00F6626E" w:rsidRDefault="007863C7" w:rsidP="00612563">
            <w:pPr>
              <w:pStyle w:val="BodyText"/>
              <w:spacing w:before="1" w:line="273" w:lineRule="auto"/>
              <w:ind w:right="101"/>
              <w:jc w:val="center"/>
              <w:rPr>
                <w:b/>
                <w:color w:val="000000" w:themeColor="text1"/>
                <w:sz w:val="20"/>
                <w:szCs w:val="20"/>
              </w:rPr>
            </w:pPr>
            <w:r w:rsidRPr="00F6626E">
              <w:rPr>
                <w:b/>
                <w:color w:val="000000" w:themeColor="text1"/>
                <w:sz w:val="20"/>
                <w:szCs w:val="20"/>
              </w:rPr>
              <w:t>1.97</w:t>
            </w:r>
          </w:p>
        </w:tc>
        <w:tc>
          <w:tcPr>
            <w:tcW w:w="2364" w:type="dxa"/>
          </w:tcPr>
          <w:p w14:paraId="4175E5FB" w14:textId="755D2F99" w:rsidR="00612563" w:rsidRPr="00F6626E" w:rsidRDefault="007863C7" w:rsidP="00612563">
            <w:pPr>
              <w:pStyle w:val="BodyText"/>
              <w:spacing w:before="1" w:line="273" w:lineRule="auto"/>
              <w:ind w:right="101"/>
              <w:jc w:val="center"/>
              <w:rPr>
                <w:b/>
                <w:sz w:val="20"/>
                <w:szCs w:val="20"/>
              </w:rPr>
            </w:pPr>
            <w:r w:rsidRPr="00F6626E">
              <w:rPr>
                <w:b/>
                <w:sz w:val="20"/>
                <w:szCs w:val="20"/>
              </w:rPr>
              <w:t>1.23</w:t>
            </w:r>
          </w:p>
        </w:tc>
      </w:tr>
      <w:tr w:rsidR="00612563" w:rsidRPr="00612563" w14:paraId="1E68889E" w14:textId="77777777" w:rsidTr="00612563">
        <w:tc>
          <w:tcPr>
            <w:tcW w:w="2364" w:type="dxa"/>
          </w:tcPr>
          <w:p w14:paraId="219AF3CC" w14:textId="2B4DD1A4" w:rsidR="00612563" w:rsidRPr="007863C7" w:rsidRDefault="00612563" w:rsidP="00612563">
            <w:pPr>
              <w:pStyle w:val="BodyText"/>
              <w:spacing w:before="1" w:line="273" w:lineRule="auto"/>
              <w:ind w:right="101"/>
              <w:jc w:val="center"/>
              <w:rPr>
                <w:sz w:val="20"/>
                <w:szCs w:val="20"/>
              </w:rPr>
            </w:pPr>
            <w:r w:rsidRPr="007863C7">
              <w:rPr>
                <w:sz w:val="20"/>
                <w:szCs w:val="20"/>
              </w:rPr>
              <w:t>Neural Network</w:t>
            </w:r>
          </w:p>
        </w:tc>
        <w:tc>
          <w:tcPr>
            <w:tcW w:w="2364" w:type="dxa"/>
          </w:tcPr>
          <w:p w14:paraId="508797AC" w14:textId="12F7F22D" w:rsidR="00612563" w:rsidRPr="007863C7" w:rsidRDefault="007863C7" w:rsidP="00612563">
            <w:pPr>
              <w:pStyle w:val="BodyText"/>
              <w:spacing w:before="1" w:line="273" w:lineRule="auto"/>
              <w:ind w:right="101"/>
              <w:jc w:val="center"/>
              <w:rPr>
                <w:sz w:val="20"/>
                <w:szCs w:val="20"/>
              </w:rPr>
            </w:pPr>
            <w:r w:rsidRPr="007863C7">
              <w:rPr>
                <w:sz w:val="20"/>
                <w:szCs w:val="20"/>
              </w:rPr>
              <w:t>0.91</w:t>
            </w:r>
          </w:p>
        </w:tc>
        <w:tc>
          <w:tcPr>
            <w:tcW w:w="2364" w:type="dxa"/>
          </w:tcPr>
          <w:p w14:paraId="7CD29505" w14:textId="4D1269E9" w:rsidR="00612563" w:rsidRPr="007863C7" w:rsidRDefault="007863C7" w:rsidP="00612563">
            <w:pPr>
              <w:pStyle w:val="BodyText"/>
              <w:spacing w:before="1" w:line="273" w:lineRule="auto"/>
              <w:ind w:right="101"/>
              <w:jc w:val="center"/>
              <w:rPr>
                <w:sz w:val="20"/>
                <w:szCs w:val="20"/>
              </w:rPr>
            </w:pPr>
            <w:r w:rsidRPr="007863C7">
              <w:rPr>
                <w:sz w:val="20"/>
                <w:szCs w:val="20"/>
              </w:rPr>
              <w:t>6.42</w:t>
            </w:r>
          </w:p>
        </w:tc>
        <w:tc>
          <w:tcPr>
            <w:tcW w:w="2364" w:type="dxa"/>
          </w:tcPr>
          <w:p w14:paraId="35ABE477" w14:textId="5675E703" w:rsidR="00612563" w:rsidRPr="007863C7" w:rsidRDefault="007863C7" w:rsidP="00612563">
            <w:pPr>
              <w:pStyle w:val="BodyText"/>
              <w:spacing w:before="1" w:line="273" w:lineRule="auto"/>
              <w:ind w:right="101"/>
              <w:jc w:val="center"/>
              <w:rPr>
                <w:sz w:val="20"/>
                <w:szCs w:val="20"/>
              </w:rPr>
            </w:pPr>
            <w:r w:rsidRPr="007863C7">
              <w:rPr>
                <w:sz w:val="20"/>
                <w:szCs w:val="20"/>
              </w:rPr>
              <w:t>4.77</w:t>
            </w:r>
          </w:p>
        </w:tc>
      </w:tr>
      <w:tr w:rsidR="00612563" w:rsidRPr="00612563" w14:paraId="12EF0D71" w14:textId="77777777" w:rsidTr="00612563">
        <w:tc>
          <w:tcPr>
            <w:tcW w:w="2364" w:type="dxa"/>
          </w:tcPr>
          <w:p w14:paraId="44D13E4D" w14:textId="0621CFB4" w:rsidR="00612563" w:rsidRPr="007863C7" w:rsidRDefault="00612563" w:rsidP="00612563">
            <w:pPr>
              <w:pStyle w:val="BodyText"/>
              <w:spacing w:before="1" w:line="273" w:lineRule="auto"/>
              <w:ind w:right="101"/>
              <w:jc w:val="center"/>
              <w:rPr>
                <w:sz w:val="20"/>
                <w:szCs w:val="20"/>
              </w:rPr>
            </w:pPr>
            <w:proofErr w:type="spellStart"/>
            <w:r w:rsidRPr="007863C7">
              <w:rPr>
                <w:sz w:val="20"/>
                <w:szCs w:val="20"/>
              </w:rPr>
              <w:t>LightGBM</w:t>
            </w:r>
            <w:proofErr w:type="spellEnd"/>
          </w:p>
        </w:tc>
        <w:tc>
          <w:tcPr>
            <w:tcW w:w="2364" w:type="dxa"/>
          </w:tcPr>
          <w:p w14:paraId="2A4FDE46" w14:textId="042C2FFE" w:rsidR="00612563" w:rsidRPr="007863C7" w:rsidRDefault="007863C7" w:rsidP="00612563">
            <w:pPr>
              <w:pStyle w:val="BodyText"/>
              <w:spacing w:before="1" w:line="273" w:lineRule="auto"/>
              <w:ind w:right="101"/>
              <w:jc w:val="center"/>
              <w:rPr>
                <w:sz w:val="20"/>
                <w:szCs w:val="20"/>
              </w:rPr>
            </w:pPr>
            <w:r w:rsidRPr="007863C7">
              <w:rPr>
                <w:sz w:val="20"/>
                <w:szCs w:val="20"/>
              </w:rPr>
              <w:t>0.99</w:t>
            </w:r>
          </w:p>
        </w:tc>
        <w:tc>
          <w:tcPr>
            <w:tcW w:w="2364" w:type="dxa"/>
          </w:tcPr>
          <w:p w14:paraId="550EF626" w14:textId="2E39C4D8" w:rsidR="00612563" w:rsidRPr="007863C7" w:rsidRDefault="007863C7" w:rsidP="00612563">
            <w:pPr>
              <w:pStyle w:val="BodyText"/>
              <w:spacing w:before="1" w:line="273" w:lineRule="auto"/>
              <w:ind w:right="101"/>
              <w:jc w:val="center"/>
              <w:rPr>
                <w:sz w:val="20"/>
                <w:szCs w:val="20"/>
              </w:rPr>
            </w:pPr>
            <w:r w:rsidRPr="007863C7">
              <w:rPr>
                <w:sz w:val="20"/>
                <w:szCs w:val="20"/>
              </w:rPr>
              <w:t>2.03</w:t>
            </w:r>
          </w:p>
        </w:tc>
        <w:tc>
          <w:tcPr>
            <w:tcW w:w="2364" w:type="dxa"/>
          </w:tcPr>
          <w:p w14:paraId="3A05FE06" w14:textId="79415454" w:rsidR="00612563" w:rsidRPr="007863C7" w:rsidRDefault="007863C7" w:rsidP="00612563">
            <w:pPr>
              <w:pStyle w:val="BodyText"/>
              <w:spacing w:before="1" w:line="273" w:lineRule="auto"/>
              <w:ind w:right="101"/>
              <w:jc w:val="center"/>
              <w:rPr>
                <w:sz w:val="20"/>
                <w:szCs w:val="20"/>
              </w:rPr>
            </w:pPr>
            <w:r w:rsidRPr="007863C7">
              <w:rPr>
                <w:sz w:val="20"/>
                <w:szCs w:val="20"/>
              </w:rPr>
              <w:t>1.38</w:t>
            </w:r>
          </w:p>
        </w:tc>
      </w:tr>
    </w:tbl>
    <w:p w14:paraId="7788C457" w14:textId="77777777" w:rsidR="00612563" w:rsidRPr="00612563" w:rsidRDefault="00612563" w:rsidP="002B51F3">
      <w:pPr>
        <w:pStyle w:val="BodyText"/>
        <w:spacing w:before="1" w:line="273" w:lineRule="auto"/>
        <w:ind w:left="101" w:right="101"/>
        <w:rPr>
          <w:b/>
        </w:rPr>
      </w:pPr>
    </w:p>
    <w:p w14:paraId="54E1473F" w14:textId="57175B37" w:rsidR="00612563" w:rsidRPr="007863C7" w:rsidRDefault="00FD6103" w:rsidP="002B51F3">
      <w:pPr>
        <w:pStyle w:val="BodyText"/>
        <w:spacing w:before="1" w:line="273" w:lineRule="auto"/>
        <w:ind w:left="101" w:right="101"/>
        <w:rPr>
          <w:i/>
          <w:sz w:val="20"/>
          <w:szCs w:val="20"/>
        </w:rPr>
      </w:pPr>
      <w:r>
        <w:rPr>
          <w:i/>
          <w:sz w:val="20"/>
          <w:szCs w:val="20"/>
        </w:rPr>
        <w:t>Tab. 1: P</w:t>
      </w:r>
      <w:r w:rsidR="007863C7" w:rsidRPr="007863C7">
        <w:rPr>
          <w:i/>
          <w:sz w:val="20"/>
          <w:szCs w:val="20"/>
        </w:rPr>
        <w:t>erformances of machine learning algorithms (Model Name) based on squared R (R</w:t>
      </w:r>
      <w:r w:rsidR="007863C7" w:rsidRPr="007863C7">
        <w:rPr>
          <w:i/>
          <w:sz w:val="20"/>
          <w:szCs w:val="20"/>
          <w:vertAlign w:val="superscript"/>
        </w:rPr>
        <w:t>2</w:t>
      </w:r>
      <w:r w:rsidR="007863C7" w:rsidRPr="007863C7">
        <w:rPr>
          <w:i/>
          <w:sz w:val="20"/>
          <w:szCs w:val="20"/>
        </w:rPr>
        <w:t>), root mean square error (RMSE), and main absolute error (MAE). Those key performance indicators are calculated by comparing the algorithm C</w:t>
      </w:r>
      <w:r w:rsidR="007863C7" w:rsidRPr="007863C7">
        <w:rPr>
          <w:i/>
          <w:sz w:val="20"/>
          <w:szCs w:val="20"/>
          <w:vertAlign w:val="subscript"/>
        </w:rPr>
        <w:t>ant</w:t>
      </w:r>
      <w:r w:rsidR="007863C7" w:rsidRPr="007863C7">
        <w:rPr>
          <w:i/>
          <w:sz w:val="20"/>
          <w:szCs w:val="20"/>
        </w:rPr>
        <w:t xml:space="preserve"> predictions with the GLODAPv2 reference estimate.</w:t>
      </w:r>
    </w:p>
    <w:p w14:paraId="61772FA6" w14:textId="77777777" w:rsidR="00612563" w:rsidRDefault="00612563" w:rsidP="002B51F3">
      <w:pPr>
        <w:pStyle w:val="BodyText"/>
        <w:spacing w:before="1" w:line="273" w:lineRule="auto"/>
        <w:ind w:left="101" w:right="101"/>
        <w:rPr>
          <w:b/>
          <w:sz w:val="36"/>
          <w:szCs w:val="36"/>
        </w:rPr>
      </w:pPr>
    </w:p>
    <w:p w14:paraId="5A4D0DC1" w14:textId="0A3F9832" w:rsidR="007863C7" w:rsidRPr="00853CB1" w:rsidRDefault="00853CB1" w:rsidP="002B51F3">
      <w:pPr>
        <w:pStyle w:val="BodyText"/>
        <w:spacing w:before="1" w:line="273" w:lineRule="auto"/>
        <w:ind w:left="101" w:right="101"/>
      </w:pPr>
      <w:r>
        <w:t xml:space="preserve">Having defined and </w:t>
      </w:r>
      <w:r w:rsidR="00FD6103">
        <w:t>explored the model baseline versus</w:t>
      </w:r>
      <w:r>
        <w:t xml:space="preserve"> the benchmark in the previous paragraph, I a</w:t>
      </w:r>
      <w:r w:rsidR="00FD6103">
        <w:t xml:space="preserve">m now ready to train </w:t>
      </w:r>
      <w:r>
        <w:t>six additional</w:t>
      </w:r>
      <w:r w:rsidR="001E51A4">
        <w:t xml:space="preserve"> algorithms</w:t>
      </w:r>
      <w:r w:rsidR="00FD6103">
        <w:t xml:space="preserve"> and explore their performances</w:t>
      </w:r>
      <w:r w:rsidR="00DA058C">
        <w:t xml:space="preserve"> in Tab.1 and Fig.</w:t>
      </w:r>
      <w:r w:rsidR="001E51A4">
        <w:t>6.</w:t>
      </w:r>
    </w:p>
    <w:p w14:paraId="59158D0A" w14:textId="4E4EFE96" w:rsidR="007863C7" w:rsidRDefault="001967EF" w:rsidP="002B51F3">
      <w:pPr>
        <w:pStyle w:val="BodyText"/>
        <w:spacing w:before="1" w:line="273" w:lineRule="auto"/>
        <w:ind w:left="101" w:right="101"/>
        <w:rPr>
          <w:b/>
          <w:sz w:val="36"/>
          <w:szCs w:val="36"/>
        </w:rPr>
      </w:pPr>
      <w:r>
        <w:rPr>
          <w:b/>
          <w:noProof/>
          <w:sz w:val="36"/>
          <w:szCs w:val="36"/>
        </w:rPr>
        <w:drawing>
          <wp:inline distT="0" distB="0" distL="0" distR="0" wp14:anchorId="4789AC17" wp14:editId="7D6A82B2">
            <wp:extent cx="5867400" cy="3771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6.png"/>
                    <pic:cNvPicPr/>
                  </pic:nvPicPr>
                  <pic:blipFill>
                    <a:blip r:embed="rId13">
                      <a:extLst>
                        <a:ext uri="{28A0092B-C50C-407E-A947-70E740481C1C}">
                          <a14:useLocalDpi xmlns:a14="http://schemas.microsoft.com/office/drawing/2010/main" val="0"/>
                        </a:ext>
                      </a:extLst>
                    </a:blip>
                    <a:stretch>
                      <a:fillRect/>
                    </a:stretch>
                  </pic:blipFill>
                  <pic:spPr>
                    <a:xfrm>
                      <a:off x="0" y="0"/>
                      <a:ext cx="5867400" cy="3771900"/>
                    </a:xfrm>
                    <a:prstGeom prst="rect">
                      <a:avLst/>
                    </a:prstGeom>
                  </pic:spPr>
                </pic:pic>
              </a:graphicData>
            </a:graphic>
          </wp:inline>
        </w:drawing>
      </w:r>
    </w:p>
    <w:p w14:paraId="4FBEA63A" w14:textId="4607FAC3" w:rsidR="007863C7" w:rsidRDefault="007863C7" w:rsidP="007863C7">
      <w:pPr>
        <w:spacing w:before="1" w:line="264" w:lineRule="auto"/>
        <w:ind w:left="101" w:right="103"/>
        <w:rPr>
          <w:i/>
          <w:sz w:val="20"/>
        </w:rPr>
      </w:pPr>
      <w:r>
        <w:rPr>
          <w:i/>
          <w:sz w:val="20"/>
        </w:rPr>
        <w:t xml:space="preserve">Fig. </w:t>
      </w:r>
      <w:r w:rsidR="00C577D4">
        <w:rPr>
          <w:i/>
          <w:sz w:val="20"/>
        </w:rPr>
        <w:t>6</w:t>
      </w:r>
      <w:r>
        <w:rPr>
          <w:sz w:val="20"/>
        </w:rPr>
        <w:t xml:space="preserve">: </w:t>
      </w:r>
      <w:r>
        <w:rPr>
          <w:i/>
          <w:sz w:val="20"/>
        </w:rPr>
        <w:t xml:space="preserve">Scatter plots of anthropogenic carbon predictions versus </w:t>
      </w:r>
      <w:r w:rsidR="001D0438">
        <w:rPr>
          <w:i/>
          <w:sz w:val="20"/>
        </w:rPr>
        <w:t xml:space="preserve">anthropogenic carbon measurements. Data are quantified for the GLODAPv2 climatology by using seven </w:t>
      </w:r>
      <w:r w:rsidR="007A1448">
        <w:rPr>
          <w:i/>
          <w:sz w:val="20"/>
        </w:rPr>
        <w:t>machine-learning</w:t>
      </w:r>
      <w:r w:rsidR="001D0438">
        <w:rPr>
          <w:i/>
          <w:sz w:val="20"/>
        </w:rPr>
        <w:t xml:space="preserve"> algorithms, which are specified in the graph legend.</w:t>
      </w:r>
      <w:r w:rsidR="005336B0">
        <w:rPr>
          <w:i/>
          <w:sz w:val="20"/>
        </w:rPr>
        <w:t xml:space="preserve"> The linear regression is considered as benchmark model.</w:t>
      </w:r>
    </w:p>
    <w:p w14:paraId="346BE57F" w14:textId="77777777" w:rsidR="00612563" w:rsidRDefault="00612563" w:rsidP="002B51F3">
      <w:pPr>
        <w:pStyle w:val="BodyText"/>
        <w:spacing w:before="1" w:line="273" w:lineRule="auto"/>
        <w:ind w:left="101" w:right="101"/>
        <w:rPr>
          <w:b/>
        </w:rPr>
      </w:pPr>
    </w:p>
    <w:p w14:paraId="0493E1E6" w14:textId="664F7451" w:rsidR="001E51A4" w:rsidRDefault="001E51A4" w:rsidP="002B51F3">
      <w:pPr>
        <w:pStyle w:val="BodyText"/>
        <w:spacing w:before="1" w:line="273" w:lineRule="auto"/>
        <w:ind w:left="101" w:right="101"/>
      </w:pPr>
      <w:r>
        <w:t xml:space="preserve">Initially, I explored </w:t>
      </w:r>
      <w:r w:rsidR="003D00A6">
        <w:t>the use of alternative</w:t>
      </w:r>
      <w:r w:rsidR="00BA410E">
        <w:t>s</w:t>
      </w:r>
      <w:r w:rsidR="003D00A6">
        <w:t xml:space="preserve"> to the linear regression, such as the Lasso and Ridge approaches. Both are still relatively easy algorithms and would have been a great improvement for the benchmark </w:t>
      </w:r>
      <w:r w:rsidR="00BA410E">
        <w:t>model. However, as show in Tab.</w:t>
      </w:r>
      <w:r w:rsidR="003D00A6">
        <w:t xml:space="preserve">1, </w:t>
      </w:r>
      <w:r w:rsidR="003079C3">
        <w:t>the KPI</w:t>
      </w:r>
      <w:r w:rsidR="00F6626E">
        <w:t>s are identical between the benchmark model and the Ridge regression</w:t>
      </w:r>
      <w:r w:rsidR="0011797A">
        <w:t>, hence</w:t>
      </w:r>
      <w:r w:rsidR="00F6626E">
        <w:t xml:space="preserve"> showing no improvements.</w:t>
      </w:r>
      <w:r w:rsidR="00BA616A">
        <w:t xml:space="preserve"> The Lasso approach seems to </w:t>
      </w:r>
      <w:r w:rsidR="00F6626E">
        <w:t>better</w:t>
      </w:r>
      <w:r w:rsidR="00BA616A">
        <w:t xml:space="preserve"> perform</w:t>
      </w:r>
      <w:r w:rsidR="00F6626E">
        <w:t xml:space="preserve"> in terms of RMSE, but the R</w:t>
      </w:r>
      <w:r w:rsidR="00F6626E">
        <w:rPr>
          <w:vertAlign w:val="superscript"/>
        </w:rPr>
        <w:t>2</w:t>
      </w:r>
      <w:r w:rsidR="00F6626E">
        <w:t xml:space="preserve"> is lower than the benchmark model </w:t>
      </w:r>
      <w:r w:rsidR="00790F8E">
        <w:t xml:space="preserve">one </w:t>
      </w:r>
      <w:r w:rsidR="00F6626E">
        <w:t>and the MAE is greater, identifying a decrease in the predictions reliability.</w:t>
      </w:r>
    </w:p>
    <w:p w14:paraId="455CDFF1" w14:textId="5EFEE4F4" w:rsidR="00F6626E" w:rsidRDefault="00F6626E" w:rsidP="002B51F3">
      <w:pPr>
        <w:pStyle w:val="BodyText"/>
        <w:spacing w:before="1" w:line="273" w:lineRule="auto"/>
        <w:ind w:left="101" w:right="101"/>
      </w:pPr>
      <w:r>
        <w:t xml:space="preserve">Having analyzed the linear alternatives and found no particular improvements, I decided to explore more complex algorithms, such as the decision tree, the random forest, the neural network, and the </w:t>
      </w:r>
      <w:proofErr w:type="spellStart"/>
      <w:r>
        <w:t>lightGBM</w:t>
      </w:r>
      <w:proofErr w:type="spellEnd"/>
      <w:r>
        <w:t>. For all, I kept the same test and t</w:t>
      </w:r>
      <w:r w:rsidR="00790F8E">
        <w:t>rain data used for the linear</w:t>
      </w:r>
      <w:r>
        <w:t xml:space="preserve"> model</w:t>
      </w:r>
      <w:r w:rsidR="00790F8E">
        <w:t>s</w:t>
      </w:r>
      <w:r>
        <w:t xml:space="preserve"> in order to guarantee comparability.</w:t>
      </w:r>
    </w:p>
    <w:p w14:paraId="1359851E" w14:textId="17F0E813" w:rsidR="00F6626E" w:rsidRDefault="006E6773" w:rsidP="002B51F3">
      <w:pPr>
        <w:pStyle w:val="BodyText"/>
        <w:spacing w:before="1" w:line="273" w:lineRule="auto"/>
        <w:ind w:left="101" w:right="101"/>
      </w:pPr>
      <w:r>
        <w:t>As shown in Tab.</w:t>
      </w:r>
      <w:r w:rsidR="00F6626E">
        <w:t xml:space="preserve">1, the random forest </w:t>
      </w:r>
      <w:r>
        <w:t>returns the lowest</w:t>
      </w:r>
      <w:r w:rsidR="00F6626E">
        <w:t xml:space="preserve"> RMSE and MAE, being then the most promising among th</w:t>
      </w:r>
      <w:r w:rsidR="002D2D0B">
        <w:t>e studied algorithms. T</w:t>
      </w:r>
      <w:r w:rsidR="00F6626E">
        <w:t xml:space="preserve">hose values are comparable with the </w:t>
      </w:r>
      <w:proofErr w:type="spellStart"/>
      <w:r w:rsidR="00F6626E">
        <w:t>LightGBM</w:t>
      </w:r>
      <w:proofErr w:type="spellEnd"/>
      <w:r w:rsidR="00F6626E">
        <w:t xml:space="preserve"> results, which however better performs in term of memory usage and speed. As a result, I will consider the Random Forest and the </w:t>
      </w:r>
      <w:proofErr w:type="spellStart"/>
      <w:r w:rsidR="00F6626E">
        <w:t>LightGBM</w:t>
      </w:r>
      <w:proofErr w:type="spellEnd"/>
      <w:r w:rsidR="00F6626E">
        <w:t xml:space="preserve"> as the best algorithms for our analysis.</w:t>
      </w:r>
    </w:p>
    <w:p w14:paraId="6BD77509" w14:textId="38D68896" w:rsidR="00D55674" w:rsidRDefault="002D2D0B" w:rsidP="002B51F3">
      <w:pPr>
        <w:pStyle w:val="BodyText"/>
        <w:spacing w:before="1" w:line="273" w:lineRule="auto"/>
        <w:ind w:left="101" w:right="101"/>
      </w:pPr>
      <w:r>
        <w:t>A similar conclusion can be drawn from Fig.</w:t>
      </w:r>
      <w:r w:rsidR="005E74FD">
        <w:t xml:space="preserve">6 where </w:t>
      </w:r>
      <w:r w:rsidR="00D55674">
        <w:t>the Rando</w:t>
      </w:r>
      <w:r w:rsidR="005E74FD">
        <w:t xml:space="preserve">m Forest and </w:t>
      </w:r>
      <w:proofErr w:type="spellStart"/>
      <w:r w:rsidR="005E74FD">
        <w:t>LightGBM</w:t>
      </w:r>
      <w:proofErr w:type="spellEnd"/>
      <w:r w:rsidR="005E74FD">
        <w:t xml:space="preserve"> predictions</w:t>
      </w:r>
      <w:r w:rsidR="00D55674">
        <w:t xml:space="preserve"> have the strongest correlations with measurements.</w:t>
      </w:r>
    </w:p>
    <w:p w14:paraId="53C9C1B2" w14:textId="77777777" w:rsidR="00CE062B" w:rsidRPr="00F6626E" w:rsidRDefault="00CE062B" w:rsidP="002B51F3">
      <w:pPr>
        <w:pStyle w:val="BodyText"/>
        <w:spacing w:before="1" w:line="273" w:lineRule="auto"/>
        <w:ind w:left="101" w:right="101"/>
      </w:pPr>
    </w:p>
    <w:p w14:paraId="2A500C16" w14:textId="27F7188E" w:rsidR="00612563" w:rsidRDefault="002374C9" w:rsidP="002B51F3">
      <w:pPr>
        <w:pStyle w:val="BodyText"/>
        <w:spacing w:before="1" w:line="273" w:lineRule="auto"/>
        <w:ind w:left="101" w:right="101"/>
        <w:rPr>
          <w:b/>
          <w:sz w:val="36"/>
          <w:szCs w:val="36"/>
        </w:rPr>
      </w:pPr>
      <w:r>
        <w:rPr>
          <w:b/>
          <w:noProof/>
          <w:sz w:val="36"/>
          <w:szCs w:val="36"/>
        </w:rPr>
        <w:lastRenderedPageBreak/>
        <w:drawing>
          <wp:inline distT="0" distB="0" distL="0" distR="0" wp14:anchorId="4D75D095" wp14:editId="2DBFED5C">
            <wp:extent cx="5867400" cy="3771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_plot.png"/>
                    <pic:cNvPicPr/>
                  </pic:nvPicPr>
                  <pic:blipFill>
                    <a:blip r:embed="rId14">
                      <a:extLst>
                        <a:ext uri="{28A0092B-C50C-407E-A947-70E740481C1C}">
                          <a14:useLocalDpi xmlns:a14="http://schemas.microsoft.com/office/drawing/2010/main" val="0"/>
                        </a:ext>
                      </a:extLst>
                    </a:blip>
                    <a:stretch>
                      <a:fillRect/>
                    </a:stretch>
                  </pic:blipFill>
                  <pic:spPr>
                    <a:xfrm>
                      <a:off x="0" y="0"/>
                      <a:ext cx="5867400" cy="3771900"/>
                    </a:xfrm>
                    <a:prstGeom prst="rect">
                      <a:avLst/>
                    </a:prstGeom>
                  </pic:spPr>
                </pic:pic>
              </a:graphicData>
            </a:graphic>
          </wp:inline>
        </w:drawing>
      </w:r>
    </w:p>
    <w:p w14:paraId="42C824A1" w14:textId="66197AF4" w:rsidR="007A1448" w:rsidRDefault="007A1448" w:rsidP="007A1448">
      <w:pPr>
        <w:spacing w:before="1" w:line="264" w:lineRule="auto"/>
        <w:ind w:left="101" w:right="103"/>
        <w:rPr>
          <w:i/>
          <w:sz w:val="20"/>
        </w:rPr>
      </w:pPr>
      <w:r>
        <w:rPr>
          <w:i/>
          <w:sz w:val="20"/>
        </w:rPr>
        <w:t xml:space="preserve">Fig. </w:t>
      </w:r>
      <w:r w:rsidR="00C577D4">
        <w:rPr>
          <w:i/>
          <w:sz w:val="20"/>
        </w:rPr>
        <w:t>7</w:t>
      </w:r>
      <w:r>
        <w:rPr>
          <w:sz w:val="20"/>
        </w:rPr>
        <w:t xml:space="preserve">: </w:t>
      </w:r>
      <w:r>
        <w:rPr>
          <w:i/>
          <w:sz w:val="20"/>
        </w:rPr>
        <w:t>Density distributions of differences</w:t>
      </w:r>
      <w:r w:rsidR="00E621AD">
        <w:rPr>
          <w:i/>
          <w:sz w:val="20"/>
        </w:rPr>
        <w:t xml:space="preserve"> (errors)</w:t>
      </w:r>
      <w:r>
        <w:rPr>
          <w:i/>
          <w:sz w:val="20"/>
        </w:rPr>
        <w:t xml:space="preserve"> between predicted and measured anthropogenic carbon. Data </w:t>
      </w:r>
      <w:r w:rsidR="007A4B60">
        <w:rPr>
          <w:i/>
          <w:sz w:val="20"/>
        </w:rPr>
        <w:t xml:space="preserve">are </w:t>
      </w:r>
      <w:r>
        <w:rPr>
          <w:i/>
          <w:sz w:val="20"/>
        </w:rPr>
        <w:t>taken from the GLODAPv2 climatology for the year</w:t>
      </w:r>
      <w:r w:rsidR="002374C9">
        <w:rPr>
          <w:i/>
          <w:sz w:val="20"/>
        </w:rPr>
        <w:t xml:space="preserve"> 2006 and estimated with </w:t>
      </w:r>
      <w:r w:rsidR="00E621AD">
        <w:rPr>
          <w:i/>
          <w:sz w:val="20"/>
        </w:rPr>
        <w:t xml:space="preserve">the </w:t>
      </w:r>
      <w:proofErr w:type="spellStart"/>
      <w:r w:rsidR="00E621AD">
        <w:rPr>
          <w:i/>
          <w:sz w:val="20"/>
        </w:rPr>
        <w:t>LightGBM</w:t>
      </w:r>
      <w:proofErr w:type="spellEnd"/>
      <w:r w:rsidR="00E621AD">
        <w:rPr>
          <w:i/>
          <w:sz w:val="20"/>
        </w:rPr>
        <w:t xml:space="preserve">, </w:t>
      </w:r>
      <w:r w:rsidR="002374C9">
        <w:rPr>
          <w:i/>
          <w:sz w:val="20"/>
        </w:rPr>
        <w:t>neural network MLP,</w:t>
      </w:r>
      <w:r w:rsidR="00E621AD">
        <w:rPr>
          <w:i/>
          <w:sz w:val="20"/>
        </w:rPr>
        <w:t xml:space="preserve"> </w:t>
      </w:r>
      <w:r w:rsidR="007A4B60">
        <w:rPr>
          <w:i/>
          <w:sz w:val="20"/>
        </w:rPr>
        <w:t>random forest</w:t>
      </w:r>
      <w:r w:rsidR="00E621AD">
        <w:rPr>
          <w:i/>
          <w:sz w:val="20"/>
        </w:rPr>
        <w:t xml:space="preserve">, and </w:t>
      </w:r>
      <w:r w:rsidR="002374C9">
        <w:rPr>
          <w:i/>
          <w:sz w:val="20"/>
        </w:rPr>
        <w:t>TTD models</w:t>
      </w:r>
      <w:r w:rsidR="007A4B60">
        <w:rPr>
          <w:i/>
          <w:sz w:val="20"/>
        </w:rPr>
        <w:t>.</w:t>
      </w:r>
    </w:p>
    <w:p w14:paraId="47D86FB3" w14:textId="77777777" w:rsidR="00612563" w:rsidRDefault="00612563" w:rsidP="002B51F3">
      <w:pPr>
        <w:pStyle w:val="Heading1"/>
        <w:spacing w:before="69"/>
        <w:ind w:left="0"/>
        <w:jc w:val="left"/>
        <w:rPr>
          <w:sz w:val="24"/>
          <w:szCs w:val="24"/>
        </w:rPr>
      </w:pPr>
    </w:p>
    <w:p w14:paraId="120EBFFF" w14:textId="225C5D25" w:rsidR="00CE062B" w:rsidRPr="003038A0" w:rsidRDefault="003038A0" w:rsidP="002B51F3">
      <w:pPr>
        <w:pStyle w:val="Heading1"/>
        <w:spacing w:before="69"/>
        <w:ind w:left="0"/>
        <w:jc w:val="left"/>
        <w:rPr>
          <w:b w:val="0"/>
          <w:sz w:val="24"/>
          <w:szCs w:val="24"/>
        </w:rPr>
      </w:pPr>
      <w:r>
        <w:rPr>
          <w:b w:val="0"/>
          <w:sz w:val="24"/>
          <w:szCs w:val="24"/>
        </w:rPr>
        <w:t>Having identified the random forest and</w:t>
      </w:r>
      <w:r w:rsidR="0052285F">
        <w:rPr>
          <w:b w:val="0"/>
          <w:sz w:val="24"/>
          <w:szCs w:val="24"/>
        </w:rPr>
        <w:t xml:space="preserve"> </w:t>
      </w:r>
      <w:proofErr w:type="spellStart"/>
      <w:r w:rsidR="0052285F">
        <w:rPr>
          <w:b w:val="0"/>
          <w:sz w:val="24"/>
          <w:szCs w:val="24"/>
        </w:rPr>
        <w:t>lightGBM</w:t>
      </w:r>
      <w:proofErr w:type="spellEnd"/>
      <w:r w:rsidR="0052285F">
        <w:rPr>
          <w:b w:val="0"/>
          <w:sz w:val="24"/>
          <w:szCs w:val="24"/>
        </w:rPr>
        <w:t xml:space="preserve"> algorithms as the most performing, their </w:t>
      </w:r>
      <w:r>
        <w:rPr>
          <w:b w:val="0"/>
          <w:sz w:val="24"/>
          <w:szCs w:val="24"/>
        </w:rPr>
        <w:t>errors are calculated as differences with the reference an</w:t>
      </w:r>
      <w:r w:rsidR="0052285F">
        <w:rPr>
          <w:b w:val="0"/>
          <w:sz w:val="24"/>
          <w:szCs w:val="24"/>
        </w:rPr>
        <w:t xml:space="preserve">d compared with the TTD and </w:t>
      </w:r>
      <w:r>
        <w:rPr>
          <w:b w:val="0"/>
          <w:sz w:val="24"/>
          <w:szCs w:val="24"/>
        </w:rPr>
        <w:t xml:space="preserve">neural network </w:t>
      </w:r>
      <w:r w:rsidR="0052285F">
        <w:rPr>
          <w:b w:val="0"/>
          <w:sz w:val="24"/>
          <w:szCs w:val="24"/>
        </w:rPr>
        <w:t>(third most performing) in Fig.</w:t>
      </w:r>
      <w:r w:rsidR="006371C8">
        <w:rPr>
          <w:b w:val="0"/>
          <w:sz w:val="24"/>
          <w:szCs w:val="24"/>
        </w:rPr>
        <w:t>7. T</w:t>
      </w:r>
      <w:r>
        <w:rPr>
          <w:b w:val="0"/>
          <w:sz w:val="24"/>
          <w:szCs w:val="24"/>
        </w:rPr>
        <w:t>he neural network errors are spread across the entire range with a p</w:t>
      </w:r>
      <w:r w:rsidR="006371C8">
        <w:rPr>
          <w:b w:val="0"/>
          <w:sz w:val="24"/>
          <w:szCs w:val="24"/>
        </w:rPr>
        <w:t>eak at -3, showing a consistent</w:t>
      </w:r>
      <w:r>
        <w:rPr>
          <w:b w:val="0"/>
          <w:sz w:val="24"/>
          <w:szCs w:val="24"/>
        </w:rPr>
        <w:t xml:space="preserve"> underestimation of the real C</w:t>
      </w:r>
      <w:r w:rsidRPr="003038A0">
        <w:rPr>
          <w:b w:val="0"/>
          <w:sz w:val="24"/>
          <w:szCs w:val="24"/>
          <w:vertAlign w:val="subscript"/>
        </w:rPr>
        <w:t>ant</w:t>
      </w:r>
      <w:r>
        <w:rPr>
          <w:b w:val="0"/>
          <w:sz w:val="24"/>
          <w:szCs w:val="24"/>
        </w:rPr>
        <w:t xml:space="preserve">. The neural network performance would have improved if additional data would have provided to the model in the training stage, but I have been limited by the laptop performances. The random forest and the </w:t>
      </w:r>
      <w:proofErr w:type="spellStart"/>
      <w:r>
        <w:rPr>
          <w:b w:val="0"/>
          <w:sz w:val="24"/>
          <w:szCs w:val="24"/>
        </w:rPr>
        <w:t>lightGBM</w:t>
      </w:r>
      <w:proofErr w:type="spellEnd"/>
      <w:r>
        <w:rPr>
          <w:b w:val="0"/>
          <w:sz w:val="24"/>
          <w:szCs w:val="24"/>
        </w:rPr>
        <w:t xml:space="preserve"> results are comparable and included between -10 and 10, which is approximately an uncertainty of ±13%. This is clearly greater than the TTD error, which is overall included between -3 and </w:t>
      </w:r>
      <w:r w:rsidR="00825F41">
        <w:rPr>
          <w:b w:val="0"/>
          <w:sz w:val="24"/>
          <w:szCs w:val="24"/>
        </w:rPr>
        <w:t>+3 or ±4%. However, the TTD method</w:t>
      </w:r>
      <w:r>
        <w:rPr>
          <w:b w:val="0"/>
          <w:sz w:val="24"/>
          <w:szCs w:val="24"/>
        </w:rPr>
        <w:t xml:space="preserve"> relies on a series of complex assumptions that could decrease its applicability, as discu</w:t>
      </w:r>
      <w:r w:rsidR="00245EB3">
        <w:rPr>
          <w:b w:val="0"/>
          <w:sz w:val="24"/>
          <w:szCs w:val="24"/>
        </w:rPr>
        <w:t>ssed in the conclusion section</w:t>
      </w:r>
      <w:r>
        <w:rPr>
          <w:b w:val="0"/>
          <w:sz w:val="24"/>
          <w:szCs w:val="24"/>
        </w:rPr>
        <w:t>.</w:t>
      </w:r>
    </w:p>
    <w:p w14:paraId="26ACA23B" w14:textId="77777777" w:rsidR="00612563" w:rsidRDefault="00612563" w:rsidP="002B51F3">
      <w:pPr>
        <w:pStyle w:val="Heading1"/>
        <w:spacing w:before="69"/>
        <w:ind w:left="0"/>
        <w:jc w:val="left"/>
      </w:pPr>
    </w:p>
    <w:p w14:paraId="47156C7B" w14:textId="1522379C" w:rsidR="0055220C" w:rsidRDefault="0079280B">
      <w:pPr>
        <w:pStyle w:val="Heading1"/>
        <w:spacing w:before="69"/>
        <w:jc w:val="left"/>
      </w:pPr>
      <w:r>
        <w:t>Conclusions</w:t>
      </w:r>
      <w:r w:rsidR="003038A0">
        <w:t xml:space="preserve"> and next steps</w:t>
      </w:r>
    </w:p>
    <w:p w14:paraId="1BEF8EB7" w14:textId="77777777" w:rsidR="0055220C" w:rsidRPr="003B07EE" w:rsidRDefault="0055220C">
      <w:pPr>
        <w:pStyle w:val="BodyText"/>
        <w:spacing w:before="1"/>
        <w:rPr>
          <w:b/>
          <w:sz w:val="36"/>
          <w:szCs w:val="36"/>
        </w:rPr>
      </w:pPr>
    </w:p>
    <w:p w14:paraId="677AB3FB" w14:textId="5624877D" w:rsidR="003B07EE" w:rsidRDefault="003B07EE">
      <w:pPr>
        <w:pStyle w:val="BodyText"/>
        <w:spacing w:before="1"/>
      </w:pPr>
      <w:r>
        <w:t>An initial exploration of the machine learning possibilities to predict C</w:t>
      </w:r>
      <w:r>
        <w:rPr>
          <w:vertAlign w:val="subscript"/>
        </w:rPr>
        <w:t>ant</w:t>
      </w:r>
      <w:r>
        <w:t xml:space="preserve"> is given here. As notice in the analysis sec</w:t>
      </w:r>
      <w:r w:rsidR="00E61B16">
        <w:t xml:space="preserve">tion, the TTD might seem </w:t>
      </w:r>
      <w:r>
        <w:t xml:space="preserve">performing </w:t>
      </w:r>
      <w:r w:rsidR="00E61B16">
        <w:t>better than any</w:t>
      </w:r>
      <w:r>
        <w:t xml:space="preserve"> machine learning algorithms, but </w:t>
      </w:r>
      <w:r w:rsidR="006E05F2">
        <w:t>it includes some considerations that might revert the initial result.</w:t>
      </w:r>
    </w:p>
    <w:p w14:paraId="08500A37" w14:textId="77777777" w:rsidR="003B07EE" w:rsidRDefault="003B07EE">
      <w:pPr>
        <w:pStyle w:val="BodyText"/>
        <w:spacing w:before="1"/>
      </w:pPr>
    </w:p>
    <w:p w14:paraId="5B990089" w14:textId="7ECDA826" w:rsidR="003B07EE" w:rsidRDefault="00570CD7" w:rsidP="00570CD7">
      <w:pPr>
        <w:pStyle w:val="BodyText"/>
        <w:spacing w:before="1"/>
      </w:pPr>
      <w:r>
        <w:t>(1) The TTD approach is based on a series of challenging assumptions, such as the absence of biological influence on the oceanic C</w:t>
      </w:r>
      <w:r>
        <w:rPr>
          <w:vertAlign w:val="subscript"/>
        </w:rPr>
        <w:t>ant</w:t>
      </w:r>
      <w:r>
        <w:t>, while the machine learning algorithms have been left with default values on purpose to avoid overfitting.</w:t>
      </w:r>
    </w:p>
    <w:p w14:paraId="77BF3852" w14:textId="77777777" w:rsidR="00570CD7" w:rsidRDefault="00570CD7" w:rsidP="00570CD7">
      <w:pPr>
        <w:pStyle w:val="BodyText"/>
        <w:spacing w:before="1"/>
      </w:pPr>
    </w:p>
    <w:p w14:paraId="526EA3B2" w14:textId="77777777" w:rsidR="006E05F2" w:rsidRDefault="006E05F2" w:rsidP="00570CD7">
      <w:pPr>
        <w:pStyle w:val="BodyText"/>
        <w:spacing w:before="1"/>
      </w:pPr>
    </w:p>
    <w:p w14:paraId="798AC2F8" w14:textId="77777777" w:rsidR="006E05F2" w:rsidRDefault="006E05F2" w:rsidP="00570CD7">
      <w:pPr>
        <w:pStyle w:val="BodyText"/>
        <w:spacing w:before="1"/>
      </w:pPr>
    </w:p>
    <w:p w14:paraId="5B66A618" w14:textId="77777777" w:rsidR="006E05F2" w:rsidRDefault="006E05F2" w:rsidP="00570CD7">
      <w:pPr>
        <w:pStyle w:val="BodyText"/>
        <w:spacing w:before="1"/>
      </w:pPr>
    </w:p>
    <w:p w14:paraId="0BFEC641" w14:textId="77777777" w:rsidR="006E05F2" w:rsidRDefault="006E05F2" w:rsidP="00570CD7">
      <w:pPr>
        <w:pStyle w:val="BodyText"/>
        <w:spacing w:before="1"/>
      </w:pPr>
    </w:p>
    <w:p w14:paraId="75A63717" w14:textId="74306EEA" w:rsidR="00570CD7" w:rsidRDefault="00570CD7" w:rsidP="00570CD7">
      <w:pPr>
        <w:pStyle w:val="BodyText"/>
        <w:spacing w:before="1"/>
      </w:pPr>
      <w:r>
        <w:lastRenderedPageBreak/>
        <w:t xml:space="preserve">(2) The studied machine </w:t>
      </w:r>
      <w:r w:rsidR="006E05F2">
        <w:t>learning algorithms showed</w:t>
      </w:r>
      <w:r>
        <w:t xml:space="preserve"> evidences of improvements when additional data are provided, esp</w:t>
      </w:r>
      <w:r w:rsidR="006E05F2">
        <w:t>ecially the neural network, random forest, and</w:t>
      </w:r>
      <w:r>
        <w:t xml:space="preserve"> </w:t>
      </w:r>
      <w:proofErr w:type="spellStart"/>
      <w:r>
        <w:t>lightGBM</w:t>
      </w:r>
      <w:proofErr w:type="spellEnd"/>
      <w:r>
        <w:t>.</w:t>
      </w:r>
      <w:r w:rsidR="006E05F2">
        <w:t xml:space="preserve"> In this analysis, I have trained the models </w:t>
      </w:r>
      <w:r>
        <w:t>on a reduced fraction (10%) of t</w:t>
      </w:r>
      <w:r w:rsidR="006E05F2">
        <w:t>he available dataset. M</w:t>
      </w:r>
      <w:r>
        <w:t>ore data can</w:t>
      </w:r>
      <w:r w:rsidR="00D33321">
        <w:t xml:space="preserve"> be easily </w:t>
      </w:r>
      <w:r>
        <w:t>provided with a more powerful machine.</w:t>
      </w:r>
    </w:p>
    <w:p w14:paraId="3475F4F3" w14:textId="77777777" w:rsidR="00570CD7" w:rsidRDefault="00570CD7" w:rsidP="00570CD7">
      <w:pPr>
        <w:pStyle w:val="BodyText"/>
        <w:spacing w:before="1"/>
      </w:pPr>
    </w:p>
    <w:p w14:paraId="1B48D5AC" w14:textId="5A683134" w:rsidR="00570CD7" w:rsidRDefault="00BF3E36" w:rsidP="00BF3E36">
      <w:pPr>
        <w:pStyle w:val="BodyText"/>
        <w:spacing w:before="1"/>
      </w:pPr>
      <w:r>
        <w:t xml:space="preserve">(3) </w:t>
      </w:r>
      <w:r w:rsidR="00452D4C">
        <w:t>The analyse</w:t>
      </w:r>
      <w:r w:rsidR="00280190">
        <w:t xml:space="preserve">s conducted here are based on climatological data, including no </w:t>
      </w:r>
      <w:r w:rsidR="00452D4C">
        <w:t>variation</w:t>
      </w:r>
      <w:r w:rsidR="00280190">
        <w:t>s</w:t>
      </w:r>
      <w:r w:rsidR="00452D4C">
        <w:t xml:space="preserve"> over time. </w:t>
      </w:r>
      <w:r w:rsidR="00280190">
        <w:t>T</w:t>
      </w:r>
      <w:r>
        <w:t>his challenge can be overcome</w:t>
      </w:r>
      <w:r w:rsidR="00280190">
        <w:t xml:space="preserve"> by using the GLODAPv2 cruise data</w:t>
      </w:r>
      <w:r>
        <w:t xml:space="preserve"> and changes over time can be explored. It is highly likely to presume that CFCs will be available only for a sm</w:t>
      </w:r>
      <w:r w:rsidR="00F323E8">
        <w:t xml:space="preserve">all amount of cruises </w:t>
      </w:r>
      <w:r>
        <w:t>and so the TTD would perform on a limited fraction of t</w:t>
      </w:r>
      <w:r w:rsidR="00F323E8">
        <w:t>he available dataset. T</w:t>
      </w:r>
      <w:r>
        <w:t>he machine learning algorithms developed in this analysis would perform on a larger dataset providing a better description of the oceanic C</w:t>
      </w:r>
      <w:r>
        <w:rPr>
          <w:vertAlign w:val="subscript"/>
        </w:rPr>
        <w:t>ant</w:t>
      </w:r>
      <w:r>
        <w:t>.</w:t>
      </w:r>
    </w:p>
    <w:p w14:paraId="7E8F559A" w14:textId="77777777" w:rsidR="00BF3E36" w:rsidRDefault="00BF3E36" w:rsidP="00BF3E36">
      <w:pPr>
        <w:pStyle w:val="BodyText"/>
        <w:spacing w:before="1"/>
      </w:pPr>
    </w:p>
    <w:p w14:paraId="1348F273" w14:textId="525D1125" w:rsidR="00BF3E36" w:rsidRPr="00BF3E36" w:rsidRDefault="00F323E8" w:rsidP="00BF3E36">
      <w:pPr>
        <w:pStyle w:val="BodyText"/>
        <w:spacing w:before="1"/>
      </w:pPr>
      <w:r>
        <w:t>As a future step</w:t>
      </w:r>
      <w:r w:rsidR="00BF3E36">
        <w:t>, I would suggest the use of the atmospheric CO</w:t>
      </w:r>
      <w:r w:rsidR="00BF3E36">
        <w:rPr>
          <w:vertAlign w:val="subscript"/>
        </w:rPr>
        <w:t>2</w:t>
      </w:r>
      <w:r w:rsidR="00BF3E36">
        <w:t xml:space="preserve"> measurements</w:t>
      </w:r>
      <w:r w:rsidR="001E3508">
        <w:t xml:space="preserve"> freely provided </w:t>
      </w:r>
      <w:r w:rsidR="00BF3E36">
        <w:t>by the US national oceanic and atmospheric administration (NOAA) to test the performances over time</w:t>
      </w:r>
      <w:r w:rsidR="00C879E8">
        <w:t xml:space="preserve"> of the machine learning models based on the cruise data.</w:t>
      </w:r>
      <w:r w:rsidR="00BF3E36">
        <w:t xml:space="preserve"> </w:t>
      </w:r>
    </w:p>
    <w:p w14:paraId="73859A3B" w14:textId="77777777" w:rsidR="003B07EE" w:rsidRDefault="003B07EE">
      <w:pPr>
        <w:pStyle w:val="BodyText"/>
        <w:spacing w:before="1"/>
        <w:rPr>
          <w:b/>
          <w:sz w:val="35"/>
        </w:rPr>
      </w:pPr>
    </w:p>
    <w:p w14:paraId="02785003" w14:textId="77777777" w:rsidR="00A03709" w:rsidRDefault="00A03709">
      <w:pPr>
        <w:pStyle w:val="BodyText"/>
        <w:spacing w:before="1"/>
        <w:rPr>
          <w:b/>
          <w:sz w:val="35"/>
        </w:rPr>
      </w:pPr>
    </w:p>
    <w:p w14:paraId="5CA23E95" w14:textId="77777777" w:rsidR="00A03709" w:rsidRDefault="00A03709">
      <w:pPr>
        <w:pStyle w:val="BodyText"/>
        <w:spacing w:before="1"/>
        <w:rPr>
          <w:b/>
          <w:sz w:val="35"/>
        </w:rPr>
      </w:pPr>
    </w:p>
    <w:p w14:paraId="5747BC83" w14:textId="77777777" w:rsidR="00A03709" w:rsidRDefault="00A03709">
      <w:pPr>
        <w:pStyle w:val="BodyText"/>
        <w:spacing w:before="1"/>
        <w:rPr>
          <w:b/>
          <w:sz w:val="35"/>
        </w:rPr>
      </w:pPr>
    </w:p>
    <w:p w14:paraId="7617CB06" w14:textId="77777777" w:rsidR="00A03709" w:rsidRDefault="00A03709">
      <w:pPr>
        <w:pStyle w:val="BodyText"/>
        <w:spacing w:before="1"/>
        <w:rPr>
          <w:b/>
          <w:sz w:val="35"/>
        </w:rPr>
      </w:pPr>
    </w:p>
    <w:p w14:paraId="09D4926E" w14:textId="77777777" w:rsidR="00A03709" w:rsidRDefault="00A03709">
      <w:pPr>
        <w:pStyle w:val="BodyText"/>
        <w:spacing w:before="1"/>
        <w:rPr>
          <w:b/>
          <w:sz w:val="35"/>
        </w:rPr>
      </w:pPr>
    </w:p>
    <w:p w14:paraId="3B023325" w14:textId="77777777" w:rsidR="00A03709" w:rsidRDefault="00A03709">
      <w:pPr>
        <w:pStyle w:val="BodyText"/>
        <w:spacing w:before="1"/>
        <w:rPr>
          <w:b/>
          <w:sz w:val="35"/>
        </w:rPr>
      </w:pPr>
    </w:p>
    <w:p w14:paraId="5E70DA39" w14:textId="77777777" w:rsidR="00A03709" w:rsidRDefault="00A03709">
      <w:pPr>
        <w:pStyle w:val="BodyText"/>
        <w:spacing w:before="1"/>
        <w:rPr>
          <w:b/>
          <w:sz w:val="35"/>
        </w:rPr>
      </w:pPr>
    </w:p>
    <w:p w14:paraId="2A7096FF" w14:textId="77777777" w:rsidR="00A03709" w:rsidRDefault="00A03709">
      <w:pPr>
        <w:pStyle w:val="BodyText"/>
        <w:spacing w:before="1"/>
        <w:rPr>
          <w:b/>
          <w:sz w:val="35"/>
        </w:rPr>
      </w:pPr>
    </w:p>
    <w:p w14:paraId="3C5D89C1" w14:textId="77777777" w:rsidR="00A03709" w:rsidRDefault="00A03709">
      <w:pPr>
        <w:pStyle w:val="BodyText"/>
        <w:spacing w:before="1"/>
        <w:rPr>
          <w:b/>
          <w:sz w:val="35"/>
        </w:rPr>
      </w:pPr>
    </w:p>
    <w:p w14:paraId="6B7A9823" w14:textId="77777777" w:rsidR="00A03709" w:rsidRDefault="00A03709">
      <w:pPr>
        <w:pStyle w:val="BodyText"/>
        <w:spacing w:before="1"/>
        <w:rPr>
          <w:b/>
          <w:sz w:val="35"/>
        </w:rPr>
      </w:pPr>
    </w:p>
    <w:p w14:paraId="592B6D8D" w14:textId="77777777" w:rsidR="00A03709" w:rsidRDefault="00A03709">
      <w:pPr>
        <w:pStyle w:val="BodyText"/>
        <w:spacing w:before="1"/>
        <w:rPr>
          <w:b/>
          <w:sz w:val="35"/>
        </w:rPr>
      </w:pPr>
    </w:p>
    <w:p w14:paraId="7216975B" w14:textId="77777777" w:rsidR="00A03709" w:rsidRDefault="00A03709">
      <w:pPr>
        <w:pStyle w:val="BodyText"/>
        <w:spacing w:before="1"/>
        <w:rPr>
          <w:b/>
          <w:sz w:val="35"/>
        </w:rPr>
      </w:pPr>
    </w:p>
    <w:p w14:paraId="67B975CB" w14:textId="77777777" w:rsidR="00A03709" w:rsidRDefault="00A03709">
      <w:pPr>
        <w:pStyle w:val="BodyText"/>
        <w:spacing w:before="1"/>
        <w:rPr>
          <w:b/>
          <w:sz w:val="35"/>
        </w:rPr>
      </w:pPr>
    </w:p>
    <w:p w14:paraId="50E8D0C6" w14:textId="77777777" w:rsidR="00A03709" w:rsidRDefault="00A03709">
      <w:pPr>
        <w:pStyle w:val="BodyText"/>
        <w:spacing w:before="1"/>
        <w:rPr>
          <w:b/>
          <w:sz w:val="35"/>
        </w:rPr>
      </w:pPr>
    </w:p>
    <w:p w14:paraId="0E9E2894" w14:textId="77777777" w:rsidR="00A03709" w:rsidRDefault="00A03709">
      <w:pPr>
        <w:pStyle w:val="BodyText"/>
        <w:spacing w:before="1"/>
        <w:rPr>
          <w:b/>
          <w:sz w:val="35"/>
        </w:rPr>
      </w:pPr>
    </w:p>
    <w:p w14:paraId="648777C7" w14:textId="77777777" w:rsidR="00A03709" w:rsidRDefault="00A03709">
      <w:pPr>
        <w:pStyle w:val="BodyText"/>
        <w:spacing w:before="1"/>
        <w:rPr>
          <w:b/>
          <w:sz w:val="35"/>
        </w:rPr>
      </w:pPr>
    </w:p>
    <w:p w14:paraId="3C0AE81B" w14:textId="77777777" w:rsidR="00A03709" w:rsidRDefault="00A03709">
      <w:pPr>
        <w:pStyle w:val="BodyText"/>
        <w:spacing w:before="1"/>
        <w:rPr>
          <w:b/>
          <w:sz w:val="35"/>
        </w:rPr>
      </w:pPr>
    </w:p>
    <w:p w14:paraId="09773359" w14:textId="77777777" w:rsidR="00A03709" w:rsidRDefault="00A03709">
      <w:pPr>
        <w:pStyle w:val="BodyText"/>
        <w:spacing w:before="1"/>
        <w:rPr>
          <w:b/>
          <w:sz w:val="35"/>
        </w:rPr>
      </w:pPr>
    </w:p>
    <w:p w14:paraId="3CF98126" w14:textId="77777777" w:rsidR="00A03709" w:rsidRDefault="00A03709">
      <w:pPr>
        <w:pStyle w:val="BodyText"/>
        <w:spacing w:before="1"/>
        <w:rPr>
          <w:b/>
          <w:sz w:val="35"/>
        </w:rPr>
      </w:pPr>
    </w:p>
    <w:p w14:paraId="4ADC61E6" w14:textId="77777777" w:rsidR="00A03709" w:rsidRDefault="00A03709">
      <w:pPr>
        <w:pStyle w:val="BodyText"/>
        <w:spacing w:before="1"/>
        <w:rPr>
          <w:b/>
          <w:sz w:val="35"/>
        </w:rPr>
      </w:pPr>
    </w:p>
    <w:p w14:paraId="03A49F42" w14:textId="77777777" w:rsidR="00A03709" w:rsidRDefault="00A03709">
      <w:pPr>
        <w:pStyle w:val="BodyText"/>
        <w:spacing w:before="1"/>
        <w:rPr>
          <w:b/>
          <w:sz w:val="35"/>
        </w:rPr>
      </w:pPr>
    </w:p>
    <w:p w14:paraId="5D7E4D43" w14:textId="77777777" w:rsidR="00A03709" w:rsidRDefault="00A03709">
      <w:pPr>
        <w:pStyle w:val="BodyText"/>
        <w:spacing w:before="1"/>
        <w:rPr>
          <w:b/>
          <w:sz w:val="35"/>
        </w:rPr>
      </w:pPr>
    </w:p>
    <w:p w14:paraId="5166FC93" w14:textId="77777777" w:rsidR="00A03709" w:rsidRDefault="00A03709">
      <w:pPr>
        <w:pStyle w:val="BodyText"/>
        <w:spacing w:before="1"/>
        <w:rPr>
          <w:b/>
          <w:sz w:val="35"/>
        </w:rPr>
      </w:pPr>
    </w:p>
    <w:p w14:paraId="57678D1C" w14:textId="77777777" w:rsidR="00C879E8" w:rsidRDefault="00C879E8">
      <w:pPr>
        <w:pStyle w:val="BodyText"/>
        <w:spacing w:before="1"/>
        <w:rPr>
          <w:b/>
          <w:sz w:val="35"/>
        </w:rPr>
      </w:pPr>
    </w:p>
    <w:p w14:paraId="76F46931" w14:textId="77777777" w:rsidR="00A03709" w:rsidRDefault="00A03709">
      <w:pPr>
        <w:pStyle w:val="BodyText"/>
        <w:spacing w:before="1"/>
        <w:rPr>
          <w:b/>
          <w:sz w:val="35"/>
        </w:rPr>
      </w:pPr>
    </w:p>
    <w:p w14:paraId="5B25689C" w14:textId="77777777" w:rsidR="0079280B" w:rsidRDefault="0079280B" w:rsidP="0079280B">
      <w:pPr>
        <w:pStyle w:val="Heading1"/>
        <w:spacing w:before="69"/>
        <w:jc w:val="left"/>
      </w:pPr>
      <w:r>
        <w:lastRenderedPageBreak/>
        <w:t>References</w:t>
      </w:r>
    </w:p>
    <w:p w14:paraId="0C20A34D" w14:textId="77777777" w:rsidR="0079280B" w:rsidRDefault="0079280B">
      <w:pPr>
        <w:pStyle w:val="BodyText"/>
        <w:spacing w:before="1"/>
        <w:rPr>
          <w:b/>
          <w:sz w:val="35"/>
        </w:rPr>
      </w:pPr>
    </w:p>
    <w:p w14:paraId="5042C8C3" w14:textId="77777777" w:rsidR="0055220C" w:rsidRDefault="00201D16" w:rsidP="002A743C">
      <w:pPr>
        <w:pStyle w:val="BodyText"/>
        <w:spacing w:line="276" w:lineRule="auto"/>
        <w:ind w:left="102" w:right="102"/>
        <w:jc w:val="both"/>
      </w:pPr>
      <w:r>
        <w:rPr>
          <w:vertAlign w:val="superscript"/>
        </w:rPr>
        <w:t xml:space="preserve">[1] </w:t>
      </w:r>
      <w:r>
        <w:t xml:space="preserve">Friis, K., </w:t>
      </w:r>
      <w:proofErr w:type="spellStart"/>
      <w:r>
        <w:t>Körtzinger</w:t>
      </w:r>
      <w:proofErr w:type="spellEnd"/>
      <w:r>
        <w:t xml:space="preserve">, A., </w:t>
      </w:r>
      <w:proofErr w:type="spellStart"/>
      <w:r>
        <w:t>Pätsch</w:t>
      </w:r>
      <w:proofErr w:type="spellEnd"/>
      <w:r>
        <w:t>, J., and Wallace, D.W.R.: On the temporal increase of anthropogenic CO</w:t>
      </w:r>
      <w:r>
        <w:rPr>
          <w:position w:val="-5"/>
          <w:sz w:val="14"/>
        </w:rPr>
        <w:t xml:space="preserve">2 </w:t>
      </w:r>
      <w:r>
        <w:t xml:space="preserve">in the subpolar North Atlantic, Deep Sea Res. </w:t>
      </w:r>
      <w:proofErr w:type="gramStart"/>
      <w:r>
        <w:t>I, 52, 681-698, 2005.</w:t>
      </w:r>
      <w:proofErr w:type="gramEnd"/>
    </w:p>
    <w:p w14:paraId="2D1CC937" w14:textId="77777777" w:rsidR="0055220C" w:rsidRDefault="0055220C" w:rsidP="002A743C">
      <w:pPr>
        <w:pStyle w:val="BodyText"/>
        <w:spacing w:line="276" w:lineRule="auto"/>
        <w:ind w:left="102" w:right="102"/>
        <w:rPr>
          <w:sz w:val="30"/>
        </w:rPr>
      </w:pPr>
    </w:p>
    <w:p w14:paraId="44601DCB" w14:textId="77777777" w:rsidR="0055220C" w:rsidRDefault="00201D16" w:rsidP="002A743C">
      <w:pPr>
        <w:pStyle w:val="BodyText"/>
        <w:spacing w:line="276" w:lineRule="auto"/>
        <w:ind w:left="102" w:right="102"/>
        <w:jc w:val="both"/>
      </w:pPr>
      <w:r>
        <w:rPr>
          <w:vertAlign w:val="superscript"/>
        </w:rPr>
        <w:t xml:space="preserve">[2] </w:t>
      </w:r>
      <w:r>
        <w:t>Gruber, N., Sarmiento, J.L., and Stocker, T.F.: An improved method for detecting anthropogenic CO</w:t>
      </w:r>
      <w:r>
        <w:rPr>
          <w:position w:val="-5"/>
          <w:sz w:val="14"/>
        </w:rPr>
        <w:t xml:space="preserve">2 </w:t>
      </w:r>
      <w:r>
        <w:t xml:space="preserve">in the oceans, Glob. Biogeochem. </w:t>
      </w:r>
      <w:proofErr w:type="gramStart"/>
      <w:r>
        <w:t>Cycles, 10, 809-837, 1996.</w:t>
      </w:r>
      <w:proofErr w:type="gramEnd"/>
    </w:p>
    <w:p w14:paraId="3663D448" w14:textId="77777777" w:rsidR="0055220C" w:rsidRDefault="0055220C" w:rsidP="002A743C">
      <w:pPr>
        <w:pStyle w:val="BodyText"/>
        <w:spacing w:line="276" w:lineRule="auto"/>
        <w:ind w:left="102" w:right="102"/>
        <w:rPr>
          <w:sz w:val="30"/>
        </w:rPr>
      </w:pPr>
    </w:p>
    <w:p w14:paraId="2ED39856" w14:textId="77777777" w:rsidR="0055220C" w:rsidRDefault="00201D16" w:rsidP="002A743C">
      <w:pPr>
        <w:pStyle w:val="BodyText"/>
        <w:spacing w:line="276" w:lineRule="auto"/>
        <w:ind w:left="102" w:right="102"/>
        <w:jc w:val="both"/>
      </w:pPr>
      <w:r>
        <w:rPr>
          <w:vertAlign w:val="superscript"/>
        </w:rPr>
        <w:t xml:space="preserve">[3] </w:t>
      </w:r>
      <w:r>
        <w:t xml:space="preserve">Khatiwala, S., </w:t>
      </w:r>
      <w:proofErr w:type="spellStart"/>
      <w:r>
        <w:t>Primeau</w:t>
      </w:r>
      <w:proofErr w:type="spellEnd"/>
      <w:r>
        <w:t>, F., and Hall, T.: Reconstruction of the history of anthropogenic CO</w:t>
      </w:r>
      <w:r>
        <w:rPr>
          <w:position w:val="-5"/>
          <w:sz w:val="14"/>
        </w:rPr>
        <w:t xml:space="preserve">2 </w:t>
      </w:r>
      <w:r>
        <w:t>concentrations in the ocean, Nature, 462, 346-349, 2009.</w:t>
      </w:r>
    </w:p>
    <w:p w14:paraId="0687EE57" w14:textId="77777777" w:rsidR="0055220C" w:rsidRDefault="0055220C" w:rsidP="002A743C">
      <w:pPr>
        <w:pStyle w:val="BodyText"/>
        <w:spacing w:line="276" w:lineRule="auto"/>
        <w:ind w:left="102" w:right="102"/>
        <w:rPr>
          <w:sz w:val="25"/>
        </w:rPr>
      </w:pPr>
    </w:p>
    <w:p w14:paraId="27CF43F1" w14:textId="77777777" w:rsidR="0055220C" w:rsidRDefault="00201D16" w:rsidP="002A743C">
      <w:pPr>
        <w:pStyle w:val="BodyText"/>
        <w:spacing w:line="276" w:lineRule="auto"/>
        <w:ind w:left="102" w:right="102"/>
        <w:jc w:val="both"/>
      </w:pPr>
      <w:r>
        <w:rPr>
          <w:vertAlign w:val="superscript"/>
        </w:rPr>
        <w:t xml:space="preserve">[4] </w:t>
      </w:r>
      <w:r>
        <w:t xml:space="preserve">S.K. </w:t>
      </w:r>
      <w:proofErr w:type="spellStart"/>
      <w:r>
        <w:t>Lauvset</w:t>
      </w:r>
      <w:proofErr w:type="spellEnd"/>
      <w:r>
        <w:t xml:space="preserve"> et al. A new global interior ocean mapped climatology: the 1◦ x 1◦ GLODAP version 2. Earth Syst. Sci. Data, 8, 2016. </w:t>
      </w:r>
      <w:proofErr w:type="spellStart"/>
      <w:proofErr w:type="gramStart"/>
      <w:r>
        <w:t>doi</w:t>
      </w:r>
      <w:proofErr w:type="spellEnd"/>
      <w:proofErr w:type="gramEnd"/>
      <w:r>
        <w:t>:</w:t>
      </w:r>
      <w:r>
        <w:rPr>
          <w:spacing w:val="6"/>
        </w:rPr>
        <w:t xml:space="preserve"> </w:t>
      </w:r>
      <w:r>
        <w:t>10.5194/essd-8-325-2016.</w:t>
      </w:r>
    </w:p>
    <w:p w14:paraId="556E4134" w14:textId="77777777" w:rsidR="0055220C" w:rsidRDefault="0055220C" w:rsidP="002A743C">
      <w:pPr>
        <w:pStyle w:val="BodyText"/>
        <w:spacing w:line="276" w:lineRule="auto"/>
        <w:ind w:left="102" w:right="102"/>
        <w:rPr>
          <w:sz w:val="28"/>
        </w:rPr>
      </w:pPr>
    </w:p>
    <w:p w14:paraId="01C83AC4" w14:textId="77777777" w:rsidR="0055220C" w:rsidRDefault="00201D16" w:rsidP="002A743C">
      <w:pPr>
        <w:pStyle w:val="BodyText"/>
        <w:spacing w:line="276" w:lineRule="auto"/>
        <w:ind w:left="102" w:right="102"/>
        <w:jc w:val="both"/>
      </w:pPr>
      <w:r>
        <w:rPr>
          <w:vertAlign w:val="superscript"/>
        </w:rPr>
        <w:t xml:space="preserve">[5] </w:t>
      </w:r>
      <w:r>
        <w:t xml:space="preserve">Redfield, A.C.: On the proportions of organic derivations in seawater and their relation to the composition of Plankton. In J. </w:t>
      </w:r>
      <w:proofErr w:type="spellStart"/>
      <w:r>
        <w:t>Johnstone</w:t>
      </w:r>
      <w:proofErr w:type="spellEnd"/>
      <w:r>
        <w:t xml:space="preserve"> memorial, Liverpool University press, 176-192, 1934.</w:t>
      </w:r>
    </w:p>
    <w:p w14:paraId="798320A1" w14:textId="77777777" w:rsidR="0055220C" w:rsidRDefault="0055220C" w:rsidP="002A743C">
      <w:pPr>
        <w:pStyle w:val="BodyText"/>
        <w:spacing w:line="276" w:lineRule="auto"/>
        <w:ind w:left="102" w:right="102"/>
        <w:rPr>
          <w:sz w:val="28"/>
        </w:rPr>
      </w:pPr>
    </w:p>
    <w:p w14:paraId="3687BFDF" w14:textId="77777777" w:rsidR="0055220C" w:rsidRDefault="00201D16" w:rsidP="002A743C">
      <w:pPr>
        <w:pStyle w:val="BodyText"/>
        <w:spacing w:line="276" w:lineRule="auto"/>
        <w:ind w:left="102" w:right="102"/>
        <w:jc w:val="both"/>
      </w:pPr>
      <w:r>
        <w:rPr>
          <w:vertAlign w:val="superscript"/>
        </w:rPr>
        <w:t xml:space="preserve">[6] </w:t>
      </w:r>
      <w:r>
        <w:t xml:space="preserve">Sabine, C.L., Feely, R.A., Gruber, N., Key, R.M., Lee, K., Bullister, J.L., Wanninkhof, R., Wong, C.S., Wallace, D.W.R., </w:t>
      </w:r>
      <w:proofErr w:type="spellStart"/>
      <w:r>
        <w:t>Tillbrock</w:t>
      </w:r>
      <w:proofErr w:type="spellEnd"/>
      <w:r>
        <w:t xml:space="preserve">, B., Millero, F.J., </w:t>
      </w:r>
      <w:proofErr w:type="spellStart"/>
      <w:r>
        <w:t>Peng</w:t>
      </w:r>
      <w:proofErr w:type="spellEnd"/>
      <w:r>
        <w:t>, T</w:t>
      </w:r>
      <w:proofErr w:type="gramStart"/>
      <w:r>
        <w:t>.-</w:t>
      </w:r>
      <w:proofErr w:type="gramEnd"/>
      <w:r>
        <w:t xml:space="preserve">H., </w:t>
      </w:r>
      <w:proofErr w:type="spellStart"/>
      <w:r>
        <w:t>Kozyr</w:t>
      </w:r>
      <w:proofErr w:type="spellEnd"/>
      <w:r>
        <w:t>, A., Ono, T., and Rios, A.F.: The Oceanic Sink for Anthropogenic CO</w:t>
      </w:r>
      <w:r>
        <w:rPr>
          <w:position w:val="-5"/>
          <w:sz w:val="14"/>
        </w:rPr>
        <w:t>2</w:t>
      </w:r>
      <w:r>
        <w:t>, Science, 305, 367-371, 2004.</w:t>
      </w:r>
    </w:p>
    <w:p w14:paraId="6B64419E" w14:textId="77777777" w:rsidR="00551BA2" w:rsidRDefault="00551BA2" w:rsidP="002A743C">
      <w:pPr>
        <w:pStyle w:val="BodyText"/>
        <w:spacing w:line="276" w:lineRule="auto"/>
        <w:ind w:left="102" w:right="102"/>
        <w:rPr>
          <w:sz w:val="29"/>
        </w:rPr>
      </w:pPr>
    </w:p>
    <w:p w14:paraId="734E8CF5" w14:textId="77777777" w:rsidR="002B51F3" w:rsidRPr="00AE7D5B" w:rsidRDefault="00201D16" w:rsidP="002A743C">
      <w:pPr>
        <w:pStyle w:val="BodyText"/>
        <w:spacing w:line="276" w:lineRule="auto"/>
        <w:ind w:left="102" w:right="102"/>
        <w:jc w:val="both"/>
      </w:pPr>
      <w:r>
        <w:rPr>
          <w:vertAlign w:val="superscript"/>
        </w:rPr>
        <w:t xml:space="preserve">[7] </w:t>
      </w:r>
      <w:r>
        <w:t xml:space="preserve">Waugh, D.W., </w:t>
      </w:r>
      <w:proofErr w:type="spellStart"/>
      <w:r>
        <w:t>Haine</w:t>
      </w:r>
      <w:proofErr w:type="spellEnd"/>
      <w:r>
        <w:t xml:space="preserve">, T.W.N., and Hall, T.M.: Transport times and anthropogenic carbon in </w:t>
      </w:r>
      <w:r w:rsidRPr="00AE7D5B">
        <w:t xml:space="preserve">the subpolar North Atlantic Ocean, Deep Sea Res. </w:t>
      </w:r>
      <w:proofErr w:type="gramStart"/>
      <w:r w:rsidRPr="00AE7D5B">
        <w:t>I, 51, 1475-1491, 2004.</w:t>
      </w:r>
      <w:proofErr w:type="gramEnd"/>
    </w:p>
    <w:p w14:paraId="543CCDB2" w14:textId="77777777" w:rsidR="002B51F3" w:rsidRPr="00AE7D5B" w:rsidRDefault="002B51F3" w:rsidP="002A743C">
      <w:pPr>
        <w:pStyle w:val="BodyText"/>
        <w:spacing w:line="276" w:lineRule="auto"/>
        <w:ind w:left="102" w:right="102" w:firstLine="720"/>
        <w:jc w:val="both"/>
      </w:pPr>
    </w:p>
    <w:p w14:paraId="669C002B" w14:textId="10223942" w:rsidR="00425B7E" w:rsidRPr="00AE7D5B" w:rsidRDefault="002B51F3" w:rsidP="002A743C">
      <w:pPr>
        <w:pStyle w:val="BodyText"/>
        <w:spacing w:line="276" w:lineRule="auto"/>
        <w:ind w:left="102" w:right="102"/>
        <w:jc w:val="both"/>
        <w:rPr>
          <w:rFonts w:ascii="Times New Roman" w:eastAsia="Times New Roman" w:hAnsi="Times New Roman" w:cs="Times New Roman"/>
          <w:color w:val="0000FF"/>
          <w:sz w:val="20"/>
          <w:szCs w:val="20"/>
          <w:lang w:val="en-GB"/>
        </w:rPr>
      </w:pPr>
      <w:r w:rsidRPr="00AE7D5B">
        <w:rPr>
          <w:vertAlign w:val="superscript"/>
        </w:rPr>
        <w:t>[8]</w:t>
      </w:r>
      <w:r w:rsidR="00425B7E" w:rsidRPr="00AE7D5B">
        <w:t xml:space="preserve"> </w:t>
      </w:r>
      <w:hyperlink r:id="rId15" w:history="1">
        <w:r w:rsidRPr="00AE7D5B">
          <w:rPr>
            <w:rFonts w:eastAsia="Times New Roman" w:cs="Times New Roman"/>
            <w:color w:val="0000FF"/>
            <w:lang w:val="en-GB"/>
          </w:rPr>
          <w:t>https://www.kdnuggets.com/2018/04/right-metric-evaluating-machine-learning-models-1.html</w:t>
        </w:r>
      </w:hyperlink>
    </w:p>
    <w:p w14:paraId="0F6A89BE" w14:textId="77777777" w:rsidR="00425B7E" w:rsidRPr="00AE7D5B" w:rsidRDefault="00425B7E" w:rsidP="002A743C">
      <w:pPr>
        <w:pStyle w:val="BodyText"/>
        <w:spacing w:line="276" w:lineRule="auto"/>
        <w:ind w:left="102" w:right="102" w:firstLine="720"/>
        <w:jc w:val="both"/>
        <w:rPr>
          <w:rFonts w:ascii="Times New Roman" w:eastAsia="Times New Roman" w:hAnsi="Times New Roman" w:cs="Times New Roman"/>
          <w:color w:val="0000FF"/>
          <w:sz w:val="20"/>
          <w:szCs w:val="20"/>
          <w:lang w:val="en-GB"/>
        </w:rPr>
      </w:pPr>
    </w:p>
    <w:p w14:paraId="5314A1C3" w14:textId="77777777" w:rsidR="00A11F0C" w:rsidRPr="00AE7D5B" w:rsidRDefault="00425B7E" w:rsidP="002A743C">
      <w:pPr>
        <w:pStyle w:val="BodyText"/>
        <w:spacing w:line="276" w:lineRule="auto"/>
        <w:ind w:left="102" w:right="102"/>
        <w:jc w:val="both"/>
        <w:rPr>
          <w:rStyle w:val="Hyperlink"/>
          <w:rFonts w:eastAsia="Times New Roman" w:cs="Times New Roman"/>
          <w:u w:val="none"/>
        </w:rPr>
      </w:pPr>
      <w:r w:rsidRPr="00AE7D5B">
        <w:rPr>
          <w:rFonts w:eastAsia="Times New Roman" w:cs="Times New Roman"/>
          <w:vertAlign w:val="superscript"/>
        </w:rPr>
        <w:t xml:space="preserve">[9] </w:t>
      </w:r>
      <w:hyperlink r:id="rId16" w:history="1">
        <w:r w:rsidRPr="00AE7D5B">
          <w:rPr>
            <w:rStyle w:val="Hyperlink"/>
            <w:rFonts w:eastAsia="Times New Roman" w:cs="Times New Roman"/>
            <w:u w:val="none"/>
          </w:rPr>
          <w:t>http://www.mvstat.net/tduong/research/seminars/seminar-2001-05/</w:t>
        </w:r>
      </w:hyperlink>
    </w:p>
    <w:p w14:paraId="5021B5BD" w14:textId="77777777" w:rsidR="00A11F0C" w:rsidRPr="00AE7D5B" w:rsidRDefault="00A11F0C" w:rsidP="002A743C">
      <w:pPr>
        <w:pStyle w:val="BodyText"/>
        <w:spacing w:line="276" w:lineRule="auto"/>
        <w:ind w:left="102" w:right="102" w:firstLine="720"/>
        <w:jc w:val="both"/>
      </w:pPr>
    </w:p>
    <w:p w14:paraId="65A29D2F" w14:textId="77777777" w:rsidR="007E450F" w:rsidRPr="00AE7D5B" w:rsidRDefault="00A11F0C" w:rsidP="002A743C">
      <w:pPr>
        <w:pStyle w:val="BodyText"/>
        <w:spacing w:line="276" w:lineRule="auto"/>
        <w:ind w:left="102" w:right="102"/>
        <w:jc w:val="both"/>
        <w:rPr>
          <w:rFonts w:eastAsia="Times New Roman" w:cs="Times New Roman"/>
        </w:rPr>
      </w:pPr>
      <w:r w:rsidRPr="00AE7D5B">
        <w:rPr>
          <w:vertAlign w:val="superscript"/>
        </w:rPr>
        <w:t>[10]</w:t>
      </w:r>
      <w:r w:rsidRPr="00AE7D5B">
        <w:t xml:space="preserve"> </w:t>
      </w:r>
      <w:hyperlink r:id="rId17" w:history="1">
        <w:r w:rsidRPr="00AE7D5B">
          <w:rPr>
            <w:rStyle w:val="Hyperlink"/>
            <w:rFonts w:eastAsia="Times New Roman" w:cs="Times New Roman"/>
            <w:u w:val="none"/>
          </w:rPr>
          <w:t>https://en.wikipedia.org/wiki/Linear_regression</w:t>
        </w:r>
      </w:hyperlink>
    </w:p>
    <w:p w14:paraId="64C9454E" w14:textId="77777777" w:rsidR="007E450F" w:rsidRPr="00AE7D5B" w:rsidRDefault="007E450F" w:rsidP="002A743C">
      <w:pPr>
        <w:pStyle w:val="BodyText"/>
        <w:spacing w:line="276" w:lineRule="auto"/>
        <w:ind w:left="102" w:right="102" w:firstLine="720"/>
        <w:jc w:val="both"/>
        <w:rPr>
          <w:rFonts w:eastAsia="Times New Roman" w:cs="Times New Roman"/>
        </w:rPr>
      </w:pPr>
    </w:p>
    <w:p w14:paraId="6D37EDEA" w14:textId="77777777" w:rsidR="00F9364C" w:rsidRPr="00AE7D5B" w:rsidRDefault="007E450F" w:rsidP="002A743C">
      <w:pPr>
        <w:pStyle w:val="BodyText"/>
        <w:spacing w:line="276" w:lineRule="auto"/>
        <w:ind w:left="102" w:right="102"/>
        <w:jc w:val="both"/>
        <w:rPr>
          <w:rFonts w:eastAsia="Times New Roman" w:cs="Times New Roman"/>
        </w:rPr>
      </w:pPr>
      <w:r w:rsidRPr="00AE7D5B">
        <w:rPr>
          <w:vertAlign w:val="superscript"/>
        </w:rPr>
        <w:t>[11]</w:t>
      </w:r>
      <w:r w:rsidRPr="00AE7D5B">
        <w:t xml:space="preserve"> </w:t>
      </w:r>
      <w:hyperlink r:id="rId18" w:history="1">
        <w:r w:rsidRPr="00AE7D5B">
          <w:rPr>
            <w:rStyle w:val="Hyperlink"/>
            <w:rFonts w:eastAsia="Times New Roman" w:cs="Times New Roman"/>
            <w:u w:val="none"/>
          </w:rPr>
          <w:t>https://www.statisticshowto.datasciencecentral.com/ridge-regression/</w:t>
        </w:r>
      </w:hyperlink>
    </w:p>
    <w:p w14:paraId="7BF8EB1A" w14:textId="77777777" w:rsidR="00F9364C" w:rsidRPr="00AE7D5B" w:rsidRDefault="00F9364C" w:rsidP="002A743C">
      <w:pPr>
        <w:pStyle w:val="BodyText"/>
        <w:spacing w:line="276" w:lineRule="auto"/>
        <w:ind w:left="102" w:right="102" w:firstLine="720"/>
        <w:jc w:val="both"/>
        <w:rPr>
          <w:rFonts w:eastAsia="Times New Roman" w:cs="Times New Roman"/>
        </w:rPr>
      </w:pPr>
    </w:p>
    <w:p w14:paraId="5A7483FF" w14:textId="77777777" w:rsidR="00F9364C" w:rsidRPr="00AE7D5B" w:rsidRDefault="00F9364C" w:rsidP="002A743C">
      <w:pPr>
        <w:pStyle w:val="BodyText"/>
        <w:spacing w:line="276" w:lineRule="auto"/>
        <w:ind w:left="102" w:right="102"/>
        <w:jc w:val="both"/>
        <w:rPr>
          <w:rFonts w:eastAsia="Times New Roman" w:cs="Times New Roman"/>
        </w:rPr>
      </w:pPr>
      <w:r w:rsidRPr="00AE7D5B">
        <w:rPr>
          <w:vertAlign w:val="superscript"/>
        </w:rPr>
        <w:t>[12]</w:t>
      </w:r>
      <w:r w:rsidRPr="00AE7D5B">
        <w:t xml:space="preserve"> </w:t>
      </w:r>
      <w:hyperlink r:id="rId19" w:history="1">
        <w:r w:rsidRPr="00AE7D5B">
          <w:rPr>
            <w:rStyle w:val="Hyperlink"/>
            <w:rFonts w:eastAsia="Times New Roman" w:cs="Times New Roman"/>
            <w:u w:val="none"/>
          </w:rPr>
          <w:t>https://en.wikipedia.org/wiki/Lasso_(statistics)</w:t>
        </w:r>
      </w:hyperlink>
    </w:p>
    <w:p w14:paraId="5B0C64A9" w14:textId="77777777" w:rsidR="00F9364C" w:rsidRPr="00AE7D5B" w:rsidRDefault="00F9364C" w:rsidP="002A743C">
      <w:pPr>
        <w:pStyle w:val="BodyText"/>
        <w:spacing w:line="276" w:lineRule="auto"/>
        <w:ind w:left="102" w:right="102" w:firstLine="720"/>
        <w:jc w:val="both"/>
      </w:pPr>
    </w:p>
    <w:p w14:paraId="58DDE99B" w14:textId="40386DA5" w:rsidR="002A743C" w:rsidRPr="00AE7D5B" w:rsidRDefault="00F9364C" w:rsidP="002A743C">
      <w:pPr>
        <w:pStyle w:val="BodyText"/>
        <w:spacing w:line="276" w:lineRule="auto"/>
        <w:ind w:left="102" w:right="102"/>
        <w:jc w:val="both"/>
        <w:rPr>
          <w:rFonts w:ascii="Times New Roman" w:eastAsia="Times New Roman" w:hAnsi="Times New Roman" w:cs="Times New Roman"/>
          <w:color w:val="0000FF"/>
          <w:sz w:val="20"/>
          <w:szCs w:val="20"/>
          <w:lang w:val="en-GB"/>
        </w:rPr>
      </w:pPr>
      <w:r w:rsidRPr="00AE7D5B">
        <w:rPr>
          <w:vertAlign w:val="superscript"/>
        </w:rPr>
        <w:t>[13]</w:t>
      </w:r>
      <w:r w:rsidRPr="00AE7D5B">
        <w:t xml:space="preserve"> </w:t>
      </w:r>
      <w:hyperlink r:id="rId20" w:history="1">
        <w:r w:rsidR="002A743C" w:rsidRPr="00AE7D5B">
          <w:rPr>
            <w:rStyle w:val="Hyperlink"/>
            <w:rFonts w:eastAsia="Times New Roman" w:cs="Times New Roman"/>
            <w:u w:val="none"/>
          </w:rPr>
          <w:t>https://en.wikipedia.org/wiki/Regularized_least_squares#Ridge_regression</w:t>
        </w:r>
      </w:hyperlink>
    </w:p>
    <w:p w14:paraId="4FD31B06" w14:textId="77777777" w:rsidR="002A743C" w:rsidRPr="00AE7D5B" w:rsidRDefault="002A743C" w:rsidP="002A743C">
      <w:pPr>
        <w:pStyle w:val="BodyText"/>
        <w:spacing w:line="276" w:lineRule="auto"/>
        <w:ind w:left="102" w:right="102"/>
        <w:jc w:val="both"/>
        <w:rPr>
          <w:rFonts w:ascii="Times New Roman" w:eastAsia="Times New Roman" w:hAnsi="Times New Roman" w:cs="Times New Roman"/>
          <w:color w:val="0000FF"/>
          <w:sz w:val="20"/>
          <w:szCs w:val="20"/>
          <w:lang w:val="en-GB"/>
        </w:rPr>
      </w:pPr>
    </w:p>
    <w:p w14:paraId="2A2CC1F3" w14:textId="77777777" w:rsidR="0087230A" w:rsidRPr="00AE7D5B" w:rsidRDefault="002A743C" w:rsidP="0087230A">
      <w:pPr>
        <w:pStyle w:val="BodyText"/>
        <w:spacing w:line="276" w:lineRule="auto"/>
        <w:ind w:left="102" w:right="102"/>
        <w:jc w:val="both"/>
        <w:rPr>
          <w:rFonts w:eastAsia="Times New Roman" w:cs="Times New Roman"/>
        </w:rPr>
      </w:pPr>
      <w:r w:rsidRPr="00AE7D5B">
        <w:rPr>
          <w:vertAlign w:val="superscript"/>
        </w:rPr>
        <w:t>[14]</w:t>
      </w:r>
      <w:r w:rsidRPr="00AE7D5B">
        <w:t xml:space="preserve"> </w:t>
      </w:r>
      <w:r w:rsidRPr="00AE7D5B">
        <w:rPr>
          <w:rFonts w:eastAsia="Times New Roman" w:cs="Times New Roman"/>
        </w:rPr>
        <w:fldChar w:fldCharType="begin"/>
      </w:r>
      <w:r w:rsidRPr="00AE7D5B">
        <w:rPr>
          <w:rFonts w:eastAsia="Times New Roman" w:cs="Times New Roman"/>
        </w:rPr>
        <w:instrText xml:space="preserve"> HYPERLINK "https://scikit-learn.org/stable/modules/generated/sklearn.linear_model.LinearRegression.html" </w:instrText>
      </w:r>
      <w:r w:rsidRPr="00AE7D5B">
        <w:rPr>
          <w:rFonts w:eastAsia="Times New Roman" w:cs="Times New Roman"/>
        </w:rPr>
      </w:r>
      <w:r w:rsidRPr="00AE7D5B">
        <w:rPr>
          <w:rFonts w:eastAsia="Times New Roman" w:cs="Times New Roman"/>
        </w:rPr>
        <w:fldChar w:fldCharType="separate"/>
      </w:r>
      <w:r w:rsidRPr="00AE7D5B">
        <w:rPr>
          <w:rStyle w:val="Hyperlink"/>
          <w:rFonts w:eastAsia="Times New Roman" w:cs="Times New Roman"/>
          <w:u w:val="none"/>
        </w:rPr>
        <w:t>https://scikit-learn.org/stable/modules/generated/sklearn.linear_model.LinearRegression.html</w:t>
      </w:r>
      <w:r w:rsidRPr="00AE7D5B">
        <w:rPr>
          <w:rFonts w:eastAsia="Times New Roman" w:cs="Times New Roman"/>
        </w:rPr>
        <w:fldChar w:fldCharType="end"/>
      </w:r>
    </w:p>
    <w:p w14:paraId="461DB7FD" w14:textId="0F356C87" w:rsidR="00E15CC5" w:rsidRPr="00AE7D5B" w:rsidRDefault="00E15CC5" w:rsidP="00E15CC5">
      <w:pPr>
        <w:pStyle w:val="BodyText"/>
        <w:spacing w:line="276" w:lineRule="auto"/>
        <w:ind w:right="102"/>
        <w:jc w:val="both"/>
        <w:rPr>
          <w:rFonts w:ascii="Times New Roman" w:eastAsia="Times New Roman" w:hAnsi="Times New Roman" w:cs="Times New Roman"/>
          <w:sz w:val="20"/>
          <w:szCs w:val="20"/>
          <w:lang w:val="en-GB"/>
        </w:rPr>
      </w:pPr>
    </w:p>
    <w:p w14:paraId="43638FFE" w14:textId="77777777" w:rsidR="00E15CC5" w:rsidRPr="00AE7D5B" w:rsidRDefault="0087230A" w:rsidP="00E15CC5">
      <w:pPr>
        <w:pStyle w:val="BodyText"/>
        <w:spacing w:line="276" w:lineRule="auto"/>
        <w:ind w:left="102" w:right="102"/>
        <w:jc w:val="both"/>
        <w:rPr>
          <w:rFonts w:eastAsia="Times New Roman" w:cs="Times New Roman"/>
        </w:rPr>
      </w:pPr>
      <w:r w:rsidRPr="00AE7D5B">
        <w:rPr>
          <w:rFonts w:eastAsia="Times New Roman" w:cs="Times New Roman"/>
          <w:vertAlign w:val="superscript"/>
          <w:lang w:val="en-GB"/>
        </w:rPr>
        <w:t>[15]</w:t>
      </w:r>
      <w:r w:rsidRPr="00AE7D5B">
        <w:rPr>
          <w:rFonts w:eastAsia="Times New Roman" w:cs="Times New Roman"/>
          <w:lang w:val="en-GB"/>
        </w:rPr>
        <w:t xml:space="preserve"> </w:t>
      </w:r>
      <w:hyperlink r:id="rId21" w:history="1">
        <w:r w:rsidRPr="00AE7D5B">
          <w:rPr>
            <w:rStyle w:val="Hyperlink"/>
            <w:rFonts w:eastAsia="Times New Roman" w:cs="Times New Roman"/>
            <w:u w:val="none"/>
          </w:rPr>
          <w:t>https://en.wikipedia.org/wiki/Decision_tree_learning</w:t>
        </w:r>
      </w:hyperlink>
    </w:p>
    <w:p w14:paraId="26580FB8" w14:textId="77777777" w:rsidR="00E15CC5" w:rsidRPr="00AE7D5B" w:rsidRDefault="00E15CC5" w:rsidP="00E15CC5">
      <w:pPr>
        <w:pStyle w:val="BodyText"/>
        <w:spacing w:line="276" w:lineRule="auto"/>
        <w:ind w:left="102" w:right="102"/>
        <w:jc w:val="both"/>
        <w:rPr>
          <w:rFonts w:eastAsia="Times New Roman" w:cs="Times New Roman"/>
        </w:rPr>
      </w:pPr>
    </w:p>
    <w:p w14:paraId="46AE54F2" w14:textId="77777777" w:rsidR="00D16263" w:rsidRPr="00AE7D5B" w:rsidRDefault="00E15CC5" w:rsidP="00D16263">
      <w:pPr>
        <w:pStyle w:val="BodyText"/>
        <w:spacing w:line="276" w:lineRule="auto"/>
        <w:ind w:left="102" w:right="102"/>
        <w:jc w:val="both"/>
        <w:rPr>
          <w:rFonts w:eastAsia="Times New Roman"/>
        </w:rPr>
      </w:pPr>
      <w:r w:rsidRPr="00AE7D5B">
        <w:rPr>
          <w:rFonts w:eastAsia="Times New Roman"/>
          <w:vertAlign w:val="superscript"/>
          <w:lang w:val="en-GB"/>
        </w:rPr>
        <w:t>[16]</w:t>
      </w:r>
      <w:r w:rsidRPr="00AE7D5B">
        <w:rPr>
          <w:rFonts w:eastAsia="Times New Roman"/>
          <w:lang w:val="en-GB"/>
        </w:rPr>
        <w:t xml:space="preserve"> </w:t>
      </w:r>
      <w:hyperlink r:id="rId22" w:history="1">
        <w:r w:rsidRPr="00AE7D5B">
          <w:rPr>
            <w:rStyle w:val="Hyperlink"/>
            <w:rFonts w:eastAsia="Times New Roman"/>
            <w:u w:val="none"/>
          </w:rPr>
          <w:t>https://en.wikipedia.org/wiki/Random_forest</w:t>
        </w:r>
      </w:hyperlink>
    </w:p>
    <w:p w14:paraId="38256539" w14:textId="77777777" w:rsidR="00544971" w:rsidRPr="00AE7D5B" w:rsidRDefault="00D16263" w:rsidP="00544971">
      <w:pPr>
        <w:pStyle w:val="BodyText"/>
        <w:spacing w:line="276" w:lineRule="auto"/>
        <w:ind w:left="102" w:right="102"/>
        <w:jc w:val="both"/>
        <w:rPr>
          <w:rFonts w:eastAsia="Times New Roman"/>
        </w:rPr>
      </w:pPr>
      <w:r w:rsidRPr="00AE7D5B">
        <w:rPr>
          <w:rFonts w:eastAsia="Times New Roman"/>
          <w:color w:val="000000" w:themeColor="text1"/>
          <w:vertAlign w:val="superscript"/>
          <w:lang w:val="en-GB"/>
        </w:rPr>
        <w:lastRenderedPageBreak/>
        <w:t>[17]</w:t>
      </w:r>
      <w:r w:rsidRPr="00AE7D5B">
        <w:rPr>
          <w:rFonts w:eastAsia="Times New Roman"/>
          <w:color w:val="0000FF"/>
          <w:lang w:val="en-GB"/>
        </w:rPr>
        <w:t xml:space="preserve"> </w:t>
      </w:r>
      <w:hyperlink r:id="rId23" w:history="1">
        <w:r w:rsidRPr="00AE7D5B">
          <w:rPr>
            <w:rStyle w:val="Hyperlink"/>
            <w:rFonts w:eastAsia="Times New Roman"/>
            <w:u w:val="none"/>
          </w:rPr>
          <w:t>https://en.wikipedia.org/wiki/Artificial_neural_network</w:t>
        </w:r>
      </w:hyperlink>
    </w:p>
    <w:p w14:paraId="2B1C887D" w14:textId="77777777" w:rsidR="00544971" w:rsidRPr="00AE7D5B" w:rsidRDefault="00544971" w:rsidP="00544971">
      <w:pPr>
        <w:pStyle w:val="BodyText"/>
        <w:spacing w:line="276" w:lineRule="auto"/>
        <w:ind w:left="102" w:right="102"/>
        <w:jc w:val="both"/>
        <w:rPr>
          <w:rFonts w:eastAsia="Times New Roman"/>
          <w:color w:val="000000" w:themeColor="text1"/>
          <w:vertAlign w:val="superscript"/>
          <w:lang w:val="en-GB"/>
        </w:rPr>
      </w:pPr>
    </w:p>
    <w:p w14:paraId="58056F56" w14:textId="77777777" w:rsidR="00AE7D5B" w:rsidRPr="00AE7D5B" w:rsidRDefault="00544971" w:rsidP="00AE7D5B">
      <w:pPr>
        <w:pStyle w:val="BodyText"/>
        <w:spacing w:line="276" w:lineRule="auto"/>
        <w:ind w:left="102" w:right="102"/>
        <w:jc w:val="both"/>
        <w:rPr>
          <w:rFonts w:eastAsia="Times New Roman"/>
        </w:rPr>
      </w:pPr>
      <w:r w:rsidRPr="00AE7D5B">
        <w:rPr>
          <w:rFonts w:eastAsia="Times New Roman"/>
          <w:color w:val="000000" w:themeColor="text1"/>
          <w:vertAlign w:val="superscript"/>
          <w:lang w:val="en-GB"/>
        </w:rPr>
        <w:t>[18]</w:t>
      </w:r>
      <w:r w:rsidRPr="00AE7D5B">
        <w:rPr>
          <w:rFonts w:eastAsia="Times New Roman"/>
          <w:color w:val="0000FF"/>
          <w:lang w:val="en-GB"/>
        </w:rPr>
        <w:t xml:space="preserve"> </w:t>
      </w:r>
      <w:hyperlink r:id="rId24" w:history="1">
        <w:r w:rsidRPr="00AE7D5B">
          <w:rPr>
            <w:rStyle w:val="Hyperlink"/>
            <w:rFonts w:eastAsia="Times New Roman"/>
            <w:u w:val="none"/>
          </w:rPr>
          <w:t>https://scikit-learn.org/stable/modules/generated/sklearn.neural_network.MLPRegressor.html</w:t>
        </w:r>
      </w:hyperlink>
    </w:p>
    <w:p w14:paraId="371EB6BF" w14:textId="77777777" w:rsidR="00AE7D5B" w:rsidRPr="00AE7D5B" w:rsidRDefault="00AE7D5B" w:rsidP="00AE7D5B">
      <w:pPr>
        <w:pStyle w:val="BodyText"/>
        <w:spacing w:line="276" w:lineRule="auto"/>
        <w:ind w:left="102" w:right="102"/>
        <w:jc w:val="both"/>
        <w:rPr>
          <w:rFonts w:eastAsia="Times New Roman"/>
          <w:color w:val="000000" w:themeColor="text1"/>
          <w:vertAlign w:val="superscript"/>
          <w:lang w:val="en-GB"/>
        </w:rPr>
      </w:pPr>
    </w:p>
    <w:p w14:paraId="49E9337B" w14:textId="638D19AC" w:rsidR="00AE7D5B" w:rsidRPr="00AE7D5B" w:rsidRDefault="00AE7D5B" w:rsidP="00AE7D5B">
      <w:pPr>
        <w:pStyle w:val="BodyText"/>
        <w:spacing w:line="276" w:lineRule="auto"/>
        <w:ind w:left="102" w:right="102"/>
        <w:jc w:val="both"/>
        <w:rPr>
          <w:rFonts w:eastAsia="Times New Roman"/>
        </w:rPr>
      </w:pPr>
      <w:r w:rsidRPr="00AE7D5B">
        <w:rPr>
          <w:rFonts w:eastAsia="Times New Roman"/>
          <w:color w:val="000000" w:themeColor="text1"/>
          <w:vertAlign w:val="superscript"/>
          <w:lang w:val="en-GB"/>
        </w:rPr>
        <w:t>[19]</w:t>
      </w:r>
      <w:r w:rsidRPr="00AE7D5B">
        <w:rPr>
          <w:rFonts w:eastAsia="Times New Roman"/>
          <w:color w:val="0000FF"/>
          <w:lang w:val="en-GB"/>
        </w:rPr>
        <w:t xml:space="preserve"> </w:t>
      </w:r>
      <w:hyperlink r:id="rId25" w:history="1">
        <w:r w:rsidRPr="00AE7D5B">
          <w:rPr>
            <w:rStyle w:val="Hyperlink"/>
            <w:rFonts w:eastAsia="Times New Roman"/>
            <w:u w:val="none"/>
          </w:rPr>
          <w:t>https://medium.com/@pushkarmandot/https-medium-com-pushkarmandot-what-is-lightgbm-how-to-implement-it-how-to-fine-tune-the-parameters-60347819b7fc</w:t>
        </w:r>
      </w:hyperlink>
    </w:p>
    <w:p w14:paraId="37DBA27C" w14:textId="28EFCB82" w:rsidR="00AE7D5B" w:rsidRPr="00D16263" w:rsidRDefault="00AE7D5B" w:rsidP="00E15CC5">
      <w:pPr>
        <w:pStyle w:val="BodyText"/>
        <w:spacing w:line="276" w:lineRule="auto"/>
        <w:ind w:right="102"/>
        <w:jc w:val="both"/>
        <w:rPr>
          <w:rFonts w:eastAsia="Times New Roman"/>
          <w:color w:val="0000FF"/>
          <w:u w:val="single"/>
          <w:lang w:val="en-GB"/>
        </w:rPr>
      </w:pPr>
    </w:p>
    <w:sectPr w:rsidR="00AE7D5B" w:rsidRPr="00D16263">
      <w:pgSz w:w="11920" w:h="16860"/>
      <w:pgMar w:top="138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064A3"/>
    <w:multiLevelType w:val="hybridMultilevel"/>
    <w:tmpl w:val="39FC0678"/>
    <w:lvl w:ilvl="0" w:tplc="A45835EC">
      <w:start w:val="1"/>
      <w:numFmt w:val="decimal"/>
      <w:lvlText w:val="(%1)"/>
      <w:lvlJc w:val="left"/>
      <w:pPr>
        <w:ind w:left="101" w:hanging="406"/>
        <w:jc w:val="left"/>
      </w:pPr>
      <w:rPr>
        <w:rFonts w:ascii="Arial" w:eastAsia="Arial" w:hAnsi="Arial" w:cs="Arial" w:hint="default"/>
        <w:w w:val="100"/>
        <w:sz w:val="24"/>
        <w:szCs w:val="24"/>
      </w:rPr>
    </w:lvl>
    <w:lvl w:ilvl="1" w:tplc="0A32A510">
      <w:numFmt w:val="bullet"/>
      <w:lvlText w:val="•"/>
      <w:lvlJc w:val="left"/>
      <w:pPr>
        <w:ind w:left="1014" w:hanging="406"/>
      </w:pPr>
      <w:rPr>
        <w:rFonts w:hint="default"/>
      </w:rPr>
    </w:lvl>
    <w:lvl w:ilvl="2" w:tplc="F9A240D8">
      <w:numFmt w:val="bullet"/>
      <w:lvlText w:val="•"/>
      <w:lvlJc w:val="left"/>
      <w:pPr>
        <w:ind w:left="1928" w:hanging="406"/>
      </w:pPr>
      <w:rPr>
        <w:rFonts w:hint="default"/>
      </w:rPr>
    </w:lvl>
    <w:lvl w:ilvl="3" w:tplc="0F0ED148">
      <w:numFmt w:val="bullet"/>
      <w:lvlText w:val="•"/>
      <w:lvlJc w:val="left"/>
      <w:pPr>
        <w:ind w:left="2842" w:hanging="406"/>
      </w:pPr>
      <w:rPr>
        <w:rFonts w:hint="default"/>
      </w:rPr>
    </w:lvl>
    <w:lvl w:ilvl="4" w:tplc="37DAFDCE">
      <w:numFmt w:val="bullet"/>
      <w:lvlText w:val="•"/>
      <w:lvlJc w:val="left"/>
      <w:pPr>
        <w:ind w:left="3756" w:hanging="406"/>
      </w:pPr>
      <w:rPr>
        <w:rFonts w:hint="default"/>
      </w:rPr>
    </w:lvl>
    <w:lvl w:ilvl="5" w:tplc="621C2412">
      <w:numFmt w:val="bullet"/>
      <w:lvlText w:val="•"/>
      <w:lvlJc w:val="left"/>
      <w:pPr>
        <w:ind w:left="4670" w:hanging="406"/>
      </w:pPr>
      <w:rPr>
        <w:rFonts w:hint="default"/>
      </w:rPr>
    </w:lvl>
    <w:lvl w:ilvl="6" w:tplc="077433A6">
      <w:numFmt w:val="bullet"/>
      <w:lvlText w:val="•"/>
      <w:lvlJc w:val="left"/>
      <w:pPr>
        <w:ind w:left="5584" w:hanging="406"/>
      </w:pPr>
      <w:rPr>
        <w:rFonts w:hint="default"/>
      </w:rPr>
    </w:lvl>
    <w:lvl w:ilvl="7" w:tplc="CAC20AA8">
      <w:numFmt w:val="bullet"/>
      <w:lvlText w:val="•"/>
      <w:lvlJc w:val="left"/>
      <w:pPr>
        <w:ind w:left="6498" w:hanging="406"/>
      </w:pPr>
      <w:rPr>
        <w:rFonts w:hint="default"/>
      </w:rPr>
    </w:lvl>
    <w:lvl w:ilvl="8" w:tplc="4BFEBD40">
      <w:numFmt w:val="bullet"/>
      <w:lvlText w:val="•"/>
      <w:lvlJc w:val="left"/>
      <w:pPr>
        <w:ind w:left="7412" w:hanging="406"/>
      </w:pPr>
      <w:rPr>
        <w:rFonts w:hint="default"/>
      </w:rPr>
    </w:lvl>
  </w:abstractNum>
  <w:abstractNum w:abstractNumId="1">
    <w:nsid w:val="27E006D5"/>
    <w:multiLevelType w:val="hybridMultilevel"/>
    <w:tmpl w:val="D9AC1A1C"/>
    <w:lvl w:ilvl="0" w:tplc="32DEC018">
      <w:start w:val="1"/>
      <w:numFmt w:val="upperLetter"/>
      <w:lvlText w:val="%1."/>
      <w:lvlJc w:val="left"/>
      <w:pPr>
        <w:ind w:left="462" w:hanging="360"/>
      </w:pPr>
      <w:rPr>
        <w:rFonts w:eastAsia="Arial" w:cs="Arial" w:hint="default"/>
      </w:rPr>
    </w:lvl>
    <w:lvl w:ilvl="1" w:tplc="04090019" w:tentative="1">
      <w:start w:val="1"/>
      <w:numFmt w:val="lowerLetter"/>
      <w:lvlText w:val="%2."/>
      <w:lvlJc w:val="left"/>
      <w:pPr>
        <w:ind w:left="1182" w:hanging="360"/>
      </w:pPr>
    </w:lvl>
    <w:lvl w:ilvl="2" w:tplc="0409001B" w:tentative="1">
      <w:start w:val="1"/>
      <w:numFmt w:val="lowerRoman"/>
      <w:lvlText w:val="%3."/>
      <w:lvlJc w:val="right"/>
      <w:pPr>
        <w:ind w:left="1902" w:hanging="180"/>
      </w:pPr>
    </w:lvl>
    <w:lvl w:ilvl="3" w:tplc="0409000F" w:tentative="1">
      <w:start w:val="1"/>
      <w:numFmt w:val="decimal"/>
      <w:lvlText w:val="%4."/>
      <w:lvlJc w:val="left"/>
      <w:pPr>
        <w:ind w:left="2622" w:hanging="360"/>
      </w:pPr>
    </w:lvl>
    <w:lvl w:ilvl="4" w:tplc="04090019" w:tentative="1">
      <w:start w:val="1"/>
      <w:numFmt w:val="lowerLetter"/>
      <w:lvlText w:val="%5."/>
      <w:lvlJc w:val="left"/>
      <w:pPr>
        <w:ind w:left="3342" w:hanging="360"/>
      </w:pPr>
    </w:lvl>
    <w:lvl w:ilvl="5" w:tplc="0409001B" w:tentative="1">
      <w:start w:val="1"/>
      <w:numFmt w:val="lowerRoman"/>
      <w:lvlText w:val="%6."/>
      <w:lvlJc w:val="right"/>
      <w:pPr>
        <w:ind w:left="4062" w:hanging="180"/>
      </w:pPr>
    </w:lvl>
    <w:lvl w:ilvl="6" w:tplc="0409000F" w:tentative="1">
      <w:start w:val="1"/>
      <w:numFmt w:val="decimal"/>
      <w:lvlText w:val="%7."/>
      <w:lvlJc w:val="left"/>
      <w:pPr>
        <w:ind w:left="4782" w:hanging="360"/>
      </w:pPr>
    </w:lvl>
    <w:lvl w:ilvl="7" w:tplc="04090019" w:tentative="1">
      <w:start w:val="1"/>
      <w:numFmt w:val="lowerLetter"/>
      <w:lvlText w:val="%8."/>
      <w:lvlJc w:val="left"/>
      <w:pPr>
        <w:ind w:left="5502" w:hanging="360"/>
      </w:pPr>
    </w:lvl>
    <w:lvl w:ilvl="8" w:tplc="0409001B" w:tentative="1">
      <w:start w:val="1"/>
      <w:numFmt w:val="lowerRoman"/>
      <w:lvlText w:val="%9."/>
      <w:lvlJc w:val="right"/>
      <w:pPr>
        <w:ind w:left="6222" w:hanging="180"/>
      </w:pPr>
    </w:lvl>
  </w:abstractNum>
  <w:abstractNum w:abstractNumId="2">
    <w:nsid w:val="40CC0550"/>
    <w:multiLevelType w:val="hybridMultilevel"/>
    <w:tmpl w:val="CA583244"/>
    <w:lvl w:ilvl="0" w:tplc="1124CFB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312F4F"/>
    <w:multiLevelType w:val="hybridMultilevel"/>
    <w:tmpl w:val="7A7EA02A"/>
    <w:lvl w:ilvl="0" w:tplc="7F2A0C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55220C"/>
    <w:rsid w:val="00032808"/>
    <w:rsid w:val="000422F7"/>
    <w:rsid w:val="00046665"/>
    <w:rsid w:val="000752ED"/>
    <w:rsid w:val="00080C46"/>
    <w:rsid w:val="000816D0"/>
    <w:rsid w:val="00087A23"/>
    <w:rsid w:val="000A6773"/>
    <w:rsid w:val="000A7C6B"/>
    <w:rsid w:val="000B7F53"/>
    <w:rsid w:val="000D3D2A"/>
    <w:rsid w:val="0011797A"/>
    <w:rsid w:val="00125386"/>
    <w:rsid w:val="00132C31"/>
    <w:rsid w:val="001375B8"/>
    <w:rsid w:val="00141669"/>
    <w:rsid w:val="001479A4"/>
    <w:rsid w:val="00151981"/>
    <w:rsid w:val="00172475"/>
    <w:rsid w:val="00180950"/>
    <w:rsid w:val="00196719"/>
    <w:rsid w:val="001967EF"/>
    <w:rsid w:val="001B5B96"/>
    <w:rsid w:val="001D0438"/>
    <w:rsid w:val="001D0DFC"/>
    <w:rsid w:val="001E08E5"/>
    <w:rsid w:val="001E3508"/>
    <w:rsid w:val="001E51A4"/>
    <w:rsid w:val="001F282C"/>
    <w:rsid w:val="001F2DCA"/>
    <w:rsid w:val="00201D16"/>
    <w:rsid w:val="002102E0"/>
    <w:rsid w:val="002374C9"/>
    <w:rsid w:val="0024138D"/>
    <w:rsid w:val="00245EB3"/>
    <w:rsid w:val="00256DF7"/>
    <w:rsid w:val="00273A91"/>
    <w:rsid w:val="00274F74"/>
    <w:rsid w:val="00275926"/>
    <w:rsid w:val="00280190"/>
    <w:rsid w:val="002852D1"/>
    <w:rsid w:val="002A22F3"/>
    <w:rsid w:val="002A743C"/>
    <w:rsid w:val="002B51F3"/>
    <w:rsid w:val="002C50BF"/>
    <w:rsid w:val="002D2D0B"/>
    <w:rsid w:val="002F0143"/>
    <w:rsid w:val="002F0D99"/>
    <w:rsid w:val="002F5B08"/>
    <w:rsid w:val="003038A0"/>
    <w:rsid w:val="003079C3"/>
    <w:rsid w:val="003162C1"/>
    <w:rsid w:val="00327A24"/>
    <w:rsid w:val="00347BA0"/>
    <w:rsid w:val="00360067"/>
    <w:rsid w:val="003600CF"/>
    <w:rsid w:val="00375A51"/>
    <w:rsid w:val="0039354F"/>
    <w:rsid w:val="003A7E12"/>
    <w:rsid w:val="003B07EE"/>
    <w:rsid w:val="003B5139"/>
    <w:rsid w:val="003D00A6"/>
    <w:rsid w:val="003E66AD"/>
    <w:rsid w:val="0040635B"/>
    <w:rsid w:val="004118DF"/>
    <w:rsid w:val="0042008A"/>
    <w:rsid w:val="004227DD"/>
    <w:rsid w:val="00425B7E"/>
    <w:rsid w:val="004347F2"/>
    <w:rsid w:val="00450D12"/>
    <w:rsid w:val="00452114"/>
    <w:rsid w:val="00452D4C"/>
    <w:rsid w:val="004565A9"/>
    <w:rsid w:val="004577FA"/>
    <w:rsid w:val="00474937"/>
    <w:rsid w:val="0049269C"/>
    <w:rsid w:val="004A3C07"/>
    <w:rsid w:val="004A4848"/>
    <w:rsid w:val="004B0641"/>
    <w:rsid w:val="004B6711"/>
    <w:rsid w:val="004C051E"/>
    <w:rsid w:val="004C394D"/>
    <w:rsid w:val="004C46A7"/>
    <w:rsid w:val="004D0E6E"/>
    <w:rsid w:val="004D3107"/>
    <w:rsid w:val="004E4EAA"/>
    <w:rsid w:val="004F0833"/>
    <w:rsid w:val="005107A4"/>
    <w:rsid w:val="0051366C"/>
    <w:rsid w:val="005171EF"/>
    <w:rsid w:val="0052285F"/>
    <w:rsid w:val="00523D83"/>
    <w:rsid w:val="005336B0"/>
    <w:rsid w:val="00536A91"/>
    <w:rsid w:val="00544971"/>
    <w:rsid w:val="005511C5"/>
    <w:rsid w:val="00551BA2"/>
    <w:rsid w:val="0055220C"/>
    <w:rsid w:val="005527BE"/>
    <w:rsid w:val="00566924"/>
    <w:rsid w:val="00570CD7"/>
    <w:rsid w:val="00571DCB"/>
    <w:rsid w:val="00581A19"/>
    <w:rsid w:val="005D210F"/>
    <w:rsid w:val="005E74FD"/>
    <w:rsid w:val="005F3A0A"/>
    <w:rsid w:val="005F7D90"/>
    <w:rsid w:val="00601050"/>
    <w:rsid w:val="00612563"/>
    <w:rsid w:val="00622E42"/>
    <w:rsid w:val="006371C8"/>
    <w:rsid w:val="00654D3A"/>
    <w:rsid w:val="0065615E"/>
    <w:rsid w:val="00667F0B"/>
    <w:rsid w:val="00676D83"/>
    <w:rsid w:val="0068328A"/>
    <w:rsid w:val="00685103"/>
    <w:rsid w:val="006B506E"/>
    <w:rsid w:val="006B5C50"/>
    <w:rsid w:val="006C3C41"/>
    <w:rsid w:val="006E05F2"/>
    <w:rsid w:val="006E2C69"/>
    <w:rsid w:val="006E6773"/>
    <w:rsid w:val="006F2BBF"/>
    <w:rsid w:val="006F34A7"/>
    <w:rsid w:val="00707A21"/>
    <w:rsid w:val="00755DF3"/>
    <w:rsid w:val="0076066B"/>
    <w:rsid w:val="00785612"/>
    <w:rsid w:val="007863C7"/>
    <w:rsid w:val="00790F8E"/>
    <w:rsid w:val="0079280B"/>
    <w:rsid w:val="00797C97"/>
    <w:rsid w:val="007A0395"/>
    <w:rsid w:val="007A1448"/>
    <w:rsid w:val="007A4B60"/>
    <w:rsid w:val="007C1413"/>
    <w:rsid w:val="007D2927"/>
    <w:rsid w:val="007E04FE"/>
    <w:rsid w:val="007E450F"/>
    <w:rsid w:val="00801052"/>
    <w:rsid w:val="00821074"/>
    <w:rsid w:val="00824906"/>
    <w:rsid w:val="00825253"/>
    <w:rsid w:val="00825F41"/>
    <w:rsid w:val="00843C81"/>
    <w:rsid w:val="008536F1"/>
    <w:rsid w:val="00853CB1"/>
    <w:rsid w:val="0087230A"/>
    <w:rsid w:val="0088015B"/>
    <w:rsid w:val="00880B40"/>
    <w:rsid w:val="008A2D68"/>
    <w:rsid w:val="008B4CFC"/>
    <w:rsid w:val="008C5162"/>
    <w:rsid w:val="008D5231"/>
    <w:rsid w:val="008E28A0"/>
    <w:rsid w:val="008E2EA1"/>
    <w:rsid w:val="008E50B9"/>
    <w:rsid w:val="00900684"/>
    <w:rsid w:val="00907ED8"/>
    <w:rsid w:val="00952520"/>
    <w:rsid w:val="0096347E"/>
    <w:rsid w:val="00977DD9"/>
    <w:rsid w:val="00986878"/>
    <w:rsid w:val="009870B0"/>
    <w:rsid w:val="00992E08"/>
    <w:rsid w:val="009D3101"/>
    <w:rsid w:val="009D5D8A"/>
    <w:rsid w:val="009D6B9A"/>
    <w:rsid w:val="009E2E1C"/>
    <w:rsid w:val="009E7A64"/>
    <w:rsid w:val="009F11DA"/>
    <w:rsid w:val="00A00755"/>
    <w:rsid w:val="00A03709"/>
    <w:rsid w:val="00A0785F"/>
    <w:rsid w:val="00A1174B"/>
    <w:rsid w:val="00A11F0C"/>
    <w:rsid w:val="00A33836"/>
    <w:rsid w:val="00A3544E"/>
    <w:rsid w:val="00A5047B"/>
    <w:rsid w:val="00AA0C13"/>
    <w:rsid w:val="00AB474F"/>
    <w:rsid w:val="00AC1D64"/>
    <w:rsid w:val="00AD4130"/>
    <w:rsid w:val="00AE1D2D"/>
    <w:rsid w:val="00AE7D5B"/>
    <w:rsid w:val="00B02174"/>
    <w:rsid w:val="00B064E9"/>
    <w:rsid w:val="00B13D6B"/>
    <w:rsid w:val="00B302BF"/>
    <w:rsid w:val="00B3117E"/>
    <w:rsid w:val="00B37A65"/>
    <w:rsid w:val="00B6177A"/>
    <w:rsid w:val="00B64B01"/>
    <w:rsid w:val="00B65BDD"/>
    <w:rsid w:val="00B6654D"/>
    <w:rsid w:val="00B83FFB"/>
    <w:rsid w:val="00B90821"/>
    <w:rsid w:val="00BA410E"/>
    <w:rsid w:val="00BA616A"/>
    <w:rsid w:val="00BD2289"/>
    <w:rsid w:val="00BD5C49"/>
    <w:rsid w:val="00BE6C8B"/>
    <w:rsid w:val="00BF3E36"/>
    <w:rsid w:val="00C10ED2"/>
    <w:rsid w:val="00C116B0"/>
    <w:rsid w:val="00C1742E"/>
    <w:rsid w:val="00C21251"/>
    <w:rsid w:val="00C37154"/>
    <w:rsid w:val="00C429BA"/>
    <w:rsid w:val="00C43286"/>
    <w:rsid w:val="00C53A7E"/>
    <w:rsid w:val="00C577D4"/>
    <w:rsid w:val="00C721D2"/>
    <w:rsid w:val="00C879E8"/>
    <w:rsid w:val="00C9022F"/>
    <w:rsid w:val="00C93E18"/>
    <w:rsid w:val="00C95F1E"/>
    <w:rsid w:val="00C96981"/>
    <w:rsid w:val="00CA27F9"/>
    <w:rsid w:val="00CC4A90"/>
    <w:rsid w:val="00CC742A"/>
    <w:rsid w:val="00CD21B1"/>
    <w:rsid w:val="00CD4CFE"/>
    <w:rsid w:val="00CD4EB3"/>
    <w:rsid w:val="00CE062B"/>
    <w:rsid w:val="00CE0DC7"/>
    <w:rsid w:val="00CF1A6F"/>
    <w:rsid w:val="00CF3305"/>
    <w:rsid w:val="00D01078"/>
    <w:rsid w:val="00D15B45"/>
    <w:rsid w:val="00D16263"/>
    <w:rsid w:val="00D27BFF"/>
    <w:rsid w:val="00D30E67"/>
    <w:rsid w:val="00D33321"/>
    <w:rsid w:val="00D37EA7"/>
    <w:rsid w:val="00D52603"/>
    <w:rsid w:val="00D53387"/>
    <w:rsid w:val="00D554D8"/>
    <w:rsid w:val="00D55674"/>
    <w:rsid w:val="00D729D4"/>
    <w:rsid w:val="00D86312"/>
    <w:rsid w:val="00DA058C"/>
    <w:rsid w:val="00DB3F5B"/>
    <w:rsid w:val="00DD1994"/>
    <w:rsid w:val="00DD617A"/>
    <w:rsid w:val="00DD68DF"/>
    <w:rsid w:val="00DE55A6"/>
    <w:rsid w:val="00E06FA1"/>
    <w:rsid w:val="00E14695"/>
    <w:rsid w:val="00E15CC5"/>
    <w:rsid w:val="00E24E80"/>
    <w:rsid w:val="00E32DCC"/>
    <w:rsid w:val="00E56E9F"/>
    <w:rsid w:val="00E61B16"/>
    <w:rsid w:val="00E621AD"/>
    <w:rsid w:val="00E83E47"/>
    <w:rsid w:val="00E90D80"/>
    <w:rsid w:val="00EA0C18"/>
    <w:rsid w:val="00EC4F6D"/>
    <w:rsid w:val="00ED5CF5"/>
    <w:rsid w:val="00EE4B15"/>
    <w:rsid w:val="00F01FAE"/>
    <w:rsid w:val="00F323E8"/>
    <w:rsid w:val="00F331BE"/>
    <w:rsid w:val="00F6626E"/>
    <w:rsid w:val="00F7589A"/>
    <w:rsid w:val="00F75ED3"/>
    <w:rsid w:val="00F81283"/>
    <w:rsid w:val="00F9315A"/>
    <w:rsid w:val="00F9364C"/>
    <w:rsid w:val="00FB03C5"/>
    <w:rsid w:val="00FB3375"/>
    <w:rsid w:val="00FC3461"/>
    <w:rsid w:val="00FD6103"/>
    <w:rsid w:val="00FE390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BDE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01"/>
      <w:jc w:val="both"/>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1" w:right="101"/>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B51F3"/>
    <w:rPr>
      <w:color w:val="0000FF"/>
      <w:u w:val="single"/>
    </w:rPr>
  </w:style>
  <w:style w:type="paragraph" w:styleId="BalloonText">
    <w:name w:val="Balloon Text"/>
    <w:basedOn w:val="Normal"/>
    <w:link w:val="BalloonTextChar"/>
    <w:uiPriority w:val="99"/>
    <w:semiHidden/>
    <w:unhideWhenUsed/>
    <w:rsid w:val="005511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11C5"/>
    <w:rPr>
      <w:rFonts w:ascii="Lucida Grande" w:eastAsia="Arial" w:hAnsi="Lucida Grande" w:cs="Lucida Grande"/>
      <w:sz w:val="18"/>
      <w:szCs w:val="18"/>
    </w:rPr>
  </w:style>
  <w:style w:type="table" w:styleId="TableGrid">
    <w:name w:val="Table Grid"/>
    <w:basedOn w:val="TableNormal"/>
    <w:uiPriority w:val="59"/>
    <w:rsid w:val="006125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2A743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59586">
      <w:bodyDiv w:val="1"/>
      <w:marLeft w:val="0"/>
      <w:marRight w:val="0"/>
      <w:marTop w:val="0"/>
      <w:marBottom w:val="0"/>
      <w:divBdr>
        <w:top w:val="none" w:sz="0" w:space="0" w:color="auto"/>
        <w:left w:val="none" w:sz="0" w:space="0" w:color="auto"/>
        <w:bottom w:val="none" w:sz="0" w:space="0" w:color="auto"/>
        <w:right w:val="none" w:sz="0" w:space="0" w:color="auto"/>
      </w:divBdr>
    </w:div>
    <w:div w:id="337999559">
      <w:bodyDiv w:val="1"/>
      <w:marLeft w:val="0"/>
      <w:marRight w:val="0"/>
      <w:marTop w:val="0"/>
      <w:marBottom w:val="0"/>
      <w:divBdr>
        <w:top w:val="none" w:sz="0" w:space="0" w:color="auto"/>
        <w:left w:val="none" w:sz="0" w:space="0" w:color="auto"/>
        <w:bottom w:val="none" w:sz="0" w:space="0" w:color="auto"/>
        <w:right w:val="none" w:sz="0" w:space="0" w:color="auto"/>
      </w:divBdr>
    </w:div>
    <w:div w:id="717046388">
      <w:bodyDiv w:val="1"/>
      <w:marLeft w:val="0"/>
      <w:marRight w:val="0"/>
      <w:marTop w:val="0"/>
      <w:marBottom w:val="0"/>
      <w:divBdr>
        <w:top w:val="none" w:sz="0" w:space="0" w:color="auto"/>
        <w:left w:val="none" w:sz="0" w:space="0" w:color="auto"/>
        <w:bottom w:val="none" w:sz="0" w:space="0" w:color="auto"/>
        <w:right w:val="none" w:sz="0" w:space="0" w:color="auto"/>
      </w:divBdr>
    </w:div>
    <w:div w:id="795215712">
      <w:bodyDiv w:val="1"/>
      <w:marLeft w:val="0"/>
      <w:marRight w:val="0"/>
      <w:marTop w:val="0"/>
      <w:marBottom w:val="0"/>
      <w:divBdr>
        <w:top w:val="none" w:sz="0" w:space="0" w:color="auto"/>
        <w:left w:val="none" w:sz="0" w:space="0" w:color="auto"/>
        <w:bottom w:val="none" w:sz="0" w:space="0" w:color="auto"/>
        <w:right w:val="none" w:sz="0" w:space="0" w:color="auto"/>
      </w:divBdr>
    </w:div>
    <w:div w:id="956251515">
      <w:bodyDiv w:val="1"/>
      <w:marLeft w:val="0"/>
      <w:marRight w:val="0"/>
      <w:marTop w:val="0"/>
      <w:marBottom w:val="0"/>
      <w:divBdr>
        <w:top w:val="none" w:sz="0" w:space="0" w:color="auto"/>
        <w:left w:val="none" w:sz="0" w:space="0" w:color="auto"/>
        <w:bottom w:val="none" w:sz="0" w:space="0" w:color="auto"/>
        <w:right w:val="none" w:sz="0" w:space="0" w:color="auto"/>
      </w:divBdr>
    </w:div>
    <w:div w:id="1043096130">
      <w:bodyDiv w:val="1"/>
      <w:marLeft w:val="0"/>
      <w:marRight w:val="0"/>
      <w:marTop w:val="0"/>
      <w:marBottom w:val="0"/>
      <w:divBdr>
        <w:top w:val="none" w:sz="0" w:space="0" w:color="auto"/>
        <w:left w:val="none" w:sz="0" w:space="0" w:color="auto"/>
        <w:bottom w:val="none" w:sz="0" w:space="0" w:color="auto"/>
        <w:right w:val="none" w:sz="0" w:space="0" w:color="auto"/>
      </w:divBdr>
    </w:div>
    <w:div w:id="1240945315">
      <w:bodyDiv w:val="1"/>
      <w:marLeft w:val="0"/>
      <w:marRight w:val="0"/>
      <w:marTop w:val="0"/>
      <w:marBottom w:val="0"/>
      <w:divBdr>
        <w:top w:val="none" w:sz="0" w:space="0" w:color="auto"/>
        <w:left w:val="none" w:sz="0" w:space="0" w:color="auto"/>
        <w:bottom w:val="none" w:sz="0" w:space="0" w:color="auto"/>
        <w:right w:val="none" w:sz="0" w:space="0" w:color="auto"/>
      </w:divBdr>
    </w:div>
    <w:div w:id="1271862393">
      <w:bodyDiv w:val="1"/>
      <w:marLeft w:val="0"/>
      <w:marRight w:val="0"/>
      <w:marTop w:val="0"/>
      <w:marBottom w:val="0"/>
      <w:divBdr>
        <w:top w:val="none" w:sz="0" w:space="0" w:color="auto"/>
        <w:left w:val="none" w:sz="0" w:space="0" w:color="auto"/>
        <w:bottom w:val="none" w:sz="0" w:space="0" w:color="auto"/>
        <w:right w:val="none" w:sz="0" w:space="0" w:color="auto"/>
      </w:divBdr>
    </w:div>
    <w:div w:id="1448695715">
      <w:bodyDiv w:val="1"/>
      <w:marLeft w:val="0"/>
      <w:marRight w:val="0"/>
      <w:marTop w:val="0"/>
      <w:marBottom w:val="0"/>
      <w:divBdr>
        <w:top w:val="none" w:sz="0" w:space="0" w:color="auto"/>
        <w:left w:val="none" w:sz="0" w:space="0" w:color="auto"/>
        <w:bottom w:val="none" w:sz="0" w:space="0" w:color="auto"/>
        <w:right w:val="none" w:sz="0" w:space="0" w:color="auto"/>
      </w:divBdr>
    </w:div>
    <w:div w:id="1643578865">
      <w:bodyDiv w:val="1"/>
      <w:marLeft w:val="0"/>
      <w:marRight w:val="0"/>
      <w:marTop w:val="0"/>
      <w:marBottom w:val="0"/>
      <w:divBdr>
        <w:top w:val="none" w:sz="0" w:space="0" w:color="auto"/>
        <w:left w:val="none" w:sz="0" w:space="0" w:color="auto"/>
        <w:bottom w:val="none" w:sz="0" w:space="0" w:color="auto"/>
        <w:right w:val="none" w:sz="0" w:space="0" w:color="auto"/>
      </w:divBdr>
    </w:div>
    <w:div w:id="1763454460">
      <w:bodyDiv w:val="1"/>
      <w:marLeft w:val="0"/>
      <w:marRight w:val="0"/>
      <w:marTop w:val="0"/>
      <w:marBottom w:val="0"/>
      <w:divBdr>
        <w:top w:val="none" w:sz="0" w:space="0" w:color="auto"/>
        <w:left w:val="none" w:sz="0" w:space="0" w:color="auto"/>
        <w:bottom w:val="none" w:sz="0" w:space="0" w:color="auto"/>
        <w:right w:val="none" w:sz="0" w:space="0" w:color="auto"/>
      </w:divBdr>
    </w:div>
    <w:div w:id="2013140091">
      <w:bodyDiv w:val="1"/>
      <w:marLeft w:val="0"/>
      <w:marRight w:val="0"/>
      <w:marTop w:val="0"/>
      <w:marBottom w:val="0"/>
      <w:divBdr>
        <w:top w:val="none" w:sz="0" w:space="0" w:color="auto"/>
        <w:left w:val="none" w:sz="0" w:space="0" w:color="auto"/>
        <w:bottom w:val="none" w:sz="0" w:space="0" w:color="auto"/>
        <w:right w:val="none" w:sz="0" w:space="0" w:color="auto"/>
      </w:divBdr>
    </w:div>
    <w:div w:id="2066835371">
      <w:bodyDiv w:val="1"/>
      <w:marLeft w:val="0"/>
      <w:marRight w:val="0"/>
      <w:marTop w:val="0"/>
      <w:marBottom w:val="0"/>
      <w:divBdr>
        <w:top w:val="none" w:sz="0" w:space="0" w:color="auto"/>
        <w:left w:val="none" w:sz="0" w:space="0" w:color="auto"/>
        <w:bottom w:val="none" w:sz="0" w:space="0" w:color="auto"/>
        <w:right w:val="none" w:sz="0" w:space="0" w:color="auto"/>
      </w:divBdr>
    </w:div>
    <w:div w:id="2117631451">
      <w:bodyDiv w:val="1"/>
      <w:marLeft w:val="0"/>
      <w:marRight w:val="0"/>
      <w:marTop w:val="0"/>
      <w:marBottom w:val="0"/>
      <w:divBdr>
        <w:top w:val="none" w:sz="0" w:space="0" w:color="auto"/>
        <w:left w:val="none" w:sz="0" w:space="0" w:color="auto"/>
        <w:bottom w:val="none" w:sz="0" w:space="0" w:color="auto"/>
        <w:right w:val="none" w:sz="0" w:space="0" w:color="auto"/>
      </w:divBdr>
    </w:div>
    <w:div w:id="212619555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hyperlink" Target="https://en.wikipedia.org/wiki/Regularized_least_squares#Ridge_regression" TargetMode="External"/><Relationship Id="rId21" Type="http://schemas.openxmlformats.org/officeDocument/2006/relationships/hyperlink" Target="https://en.wikipedia.org/wiki/Decision_tree_learning" TargetMode="External"/><Relationship Id="rId22" Type="http://schemas.openxmlformats.org/officeDocument/2006/relationships/hyperlink" Target="https://en.wikipedia.org/wiki/Random_forest" TargetMode="External"/><Relationship Id="rId23" Type="http://schemas.openxmlformats.org/officeDocument/2006/relationships/hyperlink" Target="https://en.wikipedia.org/wiki/Artificial_neural_network" TargetMode="External"/><Relationship Id="rId24" Type="http://schemas.openxmlformats.org/officeDocument/2006/relationships/hyperlink" Target="https://scikit-learn.org/stable/modules/generated/sklearn.neural_network.MLPRegressor.html" TargetMode="External"/><Relationship Id="rId25" Type="http://schemas.openxmlformats.org/officeDocument/2006/relationships/hyperlink" Target="https://medium.com/@pushkarmandot/https-medium-com-pushkarmandot-what-is-lightgbm-how-to-implement-it-how-to-fine-tune-the-parameters-60347819b7fc"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hyperlink" Target="https://www.kdnuggets.com/2018/04/right-metric-evaluating-machine-learning-models-1.html" TargetMode="External"/><Relationship Id="rId16" Type="http://schemas.openxmlformats.org/officeDocument/2006/relationships/hyperlink" Target="http://www.mvstat.net/tduong/research/seminars/seminar-2001-05/" TargetMode="External"/><Relationship Id="rId17" Type="http://schemas.openxmlformats.org/officeDocument/2006/relationships/hyperlink" Target="https://en.wikipedia.org/wiki/Linear_regression" TargetMode="External"/><Relationship Id="rId18" Type="http://schemas.openxmlformats.org/officeDocument/2006/relationships/hyperlink" Target="https://www.statisticshowto.datasciencecentral.com/ridge-regression/" TargetMode="External"/><Relationship Id="rId19" Type="http://schemas.openxmlformats.org/officeDocument/2006/relationships/hyperlink" Target="https://en.wikipedia.org/wiki/Lasso_(statistic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hyperlink" Target="https://www.glodap.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471</TotalTime>
  <Pages>13</Pages>
  <Words>3589</Words>
  <Characters>20463</Characters>
  <Application>Microsoft Macintosh Word</Application>
  <DocSecurity>0</DocSecurity>
  <Lines>170</Lines>
  <Paragraphs>48</Paragraphs>
  <ScaleCrop>false</ScaleCrop>
  <Company>University of Exeter</Company>
  <LinksUpToDate>false</LinksUpToDate>
  <CharactersWithSpaces>24004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Tobia Tudino</cp:lastModifiedBy>
  <cp:revision>242</cp:revision>
  <dcterms:created xsi:type="dcterms:W3CDTF">2019-10-12T14:35:00Z</dcterms:created>
  <dcterms:modified xsi:type="dcterms:W3CDTF">2019-10-21T20:39:00Z</dcterms:modified>
</cp:coreProperties>
</file>