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 w:rsidR="002F773C"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_heading=h.2et92p0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Цели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8A17811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 w:rsidR="002F773C"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_heading=h.tyjcwt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Обхват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587FF83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 w:rsidR="002F773C"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_heading=h.3dy6vkm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D62458A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 w:rsidR="002F773C"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_heading=h.1t3h5sf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Системни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3E12B033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 w:rsidR="002F773C"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_heading=h.4d34og8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6DFE721C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 w:rsidR="002F773C"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_heading=h.2s8eyo1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Нефункционални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556C975A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 w:rsidR="002F773C"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_heading=h.3rdcrjn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1F74936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 w:rsidR="002F773C"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_heading=h.26in1rg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6C07D93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 w:rsidR="002F773C"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_heading=h.lnxbz9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19E4BE3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 w:rsidR="002F773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_heading=h.35nkun2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10D23B5A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 w:rsidR="002F773C"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_heading=h.1ksv4uv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Софтуерна архитектура на система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C3BB725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 w:rsidR="002F773C"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_heading=h.44sinio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Декомпозиция на системата на модули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9EE0346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 w:rsidR="002F773C"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_heading=h.2jxsxqh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Концептуален модел на БД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B005F95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 w:rsidR="002F773C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_heading=h.z337ya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Ресурси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85FB815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 w:rsidR="002F773C"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_heading=h.3j2qqm3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Акроними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25FF7B" w14:textId="77777777" w:rsidR="009720F0" w:rsidRDefault="0091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 w:rsidR="002F773C"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_heading=h.1y810tw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Други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Функционални изисквания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37A13D4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39A4F288" w:rsidR="00376997" w:rsidRDefault="00376997" w:rsidP="00376997">
            <w:r>
              <w:t xml:space="preserve">Да  </w:t>
            </w:r>
            <w:r w:rsidR="008957DE">
              <w:t xml:space="preserve">получа корелационен </w:t>
            </w:r>
            <w:r>
              <w:t xml:space="preserve">анализ на броя на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2D14A152" w:rsidR="00DC50BE" w:rsidRDefault="00DC50BE">
            <w:r>
              <w:t>Извежда на потребителя корелационен анализ на броя на качените в системата упражнения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6E3C4335" w:rsidR="00DC50BE" w:rsidRDefault="008855CE">
            <w:r>
              <w:t>Менюто да има всички необходими опции и да е удобно за използване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lastRenderedPageBreak/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C885" w14:textId="77777777" w:rsidR="00910069" w:rsidRDefault="00910069">
      <w:pPr>
        <w:spacing w:before="0" w:after="0"/>
      </w:pPr>
      <w:r>
        <w:separator/>
      </w:r>
    </w:p>
  </w:endnote>
  <w:endnote w:type="continuationSeparator" w:id="0">
    <w:p w14:paraId="6DDCA063" w14:textId="77777777" w:rsidR="00910069" w:rsidRDefault="009100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910069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 w:rsidR="00910069"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910069"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5ACE" w14:textId="77777777" w:rsidR="00910069" w:rsidRDefault="00910069">
      <w:pPr>
        <w:spacing w:before="0" w:after="0"/>
      </w:pPr>
      <w:r>
        <w:separator/>
      </w:r>
    </w:p>
  </w:footnote>
  <w:footnote w:type="continuationSeparator" w:id="0">
    <w:p w14:paraId="176FE332" w14:textId="77777777" w:rsidR="00910069" w:rsidRDefault="009100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7E90"/>
    <w:rsid w:val="002B205D"/>
    <w:rsid w:val="002F773C"/>
    <w:rsid w:val="00376997"/>
    <w:rsid w:val="003E0594"/>
    <w:rsid w:val="004A3A03"/>
    <w:rsid w:val="0052243C"/>
    <w:rsid w:val="0058499E"/>
    <w:rsid w:val="008855CE"/>
    <w:rsid w:val="008957DE"/>
    <w:rsid w:val="00910069"/>
    <w:rsid w:val="009720F0"/>
    <w:rsid w:val="00A91391"/>
    <w:rsid w:val="00C511EA"/>
    <w:rsid w:val="00DC50BE"/>
    <w:rsid w:val="00E34EEB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4</cp:revision>
  <dcterms:created xsi:type="dcterms:W3CDTF">2015-09-26T10:38:00Z</dcterms:created>
  <dcterms:modified xsi:type="dcterms:W3CDTF">2022-03-20T10:29:00Z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