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Unicode MS" w:hAnsi="Arial Unicode MS" w:eastAsia="Arial Unicode MS"/>
          <w:b/>
          <w:color w:val="0D666C"/>
          <w:sz w:val="17"/>
        </w:rPr>
        <w:t>PUBLIC PROFESSIONAL PROFILE · 2026</w:t>
      </w:r>
    </w:p>
    <w:p>
      <w:pPr>
        <w:spacing w:after="20"/>
      </w:pPr>
      <w:r>
        <w:rPr>
          <w:rFonts w:ascii="Arial Unicode MS" w:hAnsi="Arial Unicode MS" w:eastAsia="Arial Unicode MS"/>
          <w:b/>
          <w:color w:val="16344A"/>
          <w:sz w:val="52"/>
        </w:rPr>
        <w:t>丁海祥</w:t>
      </w:r>
    </w:p>
    <w:p>
      <w:pPr>
        <w:spacing w:after="60"/>
      </w:pPr>
      <w:r>
        <w:rPr>
          <w:rFonts w:ascii="Arial Unicode MS" w:hAnsi="Arial Unicode MS" w:eastAsia="Arial Unicode MS" w:cs="Arial Unicode MS"/>
          <w:b/>
          <w:color w:val="282D32"/>
          <w:sz w:val="22"/>
        </w:rPr>
        <w:t>Haixiang Ding, M.D.  ｜  主治医师  ｜  苏州大学2026级临床医学博士专业学位学员</w:t>
      </w:r>
    </w:p>
    <w:p>
      <w:pPr>
        <w:spacing w:after="180"/>
      </w:pPr>
      <w:r>
        <w:rPr>
          <w:rFonts w:ascii="Arial Unicode MS" w:hAnsi="Arial Unicode MS" w:eastAsia="Arial Unicode MS"/>
          <w:b w:val="0"/>
          <w:color w:val="606970"/>
          <w:sz w:val="20"/>
        </w:rPr>
        <w:t>江南大学附属医院 · 急诊医学科 / 创伤外科 · 无锡，中国</w:t>
      </w:r>
    </w:p>
    <w:tbl>
      <w:tblPr>
        <w:tblW w:type="auto" w:w="0"/>
        <w:tblLayout w:type="fixed"/>
        <w:tblLook w:firstColumn="1" w:firstRow="1" w:lastColumn="0" w:lastRow="0" w:noHBand="0" w:noVBand="1" w:val="04A0"/>
        <w:tblBorders>
          <w:top w:val="single" w:sz="3" w:space="0" w:color="B8C8D1"/>
          <w:left w:val="single" w:sz="3" w:space="0" w:color="B8C8D1"/>
          <w:bottom w:val="single" w:sz="3" w:space="0" w:color="B8C8D1"/>
          <w:right w:val="single" w:sz="3" w:space="0" w:color="B8C8D1"/>
          <w:insideH w:val="single" w:sz="3" w:space="0" w:color="B8C8D1"/>
          <w:insideV w:val="single" w:sz="3" w:space="0" w:color="B8C8D1"/>
        </w:tblBorders>
      </w:tblPr>
      <w:tblGrid>
        <w:gridCol w:w="2466"/>
        <w:gridCol w:w="2466"/>
        <w:gridCol w:w="2466"/>
        <w:gridCol w:w="2466"/>
      </w:tblGrid>
      <w:tr>
        <w:tc>
          <w:tcPr>
            <w:tcW w:type="dxa" w:w="2466"/>
            <w:vAlign w:val="center"/>
            <w:shd w:fill="E8EEF2"/>
            <w:tcMar>
              <w:top w:w="85" w:type="dxa"/>
              <w:start w:w="90" w:type="dxa"/>
              <w:bottom w:w="85" w:type="dxa"/>
              <w:end w:w="90" w:type="dxa"/>
            </w:tcMar>
          </w:tcPr>
          <w:p>
            <w:pPr>
              <w:spacing w:after="0"/>
              <w:jc w:val="center"/>
            </w:pPr>
            <w:r>
              <w:rPr>
                <w:rFonts w:ascii="Arial Unicode MS" w:hAnsi="Arial Unicode MS" w:eastAsia="Arial Unicode MS"/>
                <w:b/>
                <w:color w:val="0D666C"/>
                <w:sz w:val="16"/>
              </w:rPr>
              <w:t>严重创伤与MDT</w:t>
            </w:r>
          </w:p>
        </w:tc>
        <w:tc>
          <w:tcPr>
            <w:tcW w:type="dxa" w:w="2466"/>
            <w:vAlign w:val="center"/>
            <w:shd w:fill="E8EEF2"/>
            <w:tcMar>
              <w:top w:w="85" w:type="dxa"/>
              <w:start w:w="90" w:type="dxa"/>
              <w:bottom w:w="85" w:type="dxa"/>
              <w:end w:w="90" w:type="dxa"/>
            </w:tcMar>
          </w:tcPr>
          <w:p>
            <w:pPr>
              <w:spacing w:after="0"/>
              <w:jc w:val="center"/>
            </w:pPr>
            <w:r>
              <w:rPr>
                <w:rFonts w:ascii="Arial Unicode MS" w:hAnsi="Arial Unicode MS" w:eastAsia="Arial Unicode MS"/>
                <w:b/>
                <w:color w:val="0D666C"/>
                <w:sz w:val="16"/>
              </w:rPr>
              <w:t>骨盆与脆性骨折</w:t>
            </w:r>
          </w:p>
        </w:tc>
        <w:tc>
          <w:tcPr>
            <w:tcW w:type="dxa" w:w="2466"/>
            <w:vAlign w:val="center"/>
            <w:shd w:fill="E8EEF2"/>
            <w:tcMar>
              <w:top w:w="85" w:type="dxa"/>
              <w:start w:w="90" w:type="dxa"/>
              <w:bottom w:w="85" w:type="dxa"/>
              <w:end w:w="90" w:type="dxa"/>
            </w:tcMar>
          </w:tcPr>
          <w:p>
            <w:pPr>
              <w:spacing w:after="0"/>
              <w:jc w:val="center"/>
            </w:pPr>
            <w:r>
              <w:rPr>
                <w:rFonts w:ascii="Arial Unicode MS" w:hAnsi="Arial Unicode MS" w:eastAsia="Arial Unicode MS"/>
                <w:b/>
                <w:color w:val="0D666C"/>
                <w:sz w:val="16"/>
              </w:rPr>
              <w:t>临床研究</w:t>
            </w:r>
          </w:p>
        </w:tc>
        <w:tc>
          <w:tcPr>
            <w:tcW w:type="dxa" w:w="2466"/>
            <w:vAlign w:val="center"/>
            <w:shd w:fill="E8EEF2"/>
            <w:tcMar>
              <w:top w:w="85" w:type="dxa"/>
              <w:start w:w="90" w:type="dxa"/>
              <w:bottom w:w="85" w:type="dxa"/>
              <w:end w:w="90" w:type="dxa"/>
            </w:tcMar>
          </w:tcPr>
          <w:p>
            <w:pPr>
              <w:spacing w:after="0"/>
              <w:jc w:val="center"/>
            </w:pPr>
            <w:r>
              <w:rPr>
                <w:rFonts w:ascii="Arial Unicode MS" w:hAnsi="Arial Unicode MS" w:eastAsia="Arial Unicode MS"/>
                <w:b/>
                <w:color w:val="0D666C"/>
                <w:sz w:val="16"/>
              </w:rPr>
              <w:t>医学教育与医疗AI</w:t>
            </w:r>
          </w:p>
        </w:tc>
      </w:tr>
    </w:tbl>
    <w:p>
      <w:pPr>
        <w:pStyle w:val="Heading1"/>
        <w:keepNext/>
      </w:pPr>
      <w:r>
        <w:t>专业概况</w:t>
      </w:r>
    </w:p>
    <w:p>
      <w:pPr>
        <w:spacing w:after="100"/>
      </w:pPr>
      <w:r>
        <w:rPr>
          <w:rFonts w:ascii="Arial Unicode MS" w:hAnsi="Arial Unicode MS" w:eastAsia="Arial Unicode MS" w:cs="Arial Unicode MS"/>
          <w:b w:val="0"/>
          <w:color w:val="282D32"/>
          <w:sz w:val="20"/>
        </w:rPr>
        <w:t>长期从事急诊医学与创伤外科临床工作，重点参与多发伤、骨盆骨折、老年髋部骨折及围术期高危患者的急诊救治、MDT协作和结局评估。已被苏州大学录取为2026级临床医学博士专业学位学员（在职），研究方向为糖尿病骨质疏松机制研究。兼具临床研究、医学教育和学术审稿经历，并持续探索负责任的医疗人工智能应用。</w:t>
      </w:r>
    </w:p>
    <w:p>
      <w:pPr>
        <w:pStyle w:val="Heading1"/>
        <w:keepNext/>
      </w:pPr>
      <w:r>
        <w:t>临床与教育经历</w:t>
      </w:r>
    </w:p>
    <w:p>
      <w:pPr>
        <w:keepNext/>
        <w:spacing w:before="60" w:after="20"/>
      </w:pPr>
      <w:r>
        <w:rPr>
          <w:rFonts w:ascii="Arial Unicode MS" w:hAnsi="Arial Unicode MS" w:eastAsia="Arial Unicode MS"/>
          <w:b/>
          <w:color w:val="16344A"/>
          <w:sz w:val="21"/>
        </w:rPr>
        <w:t>主治医师</w:t>
      </w:r>
      <w:r>
        <w:rPr>
          <w:rFonts w:ascii="Arial Unicode MS" w:hAnsi="Arial Unicode MS" w:eastAsia="Arial Unicode MS"/>
          <w:b w:val="0"/>
          <w:color w:val="606970"/>
          <w:sz w:val="19"/>
        </w:rPr>
        <w:t xml:space="preserve">  |  2023.01—至今</w:t>
      </w:r>
    </w:p>
    <w:p>
      <w:pPr>
        <w:keepNext/>
        <w:spacing w:after="60"/>
      </w:pPr>
      <w:r>
        <w:rPr>
          <w:rFonts w:ascii="Arial Unicode MS" w:hAnsi="Arial Unicode MS" w:eastAsia="Arial Unicode MS"/>
          <w:b/>
          <w:color w:val="282D32"/>
          <w:sz w:val="20"/>
        </w:rPr>
        <w:t>江南大学附属医院 · 急诊医学科 / 创伤外科</w:t>
      </w:r>
    </w:p>
    <w:p>
      <w:pPr>
        <w:pStyle w:val="ListBullet"/>
        <w:keepLines/>
      </w:pPr>
      <w:r>
        <w:rPr>
          <w:rFonts w:ascii="Arial Unicode MS" w:hAnsi="Arial Unicode MS" w:eastAsia="Arial Unicode MS"/>
          <w:b w:val="0"/>
          <w:color w:val="282D32"/>
          <w:sz w:val="18"/>
        </w:rPr>
        <w:t>参与严重创伤、多发伤、骨盆及四肢骨折患者的急诊评估、围术期管理与多学科协作救治。</w:t>
      </w:r>
    </w:p>
    <w:p>
      <w:pPr>
        <w:pStyle w:val="ListBullet"/>
        <w:keepLines/>
      </w:pPr>
      <w:r>
        <w:rPr>
          <w:rFonts w:ascii="Arial Unicode MS" w:hAnsi="Arial Unicode MS" w:eastAsia="Arial Unicode MS"/>
          <w:b w:val="0"/>
          <w:color w:val="282D32"/>
          <w:sz w:val="18"/>
        </w:rPr>
        <w:t>承担急诊见习带教、创伤伤口处理课程及住院医师/医学生临床教学。</w:t>
      </w:r>
    </w:p>
    <w:p>
      <w:pPr>
        <w:keepNext/>
        <w:spacing w:before="60" w:after="20"/>
      </w:pPr>
      <w:r>
        <w:rPr>
          <w:rFonts w:ascii="Arial Unicode MS" w:hAnsi="Arial Unicode MS" w:eastAsia="Arial Unicode MS"/>
          <w:b/>
          <w:color w:val="16344A"/>
          <w:sz w:val="21"/>
        </w:rPr>
        <w:t>住院医师</w:t>
      </w:r>
      <w:r>
        <w:rPr>
          <w:rFonts w:ascii="Arial Unicode MS" w:hAnsi="Arial Unicode MS" w:eastAsia="Arial Unicode MS"/>
          <w:b w:val="0"/>
          <w:color w:val="606970"/>
          <w:sz w:val="19"/>
        </w:rPr>
        <w:t xml:space="preserve">  |  2018.08—2022.12</w:t>
      </w:r>
    </w:p>
    <w:p>
      <w:pPr>
        <w:keepNext/>
        <w:spacing w:after="60"/>
      </w:pPr>
      <w:r>
        <w:rPr>
          <w:rFonts w:ascii="Arial Unicode MS" w:hAnsi="Arial Unicode MS" w:eastAsia="Arial Unicode MS"/>
          <w:b/>
          <w:color w:val="282D32"/>
          <w:sz w:val="20"/>
        </w:rPr>
        <w:t>江南大学附属医院 · 急诊医学科 / 创伤外科</w:t>
      </w:r>
    </w:p>
    <w:p>
      <w:pPr>
        <w:pStyle w:val="ListBullet"/>
        <w:keepLines/>
      </w:pPr>
      <w:r>
        <w:rPr>
          <w:rFonts w:ascii="Arial Unicode MS" w:hAnsi="Arial Unicode MS" w:eastAsia="Arial Unicode MS"/>
          <w:b w:val="0"/>
          <w:color w:val="282D32"/>
          <w:sz w:val="18"/>
        </w:rPr>
        <w:t>完成急诊、创伤与相关重症场景的系统临床训练，积累复杂创伤患者评估与连续管理经验。</w:t>
      </w:r>
    </w:p>
    <w:p>
      <w:pPr>
        <w:pStyle w:val="Heading1"/>
        <w:keepNext/>
      </w:pPr>
      <w:r>
        <w:t>教育背景</w:t>
      </w:r>
    </w:p>
    <w:p>
      <w:pPr>
        <w:keepLines/>
        <w:spacing w:after="60"/>
      </w:pPr>
      <w:r>
        <w:rPr>
          <w:rFonts w:ascii="Arial Unicode MS" w:hAnsi="Arial Unicode MS" w:eastAsia="Arial Unicode MS" w:cs="Arial Unicode MS"/>
          <w:b/>
          <w:color w:val="0D666C"/>
          <w:sz w:val="19"/>
        </w:rPr>
        <w:t xml:space="preserve">2026级（已录取）  </w:t>
      </w:r>
      <w:r>
        <w:rPr>
          <w:rFonts w:ascii="Arial Unicode MS" w:hAnsi="Arial Unicode MS" w:eastAsia="Arial Unicode MS" w:cs="Arial Unicode MS"/>
          <w:b w:val="0"/>
          <w:color w:val="282D32"/>
          <w:sz w:val="19"/>
        </w:rPr>
        <w:t>苏州大学｜临床医学博士专业学位学员（在职）</w:t>
      </w:r>
    </w:p>
    <w:p>
      <w:pPr>
        <w:keepLines/>
        <w:spacing w:after="60"/>
      </w:pPr>
      <w:r>
        <w:rPr>
          <w:rFonts w:ascii="Arial Unicode MS" w:hAnsi="Arial Unicode MS" w:eastAsia="Arial Unicode MS"/>
          <w:b/>
          <w:color w:val="0D666C"/>
          <w:sz w:val="19"/>
        </w:rPr>
        <w:t xml:space="preserve">2015.08—2018.06  </w:t>
      </w:r>
      <w:r>
        <w:rPr>
          <w:rFonts w:ascii="Arial Unicode MS" w:hAnsi="Arial Unicode MS" w:eastAsia="Arial Unicode MS"/>
          <w:b w:val="0"/>
          <w:color w:val="282D32"/>
          <w:sz w:val="19"/>
        </w:rPr>
        <w:t>大连大学｜临床医学硕士</w:t>
      </w:r>
    </w:p>
    <w:p>
      <w:pPr>
        <w:keepLines/>
        <w:spacing w:after="60"/>
      </w:pPr>
      <w:r>
        <w:rPr>
          <w:rFonts w:ascii="Arial Unicode MS" w:hAnsi="Arial Unicode MS" w:eastAsia="Arial Unicode MS"/>
          <w:b/>
          <w:color w:val="0D666C"/>
          <w:sz w:val="19"/>
        </w:rPr>
        <w:t xml:space="preserve">2010.08—2015.06  </w:t>
      </w:r>
      <w:r>
        <w:rPr>
          <w:rFonts w:ascii="Arial Unicode MS" w:hAnsi="Arial Unicode MS" w:eastAsia="Arial Unicode MS"/>
          <w:b w:val="0"/>
          <w:color w:val="282D32"/>
          <w:sz w:val="19"/>
        </w:rPr>
        <w:t>徐州医学院｜临床医学学士</w:t>
      </w:r>
    </w:p>
    <w:p>
      <w:pPr>
        <w:pStyle w:val="Heading1"/>
        <w:keepNext/>
      </w:pPr>
      <w:r>
        <w:t>研究方向</w:t>
      </w:r>
    </w:p>
    <w:p>
      <w:pPr>
        <w:pStyle w:val="ListBullet"/>
        <w:keepLines/>
      </w:pPr>
      <w:r>
        <w:rPr>
          <w:rFonts w:ascii="Arial Unicode MS" w:hAnsi="Arial Unicode MS" w:eastAsia="Arial Unicode MS" w:cs="Arial Unicode MS"/>
          <w:b/>
          <w:color w:val="16344A"/>
          <w:sz w:val="18"/>
        </w:rPr>
        <w:t>糖尿病骨质疏松的发病机制及相关骨—肌代谢机制研究（博士专业学位研究方向）。</w:t>
      </w:r>
    </w:p>
    <w:p>
      <w:pPr>
        <w:pStyle w:val="ListBullet"/>
        <w:keepLines/>
      </w:pPr>
      <w:r>
        <w:rPr>
          <w:rFonts w:ascii="Arial Unicode MS" w:hAnsi="Arial Unicode MS" w:eastAsia="Arial Unicode MS"/>
          <w:b w:val="0"/>
          <w:color w:val="282D32"/>
          <w:sz w:val="18"/>
        </w:rPr>
        <w:t>多发伤合并骨盆骨折的临床特征、死亡风险因素与整合式MDT救治。</w:t>
      </w:r>
    </w:p>
    <w:p>
      <w:pPr>
        <w:pStyle w:val="ListBullet"/>
        <w:keepLines/>
      </w:pPr>
      <w:r>
        <w:rPr>
          <w:rFonts w:ascii="Arial Unicode MS" w:hAnsi="Arial Unicode MS" w:eastAsia="Arial Unicode MS"/>
          <w:b w:val="0"/>
          <w:color w:val="282D32"/>
          <w:sz w:val="18"/>
        </w:rPr>
        <w:t>老年髋部骨折、脆性骨折、骨质疏松及围术期风险分层与二级预防。</w:t>
      </w:r>
    </w:p>
    <w:p>
      <w:pPr>
        <w:pStyle w:val="ListBullet"/>
        <w:keepLines/>
      </w:pPr>
      <w:r>
        <w:rPr>
          <w:rFonts w:ascii="Arial Unicode MS" w:hAnsi="Arial Unicode MS" w:eastAsia="Arial Unicode MS" w:cs="Arial Unicode MS"/>
          <w:b w:val="0"/>
          <w:color w:val="282D32"/>
          <w:sz w:val="18"/>
        </w:rPr>
        <w:t>脆性骨折、肌少症、骨—肌衰老及临床风险分层的转化研究。</w:t>
      </w:r>
    </w:p>
    <w:p>
      <w:pPr>
        <w:pStyle w:val="ListBullet"/>
        <w:keepLines/>
      </w:pPr>
      <w:r>
        <w:rPr>
          <w:rFonts w:ascii="Arial Unicode MS" w:hAnsi="Arial Unicode MS" w:eastAsia="Arial Unicode MS"/>
          <w:b w:val="0"/>
          <w:color w:val="282D32"/>
          <w:sz w:val="18"/>
        </w:rPr>
        <w:t>医学智能检索、临床决策支持与AI辅助医学教育的安全、可核验应用。</w:t>
      </w:r>
    </w:p>
    <w:p>
      <w:pPr>
        <w:pStyle w:val="Heading1"/>
        <w:keepNext/>
      </w:pPr>
      <w:r>
        <w:t>代表性英文论文 / Selected Publications</w:t>
      </w:r>
    </w:p>
    <w:p>
      <w:pPr>
        <w:pStyle w:val="ListNumber"/>
        <w:keepLines/>
      </w:pPr>
      <w:r>
        <w:rPr>
          <w:rFonts w:ascii="Arial Unicode MS" w:hAnsi="Arial Unicode MS" w:eastAsia="Arial Unicode MS"/>
          <w:b w:val="0"/>
          <w:color w:val="282D32"/>
          <w:sz w:val="18"/>
        </w:rPr>
        <w:t>Haixiang Ding, Wang W, Sun W, Liu L, Huang M, Han D, Lu Y, Zhou J, Pan J. Clinical characteristics and mortality risk factors in polytrauma patients with pelvic fractures: a retrospective study based on an integrated multidisciplinary treatment approach. International Journal of Emergency Medicine. 2025;18(1):192. DOI: 10.1186/s12245-025-00990-5.</w:t>
      </w:r>
    </w:p>
    <w:p>
      <w:pPr>
        <w:pStyle w:val="ListNumber"/>
        <w:keepLines/>
      </w:pPr>
      <w:r>
        <w:rPr>
          <w:rFonts w:ascii="Arial Unicode MS" w:hAnsi="Arial Unicode MS" w:eastAsia="Arial Unicode MS"/>
          <w:b w:val="0"/>
          <w:color w:val="282D32"/>
          <w:sz w:val="18"/>
        </w:rPr>
        <w:t>Ding H, Wang W, Yuan M, Tang J, Zhou J, Pan J. Multidisciplinary management of severe open pelvic fracture with multiple organ injuries: A case report. Medicine (Baltimore). 2025;104(31):e43551. DOI: 10.1097/MD.0000000000043551.</w:t>
      </w:r>
    </w:p>
    <w:p>
      <w:pPr>
        <w:pStyle w:val="ListNumber"/>
        <w:keepLines/>
      </w:pPr>
      <w:r>
        <w:rPr>
          <w:rFonts w:ascii="Arial Unicode MS" w:hAnsi="Arial Unicode MS" w:eastAsia="Arial Unicode MS"/>
          <w:b w:val="0"/>
          <w:color w:val="282D32"/>
          <w:sz w:val="18"/>
        </w:rPr>
        <w:t>Ding H, Xu Y, Li J, Yue K. Comparison of the curative effect of modified medial arc incision of Achilles tendon and traditional straight incision in the treatment of old Achilles tendon rupture. Pakistan Journal of Pharmaceutical Sciences. 2020;33(3):1087–1093.</w:t>
      </w:r>
    </w:p>
    <w:p>
      <w:pPr>
        <w:pStyle w:val="Heading1"/>
        <w:keepNext/>
      </w:pPr>
      <w:r>
        <w:t>医学教育与受邀授课</w:t>
      </w:r>
    </w:p>
    <w:p>
      <w:pPr>
        <w:keepNext/>
        <w:spacing w:after="80"/>
      </w:pPr>
      <w:r>
        <w:rPr>
          <w:rFonts w:ascii="Arial Unicode MS" w:hAnsi="Arial Unicode MS" w:eastAsia="Arial Unicode MS"/>
          <w:b/>
          <w:color w:val="16344A"/>
          <w:sz w:val="20"/>
        </w:rPr>
        <w:t>连续三届受邀授课</w:t>
      </w:r>
      <w:r>
        <w:rPr>
          <w:rFonts w:ascii="Arial Unicode MS" w:hAnsi="Arial Unicode MS" w:eastAsia="Arial Unicode MS"/>
          <w:b w:val="0"/>
          <w:color w:val="282D32"/>
          <w:sz w:val="19"/>
        </w:rPr>
        <w:t>｜创伤伤口的处理及治疗原则 / Principles of Treatment and Management for Traumatic Wounds</w:t>
      </w:r>
    </w:p>
    <w:p>
      <w:pPr>
        <w:pStyle w:val="ListBullet2"/>
        <w:keepLines/>
      </w:pPr>
      <w:r>
        <w:rPr>
          <w:rFonts w:ascii="Arial Unicode MS" w:hAnsi="Arial Unicode MS" w:eastAsia="Arial Unicode MS"/>
          <w:b w:val="0"/>
          <w:color w:val="282D32"/>
          <w:sz w:val="18"/>
        </w:rPr>
        <w:t>2024年：第5届无锡市伤口造口护理专科护士理论课课程培训班。</w:t>
      </w:r>
    </w:p>
    <w:p>
      <w:pPr>
        <w:pStyle w:val="ListBullet2"/>
        <w:keepLines/>
      </w:pPr>
      <w:r>
        <w:rPr>
          <w:rFonts w:ascii="Arial Unicode MS" w:hAnsi="Arial Unicode MS" w:eastAsia="Arial Unicode MS"/>
          <w:b w:val="0"/>
          <w:color w:val="282D32"/>
          <w:sz w:val="18"/>
        </w:rPr>
        <w:t>2025年：第6届无锡市伤口造口护理专科护士理论课课程培训班。</w:t>
      </w:r>
    </w:p>
    <w:p>
      <w:pPr>
        <w:pStyle w:val="ListBullet2"/>
        <w:keepLines/>
      </w:pPr>
      <w:r>
        <w:rPr>
          <w:rFonts w:ascii="Arial Unicode MS" w:hAnsi="Arial Unicode MS" w:eastAsia="Arial Unicode MS"/>
          <w:b w:val="0"/>
          <w:color w:val="282D32"/>
          <w:sz w:val="18"/>
        </w:rPr>
        <w:t>2026年：第7届无锡市伤口造口护理专科护士理论课课程培训班。</w:t>
      </w:r>
    </w:p>
    <w:p>
      <w:pPr>
        <w:pStyle w:val="ListBullet"/>
        <w:keepLines/>
      </w:pPr>
      <w:r>
        <w:rPr>
          <w:rFonts w:ascii="Arial Unicode MS" w:hAnsi="Arial Unicode MS" w:eastAsia="Arial Unicode MS"/>
          <w:b w:val="0"/>
          <w:color w:val="282D32"/>
          <w:sz w:val="18"/>
        </w:rPr>
        <w:t>2024—2025年承担急诊见习带教。</w:t>
      </w:r>
    </w:p>
    <w:p>
      <w:pPr>
        <w:pStyle w:val="Heading1"/>
        <w:keepNext/>
      </w:pPr>
      <w:r>
        <w:t>学术服务</w:t>
      </w:r>
    </w:p>
    <w:p>
      <w:pPr>
        <w:pStyle w:val="ListBullet"/>
        <w:keepLines/>
      </w:pPr>
      <w:r>
        <w:rPr>
          <w:rFonts w:ascii="Arial Unicode MS" w:hAnsi="Arial Unicode MS" w:eastAsia="Arial Unicode MS"/>
          <w:b w:val="0"/>
          <w:color w:val="282D32"/>
          <w:sz w:val="18"/>
        </w:rPr>
        <w:t>《数字医学与健康》审稿人（2024年起）。</w:t>
      </w:r>
    </w:p>
    <w:p>
      <w:pPr>
        <w:pStyle w:val="ListBullet"/>
        <w:keepLines/>
      </w:pPr>
      <w:r>
        <w:rPr>
          <w:rFonts w:ascii="Arial Unicode MS" w:hAnsi="Arial Unicode MS" w:eastAsia="Arial Unicode MS"/>
          <w:b w:val="0"/>
          <w:color w:val="282D32"/>
          <w:sz w:val="18"/>
        </w:rPr>
        <w:t>Journal of Trauma and Injury 审稿人（2024年起）。</w:t>
      </w:r>
    </w:p>
    <w:p>
      <w:pPr>
        <w:pStyle w:val="Heading1"/>
        <w:keepNext/>
      </w:pPr>
      <w:r>
        <w:t>荣誉与奖励</w:t>
      </w:r>
    </w:p>
    <w:p>
      <w:pPr>
        <w:pStyle w:val="ListBullet"/>
        <w:keepLines/>
      </w:pPr>
      <w:r>
        <w:rPr>
          <w:rFonts w:ascii="Arial Unicode MS" w:hAnsi="Arial Unicode MS" w:eastAsia="Arial Unicode MS"/>
          <w:b w:val="0"/>
          <w:color w:val="282D32"/>
          <w:sz w:val="18"/>
        </w:rPr>
        <w:t>2025年江苏省创伤救治质量控制大会暨第四届“王正国创伤医学菁英杯”江苏省青年医师创伤病例大赛一等奖。</w:t>
      </w:r>
    </w:p>
    <w:p>
      <w:pPr>
        <w:pStyle w:val="ListBullet"/>
        <w:keepLines/>
      </w:pPr>
      <w:r>
        <w:rPr>
          <w:rFonts w:ascii="Arial Unicode MS" w:hAnsi="Arial Unicode MS" w:eastAsia="Arial Unicode MS"/>
          <w:b w:val="0"/>
          <w:color w:val="282D32"/>
          <w:sz w:val="18"/>
        </w:rPr>
        <w:t>2024年江南大学附属医院青年教师“教学会讲竞赛”第一名。</w:t>
      </w:r>
    </w:p>
    <w:p>
      <w:pPr>
        <w:pStyle w:val="ListBullet"/>
        <w:keepLines/>
      </w:pPr>
      <w:r>
        <w:rPr>
          <w:rFonts w:ascii="Arial Unicode MS" w:hAnsi="Arial Unicode MS" w:eastAsia="Arial Unicode MS"/>
          <w:b w:val="0"/>
          <w:color w:val="282D32"/>
          <w:sz w:val="18"/>
        </w:rPr>
        <w:t>2024年江南大学医学院、附属医院系统青年教师“教学会讲竞赛”二等奖。</w:t>
      </w:r>
    </w:p>
    <w:p>
      <w:pPr>
        <w:pStyle w:val="ListBullet"/>
        <w:keepLines/>
      </w:pPr>
      <w:r>
        <w:rPr>
          <w:rFonts w:ascii="Arial Unicode MS" w:hAnsi="Arial Unicode MS" w:eastAsia="Arial Unicode MS"/>
          <w:b w:val="0"/>
          <w:color w:val="282D32"/>
          <w:sz w:val="18"/>
        </w:rPr>
        <w:t>2024年第三届“王正国创伤医学菁英杯”江苏省青年医师创伤病例大赛二等奖；华东地区半决赛优秀奖。</w:t>
      </w:r>
    </w:p>
    <w:p>
      <w:pPr>
        <w:pStyle w:val="ListBullet"/>
        <w:keepLines/>
      </w:pPr>
      <w:r>
        <w:rPr>
          <w:rFonts w:ascii="Arial Unicode MS" w:hAnsi="Arial Unicode MS" w:eastAsia="Arial Unicode MS"/>
          <w:b w:val="0"/>
          <w:color w:val="282D32"/>
          <w:sz w:val="18"/>
        </w:rPr>
        <w:t>2024年江苏省医学会第十次创伤医学学术会议优秀论文二等奖。</w:t>
      </w:r>
    </w:p>
    <w:p>
      <w:pPr>
        <w:pStyle w:val="Heading1"/>
        <w:keepNext/>
      </w:pPr>
      <w:r>
        <w:t>医学人工智能与跨学科实践</w:t>
      </w:r>
    </w:p>
    <w:p>
      <w:pPr>
        <w:pStyle w:val="ListBullet"/>
        <w:keepLines/>
      </w:pPr>
      <w:r>
        <w:rPr>
          <w:rFonts w:ascii="Arial Unicode MS" w:hAnsi="Arial Unicode MS" w:eastAsia="Arial Unicode MS"/>
          <w:b w:val="0"/>
          <w:color w:val="282D32"/>
          <w:sz w:val="18"/>
        </w:rPr>
        <w:t>2025年参与 medical-ai-system——“医学智能检索与决策支持助手”，入选“2025数据内容年度案例征集·AI改变生活”。</w:t>
      </w:r>
    </w:p>
    <w:p>
      <w:pPr>
        <w:pStyle w:val="ListBullet"/>
        <w:keepLines/>
      </w:pPr>
      <w:r>
        <w:rPr>
          <w:rFonts w:ascii="Arial Unicode MS" w:hAnsi="Arial Unicode MS" w:eastAsia="Arial Unicode MS"/>
          <w:b w:val="0"/>
          <w:color w:val="282D32"/>
          <w:sz w:val="18"/>
        </w:rPr>
        <w:t>2025年完成“人工智能赋能高等教育人才培养系列师资培训（医科组）”16学时课程。</w:t>
      </w:r>
    </w:p>
    <w:p>
      <w:pPr>
        <w:pStyle w:val="ListBullet"/>
        <w:keepLines/>
      </w:pPr>
      <w:r>
        <w:rPr>
          <w:rFonts w:ascii="Arial Unicode MS" w:hAnsi="Arial Unicode MS" w:eastAsia="Arial Unicode MS"/>
          <w:b w:val="0"/>
          <w:color w:val="282D32"/>
          <w:sz w:val="18"/>
        </w:rPr>
        <w:t>2025年取得人工智能训练师三级 / 高级工职业技能等级证书。</w:t>
      </w:r>
    </w:p>
    <w:p>
      <w:pPr>
        <w:pStyle w:val="Heading1"/>
        <w:keepNext/>
      </w:pPr>
      <w:r>
        <w:t>专业资质与培训（公开摘要）</w:t>
      </w:r>
    </w:p>
    <w:p>
      <w:pPr>
        <w:pStyle w:val="ListBullet"/>
        <w:keepLines/>
      </w:pPr>
      <w:r>
        <w:rPr>
          <w:rFonts w:ascii="Arial Unicode MS" w:hAnsi="Arial Unicode MS" w:eastAsia="Arial Unicode MS"/>
          <w:b w:val="0"/>
          <w:color w:val="282D32"/>
          <w:sz w:val="18"/>
        </w:rPr>
        <w:t>骨科中级职称（2023）</w:t>
      </w:r>
    </w:p>
    <w:p>
      <w:pPr>
        <w:pStyle w:val="ListBullet"/>
        <w:keepLines/>
      </w:pPr>
      <w:r>
        <w:rPr>
          <w:rFonts w:ascii="Arial Unicode MS" w:hAnsi="Arial Unicode MS" w:eastAsia="Arial Unicode MS"/>
          <w:b w:val="0"/>
          <w:color w:val="282D32"/>
          <w:sz w:val="18"/>
        </w:rPr>
        <w:t>中国创伤救治培训 CTCT（2023）</w:t>
      </w:r>
    </w:p>
    <w:p>
      <w:pPr>
        <w:pStyle w:val="ListBullet"/>
        <w:keepLines/>
      </w:pPr>
      <w:r>
        <w:rPr>
          <w:rFonts w:ascii="Arial Unicode MS" w:hAnsi="Arial Unicode MS" w:eastAsia="Arial Unicode MS"/>
          <w:b w:val="0"/>
          <w:color w:val="282D32"/>
          <w:sz w:val="18"/>
        </w:rPr>
        <w:t>住院医师规范化培训合格（2021）</w:t>
      </w:r>
    </w:p>
    <w:p>
      <w:pPr>
        <w:pStyle w:val="ListBullet"/>
        <w:keepLines/>
      </w:pPr>
      <w:r>
        <w:rPr>
          <w:rFonts w:ascii="Arial Unicode MS" w:hAnsi="Arial Unicode MS" w:eastAsia="Arial Unicode MS"/>
          <w:b w:val="0"/>
          <w:color w:val="282D32"/>
          <w:sz w:val="18"/>
        </w:rPr>
        <w:t>住院医师规范化培训师资培训合格（2024）</w:t>
      </w:r>
    </w:p>
    <w:p>
      <w:pPr>
        <w:pStyle w:val="ListBullet"/>
        <w:keepLines/>
      </w:pPr>
      <w:r>
        <w:rPr>
          <w:rFonts w:ascii="Arial Unicode MS" w:hAnsi="Arial Unicode MS" w:eastAsia="Arial Unicode MS"/>
          <w:b w:val="0"/>
          <w:color w:val="282D32"/>
          <w:sz w:val="18"/>
        </w:rPr>
        <w:t>江苏省高校教师岗前培训合格（2025）</w:t>
      </w:r>
    </w:p>
    <w:p>
      <w:pPr>
        <w:pStyle w:val="ListBullet"/>
        <w:keepLines/>
      </w:pPr>
      <w:r>
        <w:rPr>
          <w:rFonts w:ascii="Arial Unicode MS" w:hAnsi="Arial Unicode MS" w:eastAsia="Arial Unicode MS"/>
          <w:b w:val="0"/>
          <w:color w:val="282D32"/>
          <w:sz w:val="18"/>
        </w:rPr>
        <w:t>ETM Course（2025）</w:t>
      </w:r>
    </w:p>
    <w:p>
      <w:pPr>
        <w:pStyle w:val="ListBullet"/>
        <w:keepLines/>
      </w:pPr>
      <w:r>
        <w:rPr>
          <w:rFonts w:ascii="Arial Unicode MS" w:hAnsi="Arial Unicode MS" w:eastAsia="Arial Unicode MS"/>
          <w:b w:val="0"/>
          <w:color w:val="282D32"/>
          <w:sz w:val="18"/>
        </w:rPr>
        <w:t>药物临床试验质量管理规范 GCP 培训（2025）</w:t>
      </w:r>
    </w:p>
    <w:p>
      <w:pPr>
        <w:pStyle w:val="ListBullet"/>
        <w:keepLines/>
      </w:pPr>
      <w:r>
        <w:rPr>
          <w:rFonts w:ascii="Arial Unicode MS" w:hAnsi="Arial Unicode MS" w:eastAsia="Arial Unicode MS"/>
          <w:b w:val="0"/>
          <w:color w:val="282D32"/>
          <w:sz w:val="18"/>
        </w:rPr>
        <w:t>AO Trauma 会员（当前会员周期有效至2026.11）</w:t>
      </w:r>
    </w:p>
    <w:p>
      <w:pPr>
        <w:pStyle w:val="Heading1"/>
        <w:keepNext/>
      </w:pPr>
      <w:r>
        <w:t>公开与隐私说明</w:t>
      </w:r>
    </w:p>
    <w:p>
      <w:pPr>
        <w:spacing w:after="0"/>
      </w:pPr>
      <w:r>
        <w:rPr>
          <w:rFonts w:ascii="Arial Unicode MS" w:hAnsi="Arial Unicode MS" w:eastAsia="Arial Unicode MS"/>
          <w:b w:val="0"/>
          <w:color w:val="606970"/>
          <w:sz w:val="17"/>
        </w:rPr>
        <w:t>本简历为公开交流版本，仅呈现可公开核验的职业经历、研究成果、教学活动与专业培训摘要；不包含身份证号、证件编号、电话、私人邮箱、票据、报名材料、原始证书扫描件或带定位/设备元数据的照片。</w:t>
      </w:r>
    </w:p>
    <w:sectPr>
      <w:footerReference w:type="default" r:id="rId9"/>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Unicode MS" w:hAnsi="Arial Unicode MS" w:eastAsia="Arial Unicode MS"/>
        <w:b w:val="0"/>
        <w:color w:val="606970"/>
        <w:sz w:val="16"/>
      </w:rPr>
      <w:t xml:space="preserve">丁海祥｜公开专业履历  ·  </w:t>
    </w:r>
    <w:r>
      <w:rPr>
        <w:rFonts w:ascii="Arial Unicode MS" w:hAnsi="Arial Unicode MS" w:eastAsia="Arial Unicode MS"/>
        <w:b w:val="0"/>
        <w:color w:val="60697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Unicode MS" w:hAnsi="Arial Unicode MS" w:eastAsia="Arial Unicode MS"/>
      <w:color w:val="282D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Unicode MS" w:hAnsi="Arial Unicode MS" w:eastAsia="Arial Unicode MS"/>
      <w:b/>
      <w:bCs/>
      <w:color w:val="0D666C"/>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Unicode MS" w:hAnsi="Arial Unicode MS" w:eastAsia="Arial Unicode MS"/>
      <w:b/>
      <w:bCs/>
      <w:color w:val="16344A"/>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634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Unicode MS" w:hAnsi="Arial Unicode MS" w:eastAsia="Arial Unicode MS"/>
      <w:sz w:val="18"/>
    </w:rPr>
  </w:style>
  <w:style w:type="paragraph" w:styleId="ListBullet2">
    <w:name w:val="List Bullet 2"/>
    <w:basedOn w:val="Normal"/>
    <w:uiPriority w:val="99"/>
    <w:unhideWhenUsed/>
    <w:rsid w:val="00326F90"/>
    <w:pPr>
      <w:numPr>
        <w:numId w:val="2"/>
      </w:numPr>
      <w:spacing w:after="80" w:line="300" w:lineRule="auto"/>
      <w:ind w:left="922" w:hanging="259"/>
      <w:contextualSpacing/>
    </w:pPr>
    <w:rPr>
      <w:rFonts w:ascii="Arial Unicode MS" w:hAnsi="Arial Unicode MS" w:eastAsia="Arial Unicode M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Unicode MS" w:hAnsi="Arial Unicode MS" w:eastAsia="Arial Unicode M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丁海祥个人简历（2026公开版·苏州大学博士录取更新）</dc:title>
  <dc:subject>公开专业履历</dc:subject>
  <dc:creator/>
  <cp:keywords>创伤外科, 医学教育, 临床研究, 医疗人工智能</cp:keywords>
  <dc:description>Public version; sensitive personal identifiers omitted.</dc:description>
  <cp:lastModifiedBy/>
  <cp:revision>1</cp:revision>
  <dcterms:created xsi:type="dcterms:W3CDTF">2013-12-23T23:15:00Z</dcterms:created>
  <dcterms:modified xsi:type="dcterms:W3CDTF">2013-12-23T23:15:00Z</dcterms:modified>
  <cp:category/>
</cp:coreProperties>
</file>