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in a pairs, read the paper by Prior, Schwarz and Güntürkün (2008) and answer the following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Define what a “self” is. What is it like to have a self?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individual experiencing phenomena.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a sense of individuality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Being distinct from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What research question(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) did the authors want to address? [1]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Are magpies self-aware?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Does a sense of self, characterised by social intelligence, follow convergent evolution?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Is a laminated cortex a prerequisite for self-recognition?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What was the experimental hypothesis used to test  their research question? Use the form: “IF ..., then ...”. [2]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IF magpies exhibit self-directed behaviour, i.e. attempt to remove the mark from their bodies,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THEN they exhibit self-recognition.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Identify the independent [3] and dependent [2] variables in the experiment.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Independent (any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Identity of birds (Gerti, Goldie,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Color of marks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Presence of mirror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Size of cage cell (1 or 2 compartments)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Dependent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Contingency behaviour (self-recognition) vs conspecific behaviour (aggressive, social, etc.)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Quantity of self directed behaviour (behavioural activity directed towards the marked region)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What type of </w:t>
      </w:r>
      <w:r w:rsidDel="00000000" w:rsidR="00000000" w:rsidRPr="00000000">
        <w:rPr>
          <w:b w:val="1"/>
          <w:rtl w:val="0"/>
        </w:rPr>
        <w:t xml:space="preserve">realisations/operationalisations</w:t>
      </w:r>
      <w:r w:rsidDel="00000000" w:rsidR="00000000" w:rsidRPr="00000000">
        <w:rPr>
          <w:b w:val="1"/>
          <w:rtl w:val="0"/>
        </w:rPr>
        <w:t xml:space="preserve"> did the authors use to observe the dependent variable? 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4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Measure time spent in mirrored vs unmirrored compartments.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Number of close inspections of the mirror.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Looks behind the mirror.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Contingent vs Social behaviour.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i w:val="1"/>
          <w:rtl w:val="0"/>
        </w:rPr>
        <w:t xml:space="preserve">Frequency of spontaneous self-directed (mark-directed) behaviour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Which variables did the authors identify as potentially confounding factors and how did they control for them? [3]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Exhibit self-directed behaviour without a mirror -&gt; introduce a non-reflective sheet in place of the mirror in control trials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Exhibit self-directed behaviour without seeing the mark -&gt; introduce a black (sham) mark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Operant conditioning -&gt; use small number of trials so the birds don’t become conditioned to the experimental setup and produce biased results.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Handling -&gt; bird’s eyes are shielded from seeing the mark being applied to their bodies.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Influenced by colour of mark -&gt; introduce 3 different colours as well as sham.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General increase in behavioural activity may result in more instances of apparent self-directed behaviour -&gt; measure quantity of behavioural activity in various trials.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List other potential confounds, that the authors did not control for, that could potentially invalidate their research?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Social upbringing of the birds (Hand raised vs Wild (“natural social conditioning”)).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Experimenter's subjective rulings of displayed behaviours.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Validation through comparison to other study that could potentially be flawed (a.k.a. Ape studies)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Too small sample size to be definitive for a population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Mark could be within magpies visual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Label the design as within- or between group design. 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Within-group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Create an example design matrix, for one subject, that is, a matrix containing one row for each trial of the experiment, and one column each for the independent variable, the control variables and the trial number. 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Gerti Trials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(Color)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With Mirror (Blue)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Without Mirror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(Blue)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With Mirror (Black)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Without Mirror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(Black)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With Mirror (Red)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Without Mirror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(Red)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Many children under the age of 2 years old tend to fail the mirror test, what does this indicate about their self-recognition and/or the mirror test? [1]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Self-recognition is a learnt behaviour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Mirror test isn’t a definitive of having a self.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good remarks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Extra Reading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https://www.sciencedaily.com/releases/2008/06/080613145535.htm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Do pigeons have a greater sense of self than children?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http://www.journalofscience.net/File_Folder/521-532%28jos%29.pdf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Self recognition in Ants!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http://onlinelibrary.wiley.com/doi/10.1111/j.1467-8624.2004.00814.x/pdf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Developmental consequences of early parenting experiences: self-recognition and self-regulation in three cultural communities - University of Osnabrueck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Children raised in different cultures score differently on the mirror test. Societies directed towards individualism have children that score higher. Trained ability. Mirror test as indicator of self-capabilities but not necessarily definitive. Nevertheless, mirror-directed behaviour indicates mirror self-recognition.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homework is due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December, 2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t xml:space="preserve"> Please email me your answers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marianne.maertens@tu-berlin.de</w:t>
        </w:r>
      </w:hyperlink>
      <w:r w:rsidDel="00000000" w:rsidR="00000000" w:rsidRPr="00000000">
        <w:rPr>
          <w:rtl w:val="0"/>
        </w:rPr>
        <w:t xml:space="preserve">), together with a text file containing your design matrix including column names. Don't forget to include the names of both partners.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Maximum marks 20/20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97.44" w:lineRule="auto"/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Lecture 2 Answers - Güntürkün’s Magpies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www.sciencedaily.com/releases/2008/06/080613145535.htm" TargetMode="External"/><Relationship Id="rId6" Type="http://schemas.openxmlformats.org/officeDocument/2006/relationships/hyperlink" Target="http://www.journalofscience.net/File_Folder/521-532%28jos%29.pdf" TargetMode="External"/><Relationship Id="rId7" Type="http://schemas.openxmlformats.org/officeDocument/2006/relationships/hyperlink" Target="http://onlinelibrary.wiley.com/doi/10.1111/j.1467-8624.2004.00814.x/pdf" TargetMode="External"/><Relationship Id="rId8" Type="http://schemas.openxmlformats.org/officeDocument/2006/relationships/hyperlink" Target="mailto:marianne.maertens@tu-berlin.de" TargetMode="External"/></Relationships>
</file>