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Models of Higher Brain Functions: Empirically derived receiver operating characteristic(ROC)-curves</w:t>
        <w:br/>
        <w:br/>
        <w:t xml:space="preserve">The following data were observed in a yes-no experiment about taste detection </w:t>
      </w:r>
      <w:r>
        <w:rPr>
          <w:vertAlign w:val="superscript"/>
        </w:rPr>
        <w:t>1</w:t>
      </w:r>
    </w:p>
    <w:tbl>
      <w:tblPr>
        <w:jc w:val="left"/>
        <w:tblInd w:type="dxa" w:w="-108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2257"/>
        <w:gridCol w:w="2255"/>
        <w:gridCol w:w="2257"/>
        <w:gridCol w:w="2259"/>
      </w:tblGrid>
      <w:tr>
        <w:trPr>
          <w:cantSplit w:val="false"/>
        </w:trPr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Yes ” </w:t>
            </w:r>
          </w:p>
        </w:tc>
        <w:tc>
          <w:tcPr>
            <w:tcW w:type="dxa" w:w="225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Signal trials </w:t>
            </w:r>
          </w:p>
        </w:tc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Yes” </w:t>
            </w:r>
          </w:p>
        </w:tc>
        <w:tc>
          <w:tcPr>
            <w:tcW w:type="dxa" w:w="22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Noise trials</w:t>
            </w:r>
          </w:p>
        </w:tc>
      </w:tr>
      <w:tr>
        <w:trPr>
          <w:cantSplit w:val="false"/>
        </w:trPr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78 </w:t>
            </w:r>
          </w:p>
        </w:tc>
        <w:tc>
          <w:tcPr>
            <w:tcW w:type="dxa" w:w="225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285 </w:t>
            </w:r>
          </w:p>
        </w:tc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0 </w:t>
            </w:r>
          </w:p>
        </w:tc>
        <w:tc>
          <w:tcPr>
            <w:tcW w:type="dxa" w:w="22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300</w:t>
            </w:r>
          </w:p>
        </w:tc>
      </w:tr>
      <w:tr>
        <w:trPr>
          <w:cantSplit w:val="false"/>
        </w:trPr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149</w:t>
            </w:r>
          </w:p>
        </w:tc>
        <w:tc>
          <w:tcPr>
            <w:tcW w:type="dxa" w:w="225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292 </w:t>
            </w:r>
          </w:p>
        </w:tc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31</w:t>
            </w:r>
          </w:p>
        </w:tc>
        <w:tc>
          <w:tcPr>
            <w:tcW w:type="dxa" w:w="22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282</w:t>
            </w:r>
          </w:p>
        </w:tc>
      </w:tr>
      <w:tr>
        <w:trPr>
          <w:cantSplit w:val="false"/>
        </w:trPr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163 </w:t>
            </w:r>
          </w:p>
        </w:tc>
        <w:tc>
          <w:tcPr>
            <w:tcW w:type="dxa" w:w="225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286 </w:t>
            </w:r>
          </w:p>
        </w:tc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57 </w:t>
            </w:r>
          </w:p>
        </w:tc>
        <w:tc>
          <w:tcPr>
            <w:tcW w:type="dxa" w:w="22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285</w:t>
            </w:r>
          </w:p>
        </w:tc>
      </w:tr>
      <w:tr>
        <w:trPr>
          <w:cantSplit w:val="false"/>
        </w:trPr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239 </w:t>
            </w:r>
          </w:p>
        </w:tc>
        <w:tc>
          <w:tcPr>
            <w:tcW w:type="dxa" w:w="225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295 </w:t>
            </w:r>
          </w:p>
        </w:tc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123 </w:t>
            </w:r>
          </w:p>
        </w:tc>
        <w:tc>
          <w:tcPr>
            <w:tcW w:type="dxa" w:w="22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293</w:t>
            </w:r>
          </w:p>
        </w:tc>
      </w:tr>
      <w:tr>
        <w:trPr>
          <w:cantSplit w:val="false"/>
        </w:trPr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288 </w:t>
            </w:r>
          </w:p>
        </w:tc>
        <w:tc>
          <w:tcPr>
            <w:tcW w:type="dxa" w:w="225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300 </w:t>
            </w:r>
          </w:p>
        </w:tc>
        <w:tc>
          <w:tcPr>
            <w:tcW w:type="dxa" w:w="225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236</w:t>
            </w:r>
          </w:p>
        </w:tc>
        <w:tc>
          <w:tcPr>
            <w:tcW w:type="dxa" w:w="22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295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Perform the following analyses on these data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1.</w:t>
      </w:r>
      <w:r>
        <w:rPr/>
        <w:t xml:space="preserve"> Plot an empirical ROC curve of the data.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2.</w:t>
      </w:r>
      <w:r>
        <w:rPr/>
        <w:t xml:space="preserve"> Derive the area under the ROC curve as a measure of sensitivity. (Hint: the trapz-Function from pylab/numpy, might be of interest in this context.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3. </w:t>
      </w:r>
      <w:r>
        <w:rPr/>
        <w:t>ROC curves are often fit by a parametric model. The most common of these is the equal variance gaussian model. This model assumes that the values on the decision axis in noise and signal+noise trials follow a normal distribution with a fixed variance σ. They differ however in their means and that difference can be taken as a measure of sensitivity (d data and derive a measure for d to and plotted as z-scores, the ROC curves of the equal variance gaussian model are straight lines. The python function scipy.stats.norm.ppf transforms fractions to z-scores.)</w:t>
      </w:r>
    </w:p>
    <w:p>
      <w:pPr>
        <w:pStyle w:val="style0"/>
      </w:pPr>
      <w:r>
        <w:rPr/>
      </w:r>
    </w:p>
    <w:p>
      <w:pPr>
        <w:pStyle w:val="style0"/>
      </w:pPr>
      <w:r>
        <w:rPr/>
        <w:t>Warning: Pay attention to and deal with the special case of hits = 1.0 or F A = 0.0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4. </w:t>
      </w:r>
      <w:r>
        <w:rPr/>
        <w:t>Add the best fitting equal variance gaussian model ROC curve to your plot.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vertAlign w:val="superscript"/>
        </w:rPr>
        <w:t>1</w:t>
      </w:r>
      <w:r>
        <w:rPr/>
        <w:t xml:space="preserve"> Except for one entry the data are in correspondence with Observer 2 from the experiment by Linker et al. (cf. Green &amp; Swets (1966), p. 99, Fig. 4-7.0). </w:t>
      </w:r>
    </w:p>
    <w:p>
      <w:pPr>
        <w:pStyle w:val="style0"/>
      </w:pPr>
      <w:r>
        <w:rPr/>
      </w:r>
    </w:p>
    <w:p>
      <w:pPr>
        <w:pStyle w:val="style0"/>
      </w:pPr>
      <w:r>
        <w:rPr/>
        <w:t>Fit the equal variance gaussian model to the. (Hint: When hits and false alarms are converted 0</w:t>
      </w:r>
    </w:p>
    <w:sectPr>
      <w:headerReference r:id="rId2" w:type="default"/>
      <w:type w:val="nextPage"/>
      <w:pgSz w:h="16838" w:w="11906"/>
      <w:pgMar w:bottom="1440" w:footer="0" w:gutter="0" w:header="1440" w:left="1440" w:right="1440" w:top="149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</w:pPr>
    <w:r>
      <w:rPr>
        <w:b/>
      </w:rPr>
      <w:t>KOGW-PM-KNP – Tutorial 4 - Signal Detection II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120" w:before="400" w:line="100" w:lineRule="atLeast"/>
      <w:outlineLvl w:val="0"/>
    </w:pPr>
    <w:rPr>
      <w:sz w:val="40"/>
      <w:szCs w:val="40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120" w:before="360" w:line="100" w:lineRule="atLeast"/>
      <w:outlineLvl w:val="1"/>
    </w:pPr>
    <w:rPr>
      <w:b w:val="false"/>
      <w:sz w:val="32"/>
      <w:szCs w:val="32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80" w:before="320" w:line="100" w:lineRule="atLeast"/>
      <w:outlineLvl w:val="2"/>
    </w:pPr>
    <w:rPr>
      <w:b w:val="false"/>
      <w:color w:val="434343"/>
      <w:sz w:val="28"/>
      <w:szCs w:val="28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80" w:before="280" w:line="100" w:lineRule="atLeast"/>
      <w:outlineLvl w:val="3"/>
    </w:pPr>
    <w:rPr>
      <w:color w:val="666666"/>
      <w:sz w:val="24"/>
      <w:szCs w:val="24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80" w:before="240" w:line="100" w:lineRule="atLeast"/>
      <w:outlineLvl w:val="4"/>
    </w:pPr>
    <w:rPr>
      <w:color w:val="666666"/>
      <w:sz w:val="22"/>
      <w:szCs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80" w:before="240" w:line="100" w:lineRule="atLeast"/>
      <w:outlineLvl w:val="5"/>
    </w:pPr>
    <w:rPr>
      <w:i/>
      <w:color w:val="666666"/>
      <w:sz w:val="22"/>
      <w:szCs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2"/>
    <w:pPr>
      <w:keepNext/>
      <w:keepLines/>
      <w:spacing w:after="60" w:before="0" w:line="100" w:lineRule="atLeast"/>
      <w:jc w:val="center"/>
    </w:pPr>
    <w:rPr>
      <w:b/>
      <w:bCs/>
      <w:sz w:val="52"/>
      <w:szCs w:val="52"/>
    </w:rPr>
  </w:style>
  <w:style w:styleId="style22" w:type="paragraph">
    <w:name w:val="Subtitle"/>
    <w:basedOn w:val="style20"/>
    <w:next w:val="style16"/>
    <w:pPr>
      <w:keepNext/>
      <w:keepLines/>
      <w:spacing w:after="320" w:before="0" w:line="100" w:lineRule="atLeast"/>
      <w:jc w:val="center"/>
    </w:pPr>
    <w:rPr>
      <w:rFonts w:ascii="Arial" w:cs="Arial" w:eastAsia="Arial" w:hAnsi="Arial"/>
      <w:i w:val="false"/>
      <w:iCs/>
      <w:color w:val="666666"/>
      <w:sz w:val="30"/>
      <w:szCs w:val="30"/>
    </w:rPr>
  </w:style>
  <w:style w:styleId="style23" w:type="paragraph">
    <w:name w:val="Head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