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DCC1B" w14:textId="77777777" w:rsidR="0009655B" w:rsidRDefault="0009655B" w:rsidP="0009655B">
      <w:pPr>
        <w:tabs>
          <w:tab w:val="clear" w:pos="1418"/>
        </w:tabs>
        <w:spacing w:after="0" w:line="200" w:lineRule="atLeast"/>
        <w:contextualSpacing w:val="0"/>
        <w:jc w:val="left"/>
        <w:rPr>
          <w:lang w:val="en-US"/>
        </w:rPr>
      </w:pPr>
    </w:p>
    <w:sdt>
      <w:sdtPr>
        <w:rPr>
          <w:rFonts w:asciiTheme="minorHAnsi" w:eastAsiaTheme="minorHAnsi" w:hAnsiTheme="minorHAnsi" w:cstheme="minorBidi"/>
          <w:color w:val="auto"/>
          <w:spacing w:val="-6"/>
          <w:kern w:val="14"/>
          <w:sz w:val="19"/>
          <w:szCs w:val="16"/>
          <w:lang w:val="en-GB"/>
        </w:rPr>
        <w:id w:val="1587336444"/>
        <w:docPartObj>
          <w:docPartGallery w:val="Table of Contents"/>
          <w:docPartUnique/>
        </w:docPartObj>
      </w:sdtPr>
      <w:sdtEndPr>
        <w:rPr>
          <w:b/>
          <w:bCs/>
          <w:noProof/>
        </w:rPr>
      </w:sdtEndPr>
      <w:sdtContent>
        <w:p w14:paraId="09080DF6" w14:textId="3EDDCA17" w:rsidR="00F02002" w:rsidRDefault="00F02002">
          <w:pPr>
            <w:pStyle w:val="TOCHeading"/>
          </w:pPr>
          <w:r>
            <w:t>Contents</w:t>
          </w:r>
        </w:p>
        <w:p w14:paraId="1BC7FA21" w14:textId="0F2879C9" w:rsidR="00F74235" w:rsidRDefault="00F02002">
          <w:pPr>
            <w:pStyle w:val="TOC1"/>
            <w:tabs>
              <w:tab w:val="right" w:pos="9062"/>
            </w:tabs>
            <w:rPr>
              <w:rFonts w:eastAsiaTheme="minorEastAsia"/>
              <w:noProof/>
              <w:spacing w:val="0"/>
              <w:kern w:val="0"/>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29866083" w:history="1">
            <w:r w:rsidR="00F74235" w:rsidRPr="003E6E34">
              <w:rPr>
                <w:rStyle w:val="Hyperlink"/>
                <w:noProof/>
              </w:rPr>
              <w:t>Introduction</w:t>
            </w:r>
            <w:r w:rsidR="00F74235">
              <w:rPr>
                <w:noProof/>
                <w:webHidden/>
              </w:rPr>
              <w:tab/>
            </w:r>
            <w:r w:rsidR="00F74235">
              <w:rPr>
                <w:noProof/>
                <w:webHidden/>
              </w:rPr>
              <w:fldChar w:fldCharType="begin"/>
            </w:r>
            <w:r w:rsidR="00F74235">
              <w:rPr>
                <w:noProof/>
                <w:webHidden/>
              </w:rPr>
              <w:instrText xml:space="preserve"> PAGEREF _Toc529866083 \h </w:instrText>
            </w:r>
            <w:r w:rsidR="00F74235">
              <w:rPr>
                <w:noProof/>
                <w:webHidden/>
              </w:rPr>
            </w:r>
            <w:r w:rsidR="00F74235">
              <w:rPr>
                <w:noProof/>
                <w:webHidden/>
              </w:rPr>
              <w:fldChar w:fldCharType="separate"/>
            </w:r>
            <w:r w:rsidR="00F74235">
              <w:rPr>
                <w:noProof/>
                <w:webHidden/>
              </w:rPr>
              <w:t>2</w:t>
            </w:r>
            <w:r w:rsidR="00F74235">
              <w:rPr>
                <w:noProof/>
                <w:webHidden/>
              </w:rPr>
              <w:fldChar w:fldCharType="end"/>
            </w:r>
          </w:hyperlink>
        </w:p>
        <w:p w14:paraId="61D39462" w14:textId="44787F76" w:rsidR="00F74235" w:rsidRDefault="00530DAD">
          <w:pPr>
            <w:pStyle w:val="TOC1"/>
            <w:tabs>
              <w:tab w:val="right" w:pos="9062"/>
            </w:tabs>
            <w:rPr>
              <w:rFonts w:eastAsiaTheme="minorEastAsia"/>
              <w:noProof/>
              <w:spacing w:val="0"/>
              <w:kern w:val="0"/>
              <w:sz w:val="22"/>
              <w:szCs w:val="22"/>
              <w:lang w:val="en-US"/>
            </w:rPr>
          </w:pPr>
          <w:hyperlink w:anchor="_Toc529866084" w:history="1">
            <w:r w:rsidR="00F74235" w:rsidRPr="003E6E34">
              <w:rPr>
                <w:rStyle w:val="Hyperlink"/>
                <w:noProof/>
              </w:rPr>
              <w:t>Global trends</w:t>
            </w:r>
            <w:r w:rsidR="00F74235">
              <w:rPr>
                <w:noProof/>
                <w:webHidden/>
              </w:rPr>
              <w:tab/>
            </w:r>
            <w:r w:rsidR="00F74235">
              <w:rPr>
                <w:noProof/>
                <w:webHidden/>
              </w:rPr>
              <w:fldChar w:fldCharType="begin"/>
            </w:r>
            <w:r w:rsidR="00F74235">
              <w:rPr>
                <w:noProof/>
                <w:webHidden/>
              </w:rPr>
              <w:instrText xml:space="preserve"> PAGEREF _Toc529866084 \h </w:instrText>
            </w:r>
            <w:r w:rsidR="00F74235">
              <w:rPr>
                <w:noProof/>
                <w:webHidden/>
              </w:rPr>
            </w:r>
            <w:r w:rsidR="00F74235">
              <w:rPr>
                <w:noProof/>
                <w:webHidden/>
              </w:rPr>
              <w:fldChar w:fldCharType="separate"/>
            </w:r>
            <w:r w:rsidR="00F74235">
              <w:rPr>
                <w:noProof/>
                <w:webHidden/>
              </w:rPr>
              <w:t>3</w:t>
            </w:r>
            <w:r w:rsidR="00F74235">
              <w:rPr>
                <w:noProof/>
                <w:webHidden/>
              </w:rPr>
              <w:fldChar w:fldCharType="end"/>
            </w:r>
          </w:hyperlink>
        </w:p>
        <w:p w14:paraId="0CF06FFC" w14:textId="684128ED" w:rsidR="00F74235" w:rsidRDefault="00530DAD">
          <w:pPr>
            <w:pStyle w:val="TOC1"/>
            <w:tabs>
              <w:tab w:val="right" w:pos="9062"/>
            </w:tabs>
            <w:rPr>
              <w:rFonts w:eastAsiaTheme="minorEastAsia"/>
              <w:noProof/>
              <w:spacing w:val="0"/>
              <w:kern w:val="0"/>
              <w:sz w:val="22"/>
              <w:szCs w:val="22"/>
              <w:lang w:val="en-US"/>
            </w:rPr>
          </w:pPr>
          <w:hyperlink w:anchor="_Toc529866085" w:history="1">
            <w:r w:rsidR="00F74235" w:rsidRPr="003E6E34">
              <w:rPr>
                <w:rStyle w:val="Hyperlink"/>
                <w:noProof/>
              </w:rPr>
              <w:t>Quay Wall</w:t>
            </w:r>
            <w:r w:rsidR="00F74235">
              <w:rPr>
                <w:noProof/>
                <w:webHidden/>
              </w:rPr>
              <w:tab/>
            </w:r>
            <w:r w:rsidR="00F74235">
              <w:rPr>
                <w:noProof/>
                <w:webHidden/>
              </w:rPr>
              <w:fldChar w:fldCharType="begin"/>
            </w:r>
            <w:r w:rsidR="00F74235">
              <w:rPr>
                <w:noProof/>
                <w:webHidden/>
              </w:rPr>
              <w:instrText xml:space="preserve"> PAGEREF _Toc529866085 \h </w:instrText>
            </w:r>
            <w:r w:rsidR="00F74235">
              <w:rPr>
                <w:noProof/>
                <w:webHidden/>
              </w:rPr>
            </w:r>
            <w:r w:rsidR="00F74235">
              <w:rPr>
                <w:noProof/>
                <w:webHidden/>
              </w:rPr>
              <w:fldChar w:fldCharType="separate"/>
            </w:r>
            <w:r w:rsidR="00F74235">
              <w:rPr>
                <w:noProof/>
                <w:webHidden/>
              </w:rPr>
              <w:t>4</w:t>
            </w:r>
            <w:r w:rsidR="00F74235">
              <w:rPr>
                <w:noProof/>
                <w:webHidden/>
              </w:rPr>
              <w:fldChar w:fldCharType="end"/>
            </w:r>
          </w:hyperlink>
        </w:p>
        <w:p w14:paraId="7F04DE1A" w14:textId="5C0264D3" w:rsidR="00F74235" w:rsidRDefault="00530DAD">
          <w:pPr>
            <w:pStyle w:val="TOC1"/>
            <w:tabs>
              <w:tab w:val="right" w:pos="9062"/>
            </w:tabs>
            <w:rPr>
              <w:rFonts w:eastAsiaTheme="minorEastAsia"/>
              <w:noProof/>
              <w:spacing w:val="0"/>
              <w:kern w:val="0"/>
              <w:sz w:val="22"/>
              <w:szCs w:val="22"/>
              <w:lang w:val="en-US"/>
            </w:rPr>
          </w:pPr>
          <w:hyperlink w:anchor="_Toc529866086" w:history="1">
            <w:r w:rsidR="00F74235" w:rsidRPr="003E6E34">
              <w:rPr>
                <w:rStyle w:val="Hyperlink"/>
                <w:noProof/>
              </w:rPr>
              <w:t>Flexibility</w:t>
            </w:r>
            <w:r w:rsidR="00F74235">
              <w:rPr>
                <w:noProof/>
                <w:webHidden/>
              </w:rPr>
              <w:tab/>
            </w:r>
            <w:r w:rsidR="00F74235">
              <w:rPr>
                <w:noProof/>
                <w:webHidden/>
              </w:rPr>
              <w:fldChar w:fldCharType="begin"/>
            </w:r>
            <w:r w:rsidR="00F74235">
              <w:rPr>
                <w:noProof/>
                <w:webHidden/>
              </w:rPr>
              <w:instrText xml:space="preserve"> PAGEREF _Toc529866086 \h </w:instrText>
            </w:r>
            <w:r w:rsidR="00F74235">
              <w:rPr>
                <w:noProof/>
                <w:webHidden/>
              </w:rPr>
            </w:r>
            <w:r w:rsidR="00F74235">
              <w:rPr>
                <w:noProof/>
                <w:webHidden/>
              </w:rPr>
              <w:fldChar w:fldCharType="separate"/>
            </w:r>
            <w:r w:rsidR="00F74235">
              <w:rPr>
                <w:noProof/>
                <w:webHidden/>
              </w:rPr>
              <w:t>5</w:t>
            </w:r>
            <w:r w:rsidR="00F74235">
              <w:rPr>
                <w:noProof/>
                <w:webHidden/>
              </w:rPr>
              <w:fldChar w:fldCharType="end"/>
            </w:r>
          </w:hyperlink>
        </w:p>
        <w:p w14:paraId="150C5D54" w14:textId="4736C8F3" w:rsidR="00F02002" w:rsidRDefault="00F02002">
          <w:r>
            <w:rPr>
              <w:b/>
              <w:bCs/>
              <w:noProof/>
            </w:rPr>
            <w:fldChar w:fldCharType="end"/>
          </w:r>
        </w:p>
      </w:sdtContent>
    </w:sdt>
    <w:p w14:paraId="37365563" w14:textId="77777777" w:rsidR="00F02002" w:rsidRDefault="00F02002">
      <w:pPr>
        <w:tabs>
          <w:tab w:val="clear" w:pos="1418"/>
        </w:tabs>
        <w:spacing w:after="160" w:line="259" w:lineRule="auto"/>
        <w:contextualSpacing w:val="0"/>
        <w:jc w:val="left"/>
        <w:rPr>
          <w:rFonts w:asciiTheme="majorHAnsi" w:eastAsiaTheme="majorEastAsia" w:hAnsiTheme="majorHAnsi" w:cstheme="majorBidi"/>
          <w:color w:val="2F5496" w:themeColor="accent1" w:themeShade="BF"/>
          <w:sz w:val="26"/>
          <w:szCs w:val="26"/>
          <w:lang w:val="en-US"/>
        </w:rPr>
      </w:pPr>
      <w:r>
        <w:rPr>
          <w:lang w:val="en-US"/>
        </w:rPr>
        <w:br w:type="page"/>
      </w:r>
    </w:p>
    <w:p w14:paraId="52458D17" w14:textId="3927640F" w:rsidR="0009655B" w:rsidRPr="00530DAD" w:rsidRDefault="0009655B" w:rsidP="00F02002">
      <w:pPr>
        <w:pStyle w:val="Heading1"/>
        <w:rPr>
          <w:lang w:val="en-US"/>
        </w:rPr>
      </w:pPr>
      <w:bookmarkStart w:id="0" w:name="_Toc529866083"/>
      <w:r w:rsidRPr="00530DAD">
        <w:rPr>
          <w:lang w:val="en-US"/>
        </w:rPr>
        <w:lastRenderedPageBreak/>
        <w:t>Introduction</w:t>
      </w:r>
      <w:bookmarkEnd w:id="0"/>
    </w:p>
    <w:p w14:paraId="090BE2C8" w14:textId="6361376B" w:rsidR="0009655B" w:rsidRDefault="0009655B" w:rsidP="0009655B">
      <w:pPr>
        <w:rPr>
          <w:b/>
          <w:lang w:val="en-US"/>
        </w:rPr>
      </w:pPr>
      <w:r>
        <w:rPr>
          <w:lang w:val="en-US"/>
        </w:rPr>
        <w:t xml:space="preserve">“The strategic planning phase within a terminal’s development is rather segregated, in which economists make traffic projections, </w:t>
      </w:r>
      <w:proofErr w:type="spellStart"/>
      <w:r>
        <w:rPr>
          <w:lang w:val="en-US"/>
        </w:rPr>
        <w:t>afterwich</w:t>
      </w:r>
      <w:proofErr w:type="spellEnd"/>
      <w:r>
        <w:rPr>
          <w:lang w:val="en-US"/>
        </w:rPr>
        <w:t xml:space="preserve"> a port engineering team translates that projection into a terminal plan, before having the economist re-evaluate the terminal plan and </w:t>
      </w:r>
      <w:proofErr w:type="spellStart"/>
      <w:r>
        <w:rPr>
          <w:lang w:val="en-US"/>
        </w:rPr>
        <w:t>analyse</w:t>
      </w:r>
      <w:proofErr w:type="spellEnd"/>
      <w:r>
        <w:rPr>
          <w:lang w:val="en-US"/>
        </w:rPr>
        <w:t xml:space="preserve"> its feasibility. This results in a very coarse feedback mechanism in which the final economic analysis may require the port engineers to redo their initial design, leading to an increase in design costs. Integrating economic analysis into the design process sets out to facilitate this process by supporting port engineers through visualizing the economic impact of their design </w:t>
      </w:r>
      <w:proofErr w:type="spellStart"/>
      <w:r>
        <w:rPr>
          <w:lang w:val="en-US"/>
        </w:rPr>
        <w:t>assumnptions</w:t>
      </w:r>
      <w:proofErr w:type="spellEnd"/>
      <w:r>
        <w:rPr>
          <w:lang w:val="en-US"/>
        </w:rPr>
        <w:t xml:space="preserve">. </w:t>
      </w:r>
      <w:r w:rsidRPr="00EF044E">
        <w:rPr>
          <w:b/>
          <w:lang w:val="en-US"/>
        </w:rPr>
        <w:t>Check introduction to Cornelis’ introduction</w:t>
      </w:r>
      <w:r>
        <w:rPr>
          <w:b/>
          <w:lang w:val="en-US"/>
        </w:rPr>
        <w:t>.”</w:t>
      </w:r>
    </w:p>
    <w:p w14:paraId="2397E967" w14:textId="15E1CC9E" w:rsidR="00F02002" w:rsidRDefault="00F02002" w:rsidP="0009655B">
      <w:pPr>
        <w:rPr>
          <w:b/>
          <w:lang w:val="en-US"/>
        </w:rPr>
      </w:pPr>
    </w:p>
    <w:p w14:paraId="74DD9FC9" w14:textId="77777777" w:rsidR="00F02002" w:rsidRPr="006662F1" w:rsidRDefault="00F02002" w:rsidP="00F02002">
      <w:pPr>
        <w:spacing w:after="0" w:line="200" w:lineRule="atLeast"/>
        <w:rPr>
          <w:lang w:val="en-US"/>
        </w:rPr>
      </w:pPr>
      <w:r>
        <w:rPr>
          <w:lang w:val="en-US"/>
        </w:rPr>
        <w:t xml:space="preserve">All in all, </w:t>
      </w:r>
      <w:r w:rsidRPr="006662F1">
        <w:rPr>
          <w:lang w:val="en-US"/>
        </w:rPr>
        <w:t>Predictions for future situations usually have an increasing uncertainty over time. Port master</w:t>
      </w:r>
    </w:p>
    <w:p w14:paraId="7547C7D8" w14:textId="77777777" w:rsidR="00F02002" w:rsidRPr="006662F1" w:rsidRDefault="00F02002" w:rsidP="00F02002">
      <w:pPr>
        <w:spacing w:after="0" w:line="200" w:lineRule="atLeast"/>
        <w:rPr>
          <w:lang w:val="en-US"/>
        </w:rPr>
      </w:pPr>
      <w:r w:rsidRPr="006662F1">
        <w:rPr>
          <w:lang w:val="en-US"/>
        </w:rPr>
        <w:t>plans are designed for large periods of time and some variables that -among others- determine the</w:t>
      </w:r>
    </w:p>
    <w:p w14:paraId="5DCAA3FA" w14:textId="77777777" w:rsidR="00F02002" w:rsidRPr="006662F1" w:rsidRDefault="00F02002" w:rsidP="00F02002">
      <w:pPr>
        <w:spacing w:after="0" w:line="200" w:lineRule="atLeast"/>
        <w:rPr>
          <w:lang w:val="en-US"/>
        </w:rPr>
      </w:pPr>
      <w:r w:rsidRPr="006662F1">
        <w:rPr>
          <w:lang w:val="en-US"/>
        </w:rPr>
        <w:t>terminal dimensions may therefore be subject to uncertainty. In the present situation calculations</w:t>
      </w:r>
    </w:p>
    <w:p w14:paraId="4201870F" w14:textId="77777777" w:rsidR="00F02002" w:rsidRPr="006662F1" w:rsidRDefault="00F02002" w:rsidP="00F02002">
      <w:pPr>
        <w:spacing w:after="0" w:line="200" w:lineRule="atLeast"/>
        <w:rPr>
          <w:lang w:val="en-US"/>
        </w:rPr>
      </w:pPr>
      <w:r w:rsidRPr="006662F1">
        <w:rPr>
          <w:lang w:val="en-US"/>
        </w:rPr>
        <w:t>are made by assuming certain values for parameters that are uncertain, this can lead to under or</w:t>
      </w:r>
    </w:p>
    <w:p w14:paraId="4FA7311A" w14:textId="77777777" w:rsidR="00F02002" w:rsidRPr="006662F1" w:rsidRDefault="00F02002" w:rsidP="00F02002">
      <w:pPr>
        <w:spacing w:after="0" w:line="200" w:lineRule="atLeast"/>
        <w:rPr>
          <w:lang w:val="en-US"/>
        </w:rPr>
      </w:pPr>
      <w:r w:rsidRPr="006662F1">
        <w:rPr>
          <w:lang w:val="en-US"/>
        </w:rPr>
        <w:t xml:space="preserve">over dimensioning of terminals. In order to account for </w:t>
      </w:r>
      <w:proofErr w:type="gramStart"/>
      <w:r w:rsidRPr="006662F1">
        <w:rPr>
          <w:lang w:val="en-US"/>
        </w:rPr>
        <w:t>uncertainty</w:t>
      </w:r>
      <w:proofErr w:type="gramEnd"/>
      <w:r w:rsidRPr="006662F1">
        <w:rPr>
          <w:lang w:val="en-US"/>
        </w:rPr>
        <w:t xml:space="preserve"> we can incorporate a</w:t>
      </w:r>
    </w:p>
    <w:p w14:paraId="5C138670" w14:textId="77777777" w:rsidR="00F02002" w:rsidRPr="006662F1" w:rsidRDefault="00F02002" w:rsidP="00F02002">
      <w:pPr>
        <w:spacing w:after="0" w:line="200" w:lineRule="atLeast"/>
        <w:rPr>
          <w:lang w:val="en-US"/>
        </w:rPr>
      </w:pPr>
      <w:r w:rsidRPr="006662F1">
        <w:rPr>
          <w:lang w:val="en-US"/>
        </w:rPr>
        <w:t>probability distribution for specific variables. This way many input combinations are included in</w:t>
      </w:r>
    </w:p>
    <w:p w14:paraId="74196847" w14:textId="77777777" w:rsidR="00F02002" w:rsidRPr="006662F1" w:rsidRDefault="00F02002" w:rsidP="00F02002">
      <w:pPr>
        <w:spacing w:after="0" w:line="200" w:lineRule="atLeast"/>
        <w:rPr>
          <w:lang w:val="en-US"/>
        </w:rPr>
      </w:pPr>
      <w:r w:rsidRPr="006662F1">
        <w:rPr>
          <w:lang w:val="en-US"/>
        </w:rPr>
        <w:t>one single calculation resulting in a more complete and realistic analysis.</w:t>
      </w:r>
    </w:p>
    <w:p w14:paraId="0DC253B9" w14:textId="77777777" w:rsidR="00F02002" w:rsidRDefault="00F02002" w:rsidP="00F02002">
      <w:pPr>
        <w:spacing w:after="0" w:line="200" w:lineRule="atLeast"/>
        <w:rPr>
          <w:lang w:val="en-US"/>
        </w:rPr>
      </w:pPr>
    </w:p>
    <w:p w14:paraId="73129148" w14:textId="77777777" w:rsidR="00F02002" w:rsidRPr="006662F1" w:rsidRDefault="00F02002" w:rsidP="00F02002">
      <w:pPr>
        <w:spacing w:after="0" w:line="200" w:lineRule="atLeast"/>
        <w:rPr>
          <w:lang w:val="en-US"/>
        </w:rPr>
      </w:pPr>
      <w:r w:rsidRPr="006662F1">
        <w:rPr>
          <w:lang w:val="en-US"/>
        </w:rPr>
        <w:t>Among the main concerns for parties that order the design of a terminal are the economic and</w:t>
      </w:r>
    </w:p>
    <w:p w14:paraId="2A5C7663" w14:textId="77777777" w:rsidR="00F02002" w:rsidRPr="006662F1" w:rsidRDefault="00F02002" w:rsidP="00F02002">
      <w:pPr>
        <w:spacing w:after="0" w:line="200" w:lineRule="atLeast"/>
        <w:rPr>
          <w:lang w:val="en-US"/>
        </w:rPr>
      </w:pPr>
      <w:r w:rsidRPr="006662F1">
        <w:rPr>
          <w:lang w:val="en-US"/>
        </w:rPr>
        <w:t>financial feasibility. In order to make a project feasible costs are an important aspect. It would</w:t>
      </w:r>
    </w:p>
    <w:p w14:paraId="383677ED" w14:textId="77777777" w:rsidR="00F02002" w:rsidRPr="006662F1" w:rsidRDefault="00F02002" w:rsidP="00F02002">
      <w:pPr>
        <w:spacing w:after="0" w:line="200" w:lineRule="atLeast"/>
        <w:rPr>
          <w:lang w:val="en-US"/>
        </w:rPr>
      </w:pPr>
      <w:proofErr w:type="gramStart"/>
      <w:r w:rsidRPr="006662F1">
        <w:rPr>
          <w:lang w:val="en-US"/>
        </w:rPr>
        <w:t>therefore</w:t>
      </w:r>
      <w:proofErr w:type="gramEnd"/>
      <w:r w:rsidRPr="006662F1">
        <w:rPr>
          <w:lang w:val="en-US"/>
        </w:rPr>
        <w:t xml:space="preserve"> be useful to be able to give a rough construction cost estimate for a terminal design in</w:t>
      </w:r>
    </w:p>
    <w:p w14:paraId="1CA38F46" w14:textId="77777777" w:rsidR="00F02002" w:rsidRPr="006662F1" w:rsidRDefault="00F02002" w:rsidP="00F02002">
      <w:pPr>
        <w:spacing w:after="0" w:line="200" w:lineRule="atLeast"/>
        <w:rPr>
          <w:lang w:val="en-US"/>
        </w:rPr>
      </w:pPr>
      <w:r w:rsidRPr="006662F1">
        <w:rPr>
          <w:lang w:val="en-US"/>
        </w:rPr>
        <w:t xml:space="preserve">the feasibility phase of a project. </w:t>
      </w:r>
      <w:proofErr w:type="gramStart"/>
      <w:r w:rsidRPr="006662F1">
        <w:rPr>
          <w:lang w:val="en-US"/>
        </w:rPr>
        <w:t>Similarly</w:t>
      </w:r>
      <w:proofErr w:type="gramEnd"/>
      <w:r w:rsidRPr="006662F1">
        <w:rPr>
          <w:lang w:val="en-US"/>
        </w:rPr>
        <w:t xml:space="preserve"> to the design rule parameter values uncertainties about</w:t>
      </w:r>
    </w:p>
    <w:p w14:paraId="49BC318B" w14:textId="77777777" w:rsidR="00F02002" w:rsidRPr="006662F1" w:rsidRDefault="00F02002" w:rsidP="00F02002">
      <w:pPr>
        <w:spacing w:after="0" w:line="200" w:lineRule="atLeast"/>
        <w:rPr>
          <w:lang w:val="en-US"/>
        </w:rPr>
      </w:pPr>
      <w:r w:rsidRPr="006662F1">
        <w:rPr>
          <w:lang w:val="en-US"/>
        </w:rPr>
        <w:t>the prices or costs of terminal elements are common. This of course lends itself for a similar</w:t>
      </w:r>
    </w:p>
    <w:p w14:paraId="53C5756A" w14:textId="77777777" w:rsidR="00F02002" w:rsidRDefault="00F02002" w:rsidP="00F02002">
      <w:pPr>
        <w:rPr>
          <w:lang w:val="en-US"/>
        </w:rPr>
      </w:pPr>
      <w:r w:rsidRPr="006662F1">
        <w:rPr>
          <w:lang w:val="en-US"/>
        </w:rPr>
        <w:t>probabilistic calculation approach.</w:t>
      </w:r>
    </w:p>
    <w:p w14:paraId="127385B8" w14:textId="77777777" w:rsidR="00F02002" w:rsidRDefault="00F02002" w:rsidP="0009655B">
      <w:pPr>
        <w:rPr>
          <w:b/>
          <w:lang w:val="en-US"/>
        </w:rPr>
      </w:pPr>
    </w:p>
    <w:p w14:paraId="40CE7661" w14:textId="2388A061" w:rsidR="000A62EC" w:rsidRDefault="00530DAD"/>
    <w:p w14:paraId="4B7D7C55" w14:textId="300AF188" w:rsidR="00731F24" w:rsidRDefault="00731F24"/>
    <w:p w14:paraId="1360340A" w14:textId="77777777" w:rsidR="00F02002" w:rsidRDefault="00F02002">
      <w:pPr>
        <w:tabs>
          <w:tab w:val="clear" w:pos="1418"/>
        </w:tabs>
        <w:spacing w:after="160" w:line="259" w:lineRule="auto"/>
        <w:contextualSpacing w:val="0"/>
        <w:jc w:val="left"/>
        <w:rPr>
          <w:rFonts w:asciiTheme="majorHAnsi" w:eastAsiaTheme="majorEastAsia" w:hAnsiTheme="majorHAnsi" w:cstheme="majorBidi"/>
          <w:color w:val="2F5496" w:themeColor="accent1" w:themeShade="BF"/>
          <w:sz w:val="26"/>
          <w:szCs w:val="26"/>
          <w:lang w:val="en-US"/>
        </w:rPr>
      </w:pPr>
      <w:r>
        <w:rPr>
          <w:lang w:val="en-US"/>
        </w:rPr>
        <w:br w:type="page"/>
      </w:r>
    </w:p>
    <w:p w14:paraId="2EE0B331" w14:textId="59364E21" w:rsidR="00731F24" w:rsidRPr="00530DAD" w:rsidRDefault="00731F24" w:rsidP="00F02002">
      <w:pPr>
        <w:pStyle w:val="Heading1"/>
        <w:rPr>
          <w:lang w:val="en-US"/>
        </w:rPr>
      </w:pPr>
      <w:bookmarkStart w:id="1" w:name="_Toc529866084"/>
      <w:r w:rsidRPr="00530DAD">
        <w:rPr>
          <w:lang w:val="en-US"/>
        </w:rPr>
        <w:lastRenderedPageBreak/>
        <w:t>Global trends</w:t>
      </w:r>
      <w:bookmarkEnd w:id="1"/>
    </w:p>
    <w:p w14:paraId="585E51E5" w14:textId="77777777" w:rsidR="00731F24" w:rsidRDefault="00731F24" w:rsidP="00731F24">
      <w:pPr>
        <w:rPr>
          <w:lang w:val="en-US"/>
        </w:rPr>
      </w:pPr>
      <w:r>
        <w:rPr>
          <w:lang w:val="en-US"/>
        </w:rPr>
        <w:t xml:space="preserve">Global demand for agricultural commodities such as maize, wheat and soybeans has soared in the past decades </w:t>
      </w:r>
      <w:r>
        <w:rPr>
          <w:lang w:val="en-US"/>
        </w:rPr>
        <w:fldChar w:fldCharType="begin" w:fldLock="1"/>
      </w:r>
      <w:r>
        <w:rPr>
          <w:lang w:val="en-US"/>
        </w:rPr>
        <w:instrText>ADDIN CSL_CITATION {"citationItems":[{"id":"ITEM-1","itemData":{"abstract":"China's resurgent demand and lower global barley production are driving prices to their highest point in nearly 3 years. Demand has particularly surged in the Chinese province of Guangdong (the origin for half of China's imports) where imported barley is used as a profitable energy component relative to other feedstuffs. Robust malting demand in interior provinces has also contributed to resilient imports. In addition to China, Saudi Arabia's relatively inelastic demand and the lowest projected global stocks in more than 30 years are also driving prices upward. Saudi Arabia, typically the world's largest barley importer, is expected to continue its strong presence by accounting for nearly a third of world imports this year. China's imports began to surge at the start of 2017/18 with low global prices, as a record Australian barley crop drove prices downward (see last year's report here). The combination of Australia's record 2016/17 crop and a free trade agreement with China (effective December 2015) made the feedstuff a lucrative import. Since that period, however, Western Australia's March FOB prices for barley have surged almost $80/ton (while wheat climbed $50/ton). Ever so, China's imports are raised this month as its demand has shown little signs of waning but are still forecast lower than last year amid tighter global supplies. As a result of robust global demand and lower world production, ending stocks in all major exporting countries are projected down by year's end. Current projections have global stocks down more than a third compared to 2 years ago. China's resurging presence has greatly influenced barley prices since last year, even as they fail to deter its robust imports.","author":[{"dropping-particle":"","family":"USDA","given":"","non-dropping-particle":"","parse-names":false,"suffix":""}],"id":"ITEM-1","issue":"May","issued":{"date-parts":[["2018"]]},"page":"25","title":"Grain: World Markets and Trade","type":"article-journal"},"uris":["http://www.mendeley.com/documents/?uuid=e4adcbfe-0eec-40a8-94da-e938cdd46ec1"]}],"mendeley":{"formattedCitation":"(USDA, 2018)","plainTextFormattedCitation":"(USDA, 2018)","previouslyFormattedCitation":"(USDA, 2018)"},"properties":{"noteIndex":0},"schema":"https://github.com/citation-style-language/schema/raw/master/csl-citation.json"}</w:instrText>
      </w:r>
      <w:r>
        <w:rPr>
          <w:lang w:val="en-US"/>
        </w:rPr>
        <w:fldChar w:fldCharType="separate"/>
      </w:r>
      <w:r w:rsidRPr="009B6038">
        <w:rPr>
          <w:noProof/>
          <w:lang w:val="en-US"/>
        </w:rPr>
        <w:t>(USDA, 2018)</w:t>
      </w:r>
      <w:r>
        <w:rPr>
          <w:lang w:val="en-US"/>
        </w:rPr>
        <w:fldChar w:fldCharType="end"/>
      </w:r>
      <w:r>
        <w:rPr>
          <w:lang w:val="en-US"/>
        </w:rPr>
        <w:t>. This trend is set to continue, driven by global population growth accompanied by a substantial increase in welfare. In the 19</w:t>
      </w:r>
      <w:r w:rsidRPr="007F53E0">
        <w:rPr>
          <w:vertAlign w:val="superscript"/>
          <w:lang w:val="en-US"/>
        </w:rPr>
        <w:t>th</w:t>
      </w:r>
      <w:r>
        <w:rPr>
          <w:lang w:val="en-US"/>
        </w:rPr>
        <w:t xml:space="preserve"> century, the German statistician Engel observed a positive correlation between per capita food demand and income, ultimately levelling out at high incomes </w:t>
      </w:r>
      <w:r>
        <w:rPr>
          <w:lang w:val="en-US"/>
        </w:rPr>
        <w:fldChar w:fldCharType="begin" w:fldLock="1"/>
      </w:r>
      <w:r>
        <w:rPr>
          <w:lang w:val="en-US"/>
        </w:rPr>
        <w:instrText>ADDIN CSL_CITATION {"citationItems":[{"id":"ITEM-1","itemData":{"DOI":"10.5281/zenodo.31008","ISBN":"1932-6203","author":[{"dropping-particle":"","family":"Bodirsky","given":"Benjamin Leon","non-dropping-particle":"","parse-names":false,"suffix":""},{"dropping-particle":"","family":"Rolinski","given":"Susanne","non-dropping-particle":"","parse-names":false,"suffix":""},{"dropping-particle":"","family":"Biewald","given":"Anne","non-dropping-particle":"","parse-names":false,"suffix":""},{"dropping-particle":"","family":"Weindl","given":"Isabelle","non-dropping-particle":"","parse-names":false,"suffix":""}],"container-title":"PLoS ONE","id":"ITEM-1","issued":{"date-parts":[["2015"]]},"page":"1-27","title":"Global Food Demand Scenarios for the 21 st Century","type":"article-journal"},"uris":["http://www.mendeley.com/documents/?uuid=1de2ffb9-d030-4300-a700-95054449563c"]}],"mendeley":{"formattedCitation":"(Bodirsky, Rolinski, Biewald, &amp; Weindl, 2015)","plainTextFormattedCitation":"(Bodirsky, Rolinski, Biewald, &amp; Weindl, 2015)"},"properties":{"noteIndex":0},"schema":"https://github.com/citation-style-language/schema/raw/master/csl-citation.json"}</w:instrText>
      </w:r>
      <w:r>
        <w:rPr>
          <w:lang w:val="en-US"/>
        </w:rPr>
        <w:fldChar w:fldCharType="separate"/>
      </w:r>
      <w:r w:rsidRPr="00746E17">
        <w:rPr>
          <w:noProof/>
          <w:lang w:val="en-US"/>
        </w:rPr>
        <w:t>(Bodirsky, Rolinski, Biewald, &amp; Weindl, 2015)</w:t>
      </w:r>
      <w:r>
        <w:rPr>
          <w:lang w:val="en-US"/>
        </w:rPr>
        <w:fldChar w:fldCharType="end"/>
      </w:r>
      <w:r>
        <w:rPr>
          <w:lang w:val="en-US"/>
        </w:rPr>
        <w:t xml:space="preserve">. The impact of higher living standards on food consumption can be dissected into three components; increased daily consumption, increased food waste and a dietary shift towards animal products.  </w:t>
      </w:r>
    </w:p>
    <w:p w14:paraId="35789EDA" w14:textId="77777777" w:rsidR="00731F24" w:rsidRDefault="00731F24" w:rsidP="00731F24">
      <w:pPr>
        <w:rPr>
          <w:lang w:val="en-US"/>
        </w:rPr>
      </w:pPr>
    </w:p>
    <w:p w14:paraId="6F72D0CF" w14:textId="77777777" w:rsidR="00731F24" w:rsidRDefault="00731F24" w:rsidP="00731F24">
      <w:r>
        <w:rPr>
          <w:lang w:val="en-US"/>
        </w:rPr>
        <w:t xml:space="preserve">The impact of a global dietary shift to animal products should not be underestimated; currently </w:t>
      </w:r>
      <w:r>
        <w:t xml:space="preserve">32% of the world’s yielded grains and up to 68% of the grains used by developed countries are being fed to livestock </w:t>
      </w:r>
      <w:r>
        <w:fldChar w:fldCharType="begin" w:fldLock="1"/>
      </w:r>
      <w:r>
        <w:instrText>ADDIN CSL_CITATION {"citationItems":[{"id":"ITEM-1","itemData":{"DOI":"10.1016/j.jclepro.2007.06.008","ISBN":"0959-6526","ISSN":"09596526","abstract":"The environmental impact of meat is high mainly due to the feed required by livestock in combination with the impacts of cultivating, transporting and processing of feed crops such as tapioca and grains. Like regular feed crops, livestock also feed on residue from the food industry, such as pulp, scrap and peels. Both types of raw material have different environmental impacts. Feeding food residue to livestock is an efficient way to upgrade a low quality material into high quality foods. In the Netherlands, food residue represents the majority of the feedstock for feed. Distinguishing crops from food residue has consequences for the ascribed environmental impact of meat. This paper separates these two streams using volume, environmental impact and their relevance in meat production. An assessment is made of three food industries (sugar beet industry, vegetable oil industry and potato product industry) that produce the largest stream of food residue, and of the pork industry, as an example of meat production. The environmental impact of food residue-based feed is allocated in three different ways: mass ratio, economic basis, and no assigned burden. We found that the amount of pork produced from food residue is substantial. The environmental impact of food residue-based feed is also significantly lower than grain-based feed. We discuss changes in vegetable and in animal product consumption that influence the environmental impact of pork. It is concluded that the use of current food residue keeps the environmental impact of livestock foods relatively low. However, a further increase in meat consumption would require more feed grains with a correspondingly larger environmental impact because food residues are used up. © 2007 Elsevier Ltd. All rights reserved.","author":[{"dropping-particle":"V.","family":"Elferink","given":"E.","non-dropping-particle":"","parse-names":false,"suffix":""},{"dropping-particle":"","family":"Nonhebel","given":"S.","non-dropping-particle":"","parse-names":false,"suffix":""},{"dropping-particle":"","family":"Moll","given":"H. C.","non-dropping-particle":"","parse-names":false,"suffix":""}],"container-title":"Journal of Cleaner Production","id":"ITEM-1","issue":"12","issued":{"date-parts":[["2008"]]},"page":"1227-1233","title":"Feeding livestock food residue and the consequences for the environmental impact of meat","type":"article-journal","volume":"16"},"uris":["http://www.mendeley.com/documents/?uuid=f83734eb-4b4b-4621-9ade-b65377e9a9a3"]}],"mendeley":{"formattedCitation":"(Elferink, Nonhebel, &amp; Moll, 2008)","plainTextFormattedCitation":"(Elferink, Nonhebel, &amp; Moll, 2008)","previouslyFormattedCitation":"&lt;sup&gt;2&lt;/sup&gt;"},"properties":{"noteIndex":0},"schema":"https://github.com/citation-style-language/schema/raw/master/csl-citation.json"}</w:instrText>
      </w:r>
      <w:r>
        <w:fldChar w:fldCharType="separate"/>
      </w:r>
      <w:r w:rsidRPr="00746E17">
        <w:rPr>
          <w:noProof/>
        </w:rPr>
        <w:t>(Elferink, Nonhebel, &amp; Moll, 2008)</w:t>
      </w:r>
      <w:r>
        <w:fldChar w:fldCharType="end"/>
      </w:r>
      <w:r>
        <w:t xml:space="preserve">. This portion is set to increase, as the past 50 years have seen the global demand for animal products and the amount of crop production used for feed approximately triple (330% and 300% respectively) </w:t>
      </w:r>
      <w:r>
        <w:fldChar w:fldCharType="begin" w:fldLock="1"/>
      </w:r>
      <w:r>
        <w:instrText>ADDIN CSL_CITATION {"citationItems":[{"id":"ITEM-1","itemData":{"author":[{"dropping-particle":"","family":"Food and Agriculture Organization of the United Nations","given":"","non-dropping-particle":"","parse-names":false,"suffix":""}],"id":"ITEM-1","issued":{"date-parts":[["2014"]]},"title":"FAOSTAT Database","type":"report"},"uris":["http://www.mendeley.com/documents/?uuid=761d6428-26cd-405f-b5c7-78fa0057883f"]}],"mendeley":{"formattedCitation":"(Food and Agriculture Organization of the United Nations, 2014)","plainTextFormattedCitation":"(Food and Agriculture Organization of the United Nations, 2014)","previouslyFormattedCitation":"&lt;sup&gt;3&lt;/sup&gt;"},"properties":{"noteIndex":0},"schema":"https://github.com/citation-style-language/schema/raw/master/csl-citation.json"}</w:instrText>
      </w:r>
      <w:r>
        <w:fldChar w:fldCharType="separate"/>
      </w:r>
      <w:r w:rsidRPr="00746E17">
        <w:rPr>
          <w:noProof/>
        </w:rPr>
        <w:t>(Food and Agriculture Organization of the United Nations, 2014)</w:t>
      </w:r>
      <w:r>
        <w:fldChar w:fldCharType="end"/>
      </w:r>
      <w:r>
        <w:t>. Examples of clear dietary shifts as a result of increasing GDP can be seen in Brazil, where annual per capita meat consumption rose from 28 to 82 kg between 2000 and 2010</w:t>
      </w:r>
      <w:r>
        <w:fldChar w:fldCharType="begin" w:fldLock="1"/>
      </w:r>
      <w:r>
        <w:instrText>ADDIN CSL_CITATION {"citationItems":[{"id":"ITEM-1","itemData":{"ISBN":"9781862032774 1862032777","abstract":"The spectre of resource insecurity has come back with a vengeance. The world is undergoing a period of intensified resource stress, driven in part by the scale and speed of demand growth from emerging economies and a decade of tight commodity markets. Poorly designed and short-sighted policies are also making things worse, not better. Whether or not resources are actually running out, the outlook is one of supply disruptions, volatile prices, accelerated environmental degradation and rising political tensions over resource access. Fears of resource scarcity are not new. On many occasions, higher rates of investment and improved technology have resolved the problem of the day, though often with additional environmental and social costs. With the maturation of technologies to access non-conventional gas and oil, as well as the global economic downturn, some analysts suggest that the resource boom of the past decade is coming to an end – especially in the extractive industries – and that resource-related tensions will ease.","author":[{"dropping-particle":"","family":"Lee","given":"Bernice","non-dropping-particle":"","parse-names":false,"suffix":""},{"dropping-particle":"","family":"Preston","given":"Felix","non-dropping-particle":"","parse-names":false,"suffix":""},{"dropping-particle":"","family":"Kooroshy","given":"Jaakko","non-dropping-particle":"","parse-names":false,"suffix":""},{"dropping-particle":"","family":"Bailey","given":"Rob","non-dropping-particle":"","parse-names":false,"suffix":""},{"dropping-particle":"","family":"Lahn","given":"Glada","non-dropping-particle":"","parse-names":false,"suffix":""},{"dropping-particle":"","family":"Asia","given":"North","non-dropping-particle":"","parse-names":false,"suffix":""},{"dropping-particle":"","family":"Asia","given":"South","non-dropping-particle":"","parse-names":false,"suffix":""}],"id":"ITEM-1","issued":{"date-parts":[["2012"]]},"page":"249","title":"Resources Futures","type":"article-journal"},"uris":["http://www.mendeley.com/documents/?uuid=74498385-3449-464f-85a8-9d49ddd66955"]}],"mendeley":{"formattedCitation":"(Lee et al., 2012)","plainTextFormattedCitation":"(Lee et al., 2012)","previouslyFormattedCitation":"&lt;sup&gt;4&lt;/sup&gt;"},"properties":{"noteIndex":0},"schema":"https://github.com/citation-style-language/schema/raw/master/csl-citation.json"}</w:instrText>
      </w:r>
      <w:r>
        <w:fldChar w:fldCharType="separate"/>
      </w:r>
      <w:r w:rsidRPr="00746E17">
        <w:rPr>
          <w:noProof/>
        </w:rPr>
        <w:t>(Lee et al., 2012)</w:t>
      </w:r>
      <w:r>
        <w:fldChar w:fldCharType="end"/>
      </w:r>
      <w:r>
        <w:t>, while GDP rose from 655 to 2209 billion US$</w:t>
      </w:r>
      <w:r>
        <w:fldChar w:fldCharType="begin" w:fldLock="1"/>
      </w:r>
      <w:r>
        <w:instrText>ADDIN CSL_CITATION {"citationItems":[{"id":"ITEM-1","itemData":{"URL":"https://data.worldbank.org/indicator/NY.GDP.MKTP.CD?end=2010&amp;locations=BR&amp;start=2000","accessed":{"date-parts":[["2018","5","20"]]},"author":[{"dropping-particle":"","family":"The World Bank","given":"","non-dropping-particle":"","parse-names":false,"suffix":""}],"id":"ITEM-1","issued":{"date-parts":[["0"]]},"title":"The World Bank","type":"webpage"},"uris":["http://www.mendeley.com/documents/?uuid=46e58d8b-582d-41d0-baec-b5d7c1a2a44a"]}],"mendeley":{"formattedCitation":"(The World Bank, n.d.)","plainTextFormattedCitation":"(The World Bank, n.d.)","previouslyFormattedCitation":"&lt;sup&gt;5&lt;/sup&gt;"},"properties":{"noteIndex":0},"schema":"https://github.com/citation-style-language/schema/raw/master/csl-citation.json"}</w:instrText>
      </w:r>
      <w:r>
        <w:fldChar w:fldCharType="separate"/>
      </w:r>
      <w:r w:rsidRPr="00746E17">
        <w:rPr>
          <w:noProof/>
        </w:rPr>
        <w:t>(The World Bank, n.d.)</w:t>
      </w:r>
      <w:r>
        <w:fldChar w:fldCharType="end"/>
      </w:r>
      <w:r>
        <w:t>. Another such example can be found in China, where average meat consumption increased from 3.8 to 52.4 kg per capita and GDP rose from 427 to 1471 billion US$</w:t>
      </w:r>
      <w:r>
        <w:fldChar w:fldCharType="begin" w:fldLock="1"/>
      </w:r>
      <w:r>
        <w:instrText>ADDIN CSL_CITATION {"citationItems":[{"id":"ITEM-1","itemData":{"URL":"https://data.worldbank.org/indicator/NY.GDP.MKTP.CD?end=2010&amp;locations=BR&amp;start=2000","accessed":{"date-parts":[["2018","5","20"]]},"author":[{"dropping-particle":"","family":"The World Bank","given":"","non-dropping-particle":"","parse-names":false,"suffix":""}],"id":"ITEM-1","issued":{"date-parts":[["0"]]},"title":"The World Bank","type":"webpage"},"uris":["http://www.mendeley.com/documents/?uuid=46e58d8b-582d-41d0-baec-b5d7c1a2a44a"]}],"mendeley":{"formattedCitation":"(The World Bank, n.d.)","plainTextFormattedCitation":"(The World Bank, n.d.)","previouslyFormattedCitation":"&lt;sup&gt;5&lt;/sup&gt;"},"properties":{"noteIndex":0},"schema":"https://github.com/citation-style-language/schema/raw/master/csl-citation.json"}</w:instrText>
      </w:r>
      <w:r>
        <w:fldChar w:fldCharType="separate"/>
      </w:r>
      <w:r w:rsidRPr="00746E17">
        <w:rPr>
          <w:noProof/>
        </w:rPr>
        <w:t>(The World Bank, n.d.)</w:t>
      </w:r>
      <w:r>
        <w:fldChar w:fldCharType="end"/>
      </w:r>
      <w:r>
        <w:t xml:space="preserve"> between 1990 and 2002</w:t>
      </w:r>
      <w:r>
        <w:fldChar w:fldCharType="begin" w:fldLock="1"/>
      </w:r>
      <w:r>
        <w:instrText>ADDIN CSL_CITATION {"citationItems":[{"id":"ITEM-1","itemData":{"ISBN":"9781862032774 1862032777","abstract":"The spectre of resource insecurity has come back with a vengeance. The world is undergoing a period of intensified resource stress, driven in part by the scale and speed of demand growth from emerging economies and a decade of tight commodity markets. Poorly designed and short-sighted policies are also making things worse, not better. Whether or not resources are actually running out, the outlook is one of supply disruptions, volatile prices, accelerated environmental degradation and rising political tensions over resource access. Fears of resource scarcity are not new. On many occasions, higher rates of investment and improved technology have resolved the problem of the day, though often with additional environmental and social costs. With the maturation of technologies to access non-conventional gas and oil, as well as the global economic downturn, some analysts suggest that the resource boom of the past decade is coming to an end – especially in the extractive industries – and that resource-related tensions will ease.","author":[{"dropping-particle":"","family":"Lee","given":"Bernice","non-dropping-particle":"","parse-names":false,"suffix":""},{"dropping-particle":"","family":"Preston","given":"Felix","non-dropping-particle":"","parse-names":false,"suffix":""},{"dropping-particle":"","family":"Kooroshy","given":"Jaakko","non-dropping-particle":"","parse-names":false,"suffix":""},{"dropping-particle":"","family":"Bailey","given":"Rob","non-dropping-particle":"","parse-names":false,"suffix":""},{"dropping-particle":"","family":"Lahn","given":"Glada","non-dropping-particle":"","parse-names":false,"suffix":""},{"dropping-particle":"","family":"Asia","given":"North","non-dropping-particle":"","parse-names":false,"suffix":""},{"dropping-particle":"","family":"Asia","given":"South","non-dropping-particle":"","parse-names":false,"suffix":""}],"id":"ITEM-1","issued":{"date-parts":[["2012"]]},"page":"249","title":"Resources Futures","type":"article-journal"},"uris":["http://www.mendeley.com/documents/?uuid=74498385-3449-464f-85a8-9d49ddd66955"]}],"mendeley":{"formattedCitation":"(Lee et al., 2012)","plainTextFormattedCitation":"(Lee et al., 2012)","previouslyFormattedCitation":"&lt;sup&gt;4&lt;/sup&gt;"},"properties":{"noteIndex":0},"schema":"https://github.com/citation-style-language/schema/raw/master/csl-citation.json"}</w:instrText>
      </w:r>
      <w:r>
        <w:fldChar w:fldCharType="separate"/>
      </w:r>
      <w:r w:rsidRPr="00746E17">
        <w:rPr>
          <w:noProof/>
        </w:rPr>
        <w:t>(Lee et al., 2012)</w:t>
      </w:r>
      <w:r>
        <w:fldChar w:fldCharType="end"/>
      </w:r>
      <w:r>
        <w:t>.</w:t>
      </w:r>
    </w:p>
    <w:p w14:paraId="22C17735" w14:textId="77777777" w:rsidR="00731F24" w:rsidRPr="00297436" w:rsidRDefault="00731F24" w:rsidP="00731F24"/>
    <w:p w14:paraId="7306F635" w14:textId="77777777" w:rsidR="00731F24" w:rsidRDefault="00731F24" w:rsidP="00731F24">
      <w:pPr>
        <w:rPr>
          <w:lang w:val="en-US"/>
        </w:rPr>
      </w:pPr>
      <w:r>
        <w:rPr>
          <w:lang w:val="en-US"/>
        </w:rPr>
        <w:t xml:space="preserve">The increase in food demand will be met with limitations on local production due to regional climates, boosting the global trade in agricultural commodities. The global trends </w:t>
      </w:r>
      <w:r w:rsidRPr="00DD007B">
        <w:rPr>
          <w:lang w:val="en-US"/>
        </w:rPr>
        <w:t>seen in</w:t>
      </w:r>
      <w:r>
        <w:rPr>
          <w:lang w:val="en-US"/>
        </w:rPr>
        <w:t xml:space="preserve"> </w:t>
      </w:r>
      <w:r>
        <w:rPr>
          <w:lang w:val="en-US"/>
        </w:rPr>
        <w:fldChar w:fldCharType="begin"/>
      </w:r>
      <w:r>
        <w:rPr>
          <w:lang w:val="en-US"/>
        </w:rPr>
        <w:instrText xml:space="preserve"> REF _Ref515018831 \h </w:instrText>
      </w:r>
      <w:r>
        <w:rPr>
          <w:lang w:val="en-US"/>
        </w:rPr>
      </w:r>
      <w:r>
        <w:rPr>
          <w:lang w:val="en-US"/>
        </w:rPr>
        <w:fldChar w:fldCharType="separate"/>
      </w:r>
      <w:r>
        <w:t xml:space="preserve">Figure </w:t>
      </w:r>
      <w:r>
        <w:rPr>
          <w:noProof/>
        </w:rPr>
        <w:t>1</w:t>
      </w:r>
      <w:r>
        <w:t>.</w:t>
      </w:r>
      <w:r>
        <w:rPr>
          <w:noProof/>
        </w:rPr>
        <w:t>1</w:t>
      </w:r>
      <w:r>
        <w:rPr>
          <w:lang w:val="en-US"/>
        </w:rPr>
        <w:fldChar w:fldCharType="end"/>
      </w:r>
      <w:r>
        <w:rPr>
          <w:lang w:val="en-US"/>
        </w:rPr>
        <w:t xml:space="preserve"> underscore the industry’s growth potential and are based on the UN’s yearly population assessment</w:t>
      </w:r>
      <w:r>
        <w:rPr>
          <w:lang w:val="en-US"/>
        </w:rPr>
        <w:fldChar w:fldCharType="begin" w:fldLock="1"/>
      </w:r>
      <w:r>
        <w:rPr>
          <w:lang w:val="en-US"/>
        </w:rPr>
        <w:instrText>ADDIN CSL_CITATION {"citationItems":[{"id":"ITEM-1","itemData":{"URL":"https://esa.un.org/unpd/wpp/","author":[{"dropping-particle":"","family":"UN Population Division","given":"","non-dropping-particle":"","parse-names":false,"suffix":""}],"id":"ITEM-1","issued":{"date-parts":[["2017"]]},"title":"World Population Propects","type":"webpage"},"uris":["http://www.mendeley.com/documents/?uuid=4b10e16c-3afc-4eb7-bc75-aa6ec0071935"]}],"mendeley":{"formattedCitation":"(UN Population Division, 2017)","plainTextFormattedCitation":"(UN Population Division, 2017)","previouslyFormattedCitation":"&lt;sup&gt;6&lt;/sup&gt;"},"properties":{"noteIndex":0},"schema":"https://github.com/citation-style-language/schema/raw/master/csl-citation.json"}</w:instrText>
      </w:r>
      <w:r>
        <w:rPr>
          <w:lang w:val="en-US"/>
        </w:rPr>
        <w:fldChar w:fldCharType="separate"/>
      </w:r>
      <w:r w:rsidRPr="00746E17">
        <w:rPr>
          <w:noProof/>
          <w:lang w:val="en-US"/>
        </w:rPr>
        <w:t>(UN Population Division, 2017)</w:t>
      </w:r>
      <w:r>
        <w:rPr>
          <w:lang w:val="en-US"/>
        </w:rPr>
        <w:fldChar w:fldCharType="end"/>
      </w:r>
      <w:r>
        <w:rPr>
          <w:lang w:val="en-US"/>
        </w:rPr>
        <w:t xml:space="preserve"> and the OECD’s global GDP forecasts</w:t>
      </w:r>
      <w:r>
        <w:rPr>
          <w:rStyle w:val="FootnoteReference"/>
          <w:lang w:val="en-US"/>
        </w:rPr>
        <w:fldChar w:fldCharType="begin" w:fldLock="1"/>
      </w:r>
      <w:r>
        <w:rPr>
          <w:lang w:val="en-US"/>
        </w:rPr>
        <w:instrText>ADDIN CSL_CITATION {"citationItems":[{"id":"ITEM-1","itemData":{"URL":"https://data.oecd.org/gdp/real-gdp-forecast.htm","author":[{"dropping-particle":"","family":"OECD","given":"","non-dropping-particle":"","parse-names":false,"suffix":""}],"id":"ITEM-1","issued":{"date-parts":[["2018"]]},"title":"OECD GDP Forecasts","type":"webpage"},"uris":["http://www.mendeley.com/documents/?uuid=29cfb270-2c0d-4d9b-b731-9dd97dc4e517"]}],"mendeley":{"formattedCitation":"(OECD, 2018)","plainTextFormattedCitation":"(OECD, 2018)","previouslyFormattedCitation":"&lt;sup&gt;7&lt;/sup&gt;"},"properties":{"noteIndex":0},"schema":"https://github.com/citation-style-language/schema/raw/master/csl-citation.json"}</w:instrText>
      </w:r>
      <w:r>
        <w:rPr>
          <w:rStyle w:val="FootnoteReference"/>
          <w:lang w:val="en-US"/>
        </w:rPr>
        <w:fldChar w:fldCharType="separate"/>
      </w:r>
      <w:r w:rsidRPr="00746E17">
        <w:rPr>
          <w:noProof/>
          <w:lang w:val="en-US"/>
        </w:rPr>
        <w:t>(OECD, 2018)</w:t>
      </w:r>
      <w:r>
        <w:rPr>
          <w:rStyle w:val="FootnoteReference"/>
          <w:lang w:val="en-US"/>
        </w:rPr>
        <w:fldChar w:fldCharType="end"/>
      </w:r>
      <w:r>
        <w:rPr>
          <w:lang w:val="en-US"/>
        </w:rPr>
        <w:t xml:space="preserve"> noted in real terms (i.e. adjusted for inflation and rising cost of services). </w:t>
      </w:r>
    </w:p>
    <w:p w14:paraId="6D2033CE" w14:textId="77777777" w:rsidR="00731F24" w:rsidRDefault="00731F24" w:rsidP="00731F24">
      <w:pPr>
        <w:rPr>
          <w:lang w:val="en-US"/>
        </w:rPr>
      </w:pPr>
    </w:p>
    <w:p w14:paraId="07705D0D" w14:textId="77777777" w:rsidR="00731F24" w:rsidRDefault="00731F24" w:rsidP="00731F24">
      <w:r>
        <w:rPr>
          <w:lang w:val="en-US"/>
        </w:rPr>
        <w:t>The three commodities that fall within the scope of this research are maize, soybeans and wheat, as they all share two characteristics: they are currently traded in substantial volumes and they all show signs of large growth potential.  As shipping will be the main form of transport capable of transporting such trade volumes between global regions, attention should be paid to the efficient design of its corresponding terminals. An efficient design is one that minimizes and postpone costs whenever possible, increases revenues by living up to market demand and expedites revenues to reduce overall project risk.</w:t>
      </w:r>
    </w:p>
    <w:p w14:paraId="7CAE6EE5" w14:textId="77777777" w:rsidR="00731F24" w:rsidRPr="00746E17" w:rsidRDefault="00731F24" w:rsidP="00731F24"/>
    <w:p w14:paraId="134B23C3" w14:textId="77777777" w:rsidR="00F02002" w:rsidRDefault="00F02002">
      <w:pPr>
        <w:tabs>
          <w:tab w:val="clear" w:pos="1418"/>
        </w:tabs>
        <w:spacing w:after="160" w:line="259" w:lineRule="auto"/>
        <w:contextualSpacing w:val="0"/>
        <w:jc w:val="left"/>
        <w:rPr>
          <w:rFonts w:asciiTheme="majorHAnsi" w:eastAsiaTheme="majorEastAsia" w:hAnsiTheme="majorHAnsi" w:cstheme="majorBidi"/>
          <w:color w:val="2F5496" w:themeColor="accent1" w:themeShade="BF"/>
          <w:spacing w:val="0"/>
          <w:kern w:val="0"/>
          <w:sz w:val="32"/>
          <w:szCs w:val="32"/>
          <w:lang w:val="en-US"/>
        </w:rPr>
      </w:pPr>
      <w:r>
        <w:rPr>
          <w:lang w:val="en-US"/>
        </w:rPr>
        <w:br w:type="page"/>
      </w:r>
    </w:p>
    <w:p w14:paraId="6C8FFF80" w14:textId="6CB91442" w:rsidR="00F02002" w:rsidRPr="00530DAD" w:rsidRDefault="00F02002" w:rsidP="00F02002">
      <w:pPr>
        <w:pStyle w:val="Heading1"/>
        <w:rPr>
          <w:lang w:val="en-US"/>
        </w:rPr>
      </w:pPr>
      <w:bookmarkStart w:id="2" w:name="_Toc529866085"/>
      <w:r w:rsidRPr="00530DAD">
        <w:rPr>
          <w:lang w:val="en-US"/>
        </w:rPr>
        <w:lastRenderedPageBreak/>
        <w:t>Quay Wall</w:t>
      </w:r>
      <w:bookmarkEnd w:id="2"/>
    </w:p>
    <w:p w14:paraId="6B49C70F" w14:textId="77777777" w:rsidR="00F02002" w:rsidRDefault="00F02002" w:rsidP="00F02002">
      <w:pPr>
        <w:rPr>
          <w:lang w:val="en-US"/>
        </w:rPr>
      </w:pPr>
      <w:r>
        <w:rPr>
          <w:lang w:val="en-US"/>
        </w:rPr>
        <w:t>Arrival rate λ = calls per year/ operation hours per year</w:t>
      </w:r>
    </w:p>
    <w:p w14:paraId="08668A81" w14:textId="77777777" w:rsidR="00F02002" w:rsidRPr="00AD0AD9" w:rsidRDefault="00F02002" w:rsidP="00F02002">
      <w:pPr>
        <w:rPr>
          <w:rFonts w:eastAsiaTheme="minorEastAsia"/>
          <w:b/>
          <w:bCs/>
          <w:lang w:val="en-US"/>
        </w:rPr>
      </w:pPr>
      <w:r>
        <w:rPr>
          <w:lang w:val="en-US"/>
        </w:rPr>
        <w:t xml:space="preserve">Service rate </w:t>
      </w:r>
      <m:oMath>
        <m:r>
          <w:rPr>
            <w:rFonts w:ascii="Cambria Math" w:hAnsi="Cambria Math"/>
            <w:lang w:val="en-US"/>
          </w:rPr>
          <m:t>μ</m:t>
        </m:r>
      </m:oMath>
      <w:r>
        <w:rPr>
          <w:lang w:val="en-US"/>
        </w:rPr>
        <w:t xml:space="preserve"> = 1/ </w:t>
      </w:r>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s</m:t>
            </m:r>
          </m:sub>
        </m:sSub>
        <m:r>
          <w:rPr>
            <w:rFonts w:ascii="Cambria Math" w:hAnsi="Cambria Math"/>
            <w:lang w:val="en-US"/>
          </w:rPr>
          <m:t>+</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m</m:t>
            </m:r>
          </m:sub>
        </m:sSub>
      </m:oMath>
    </w:p>
    <w:p w14:paraId="60DC3AAC" w14:textId="77777777" w:rsidR="00F02002" w:rsidRDefault="00F02002" w:rsidP="00F02002">
      <w:pPr>
        <w:rPr>
          <w:rFonts w:eastAsiaTheme="minorEastAsia"/>
          <w:lang w:val="en-US"/>
        </w:rPr>
      </w:pPr>
      <w:r>
        <w:rPr>
          <w:lang w:val="en-US"/>
        </w:rPr>
        <w:t xml:space="preserve">Berth occupancy </w:t>
      </w:r>
      <m:oMath>
        <m:r>
          <w:rPr>
            <w:rFonts w:ascii="Cambria Math" w:hAnsi="Cambria Math"/>
            <w:lang w:val="en-US"/>
          </w:rPr>
          <m:t>ρ</m:t>
        </m:r>
      </m:oMath>
      <w:r>
        <w:rPr>
          <w:rFonts w:eastAsiaTheme="minorEastAsia"/>
          <w:lang w:val="en-US"/>
        </w:rPr>
        <w:t xml:space="preserve"> = </w:t>
      </w:r>
      <w:r>
        <w:rPr>
          <w:lang w:val="en-US"/>
        </w:rPr>
        <w:t>λ /</w:t>
      </w:r>
      <m:oMath>
        <m:r>
          <w:rPr>
            <w:rFonts w:ascii="Cambria Math" w:hAnsi="Cambria Math"/>
            <w:lang w:val="en-US"/>
          </w:rPr>
          <m:t xml:space="preserve"> μ</m:t>
        </m:r>
      </m:oMath>
    </w:p>
    <w:p w14:paraId="7BC3C115" w14:textId="77777777" w:rsidR="00F02002" w:rsidRDefault="00F02002" w:rsidP="00F02002">
      <w:pPr>
        <w:rPr>
          <w:rFonts w:eastAsiaTheme="minorEastAsia"/>
          <w:lang w:val="en-US"/>
        </w:rPr>
      </w:pPr>
      <w:r>
        <w:rPr>
          <w:lang w:val="en-US"/>
        </w:rPr>
        <w:t xml:space="preserve">Utilization factor u = </w:t>
      </w:r>
      <m:oMath>
        <m:r>
          <w:rPr>
            <w:rFonts w:ascii="Cambria Math" w:hAnsi="Cambria Math"/>
            <w:lang w:val="en-US"/>
          </w:rPr>
          <m:t>ρ</m:t>
        </m:r>
      </m:oMath>
      <w:r>
        <w:rPr>
          <w:rFonts w:eastAsiaTheme="minorEastAsia"/>
          <w:lang w:val="en-US"/>
        </w:rPr>
        <w:t>/number berths</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
        <w:gridCol w:w="5770"/>
        <w:gridCol w:w="1955"/>
        <w:gridCol w:w="1016"/>
      </w:tblGrid>
      <w:tr w:rsidR="00F02002" w:rsidRPr="003E07FB" w14:paraId="29E4CC9E" w14:textId="77777777" w:rsidTr="00A87BFC">
        <w:tc>
          <w:tcPr>
            <w:tcW w:w="326" w:type="dxa"/>
            <w:vAlign w:val="center"/>
          </w:tcPr>
          <w:p w14:paraId="1FD33259" w14:textId="77777777" w:rsidR="00F02002" w:rsidRPr="003E07FB" w:rsidRDefault="00F02002" w:rsidP="00A87BFC">
            <w:pPr>
              <w:spacing w:before="60" w:after="60"/>
              <w:rPr>
                <w:b/>
                <w:i/>
                <w:lang w:val="en-US"/>
              </w:rPr>
            </w:pPr>
          </w:p>
        </w:tc>
        <w:tc>
          <w:tcPr>
            <w:tcW w:w="5770" w:type="dxa"/>
            <w:vAlign w:val="center"/>
          </w:tcPr>
          <w:p w14:paraId="043F5395" w14:textId="77777777" w:rsidR="00F02002" w:rsidRPr="003E07FB" w:rsidRDefault="00F02002" w:rsidP="00A87BFC">
            <w:pPr>
              <w:spacing w:before="60" w:after="60"/>
              <w:rPr>
                <w:b/>
                <w:i/>
                <w:lang w:val="en-US"/>
              </w:rPr>
            </w:pPr>
          </w:p>
        </w:tc>
        <w:tc>
          <w:tcPr>
            <w:tcW w:w="1955" w:type="dxa"/>
            <w:vAlign w:val="center"/>
          </w:tcPr>
          <w:p w14:paraId="0C76270A" w14:textId="77777777" w:rsidR="00F02002" w:rsidRPr="003E07FB" w:rsidRDefault="00F02002" w:rsidP="00A87BFC">
            <w:pPr>
              <w:spacing w:before="60" w:after="60"/>
              <w:rPr>
                <w:b/>
                <w:i/>
                <w:lang w:val="en-US"/>
              </w:rPr>
            </w:pPr>
            <w:r w:rsidRPr="003E07FB">
              <w:rPr>
                <w:b/>
                <w:i/>
                <w:lang w:val="en-US"/>
              </w:rPr>
              <w:t>Source</w:t>
            </w:r>
          </w:p>
        </w:tc>
        <w:tc>
          <w:tcPr>
            <w:tcW w:w="1016" w:type="dxa"/>
            <w:vAlign w:val="center"/>
          </w:tcPr>
          <w:p w14:paraId="2BC46F0B" w14:textId="77777777" w:rsidR="00F02002" w:rsidRPr="003E07FB" w:rsidRDefault="00F02002" w:rsidP="00A87BFC">
            <w:pPr>
              <w:spacing w:before="60" w:after="60"/>
              <w:rPr>
                <w:b/>
                <w:i/>
                <w:lang w:val="en-US"/>
              </w:rPr>
            </w:pPr>
            <w:r w:rsidRPr="003E07FB">
              <w:rPr>
                <w:b/>
                <w:i/>
                <w:lang w:val="en-US"/>
              </w:rPr>
              <w:t>Applied?</w:t>
            </w:r>
          </w:p>
        </w:tc>
      </w:tr>
      <w:tr w:rsidR="00F02002" w14:paraId="5B549BE3" w14:textId="77777777" w:rsidTr="00A87BFC">
        <w:tc>
          <w:tcPr>
            <w:tcW w:w="326" w:type="dxa"/>
            <w:vAlign w:val="center"/>
          </w:tcPr>
          <w:p w14:paraId="498A9826" w14:textId="77777777" w:rsidR="00F02002" w:rsidRDefault="00F02002" w:rsidP="00A87BFC">
            <w:pPr>
              <w:spacing w:before="60" w:after="60"/>
              <w:rPr>
                <w:lang w:val="en-US"/>
              </w:rPr>
            </w:pPr>
            <w:r>
              <w:rPr>
                <w:lang w:val="en-US"/>
              </w:rPr>
              <w:t>•</w:t>
            </w:r>
          </w:p>
        </w:tc>
        <w:tc>
          <w:tcPr>
            <w:tcW w:w="5770" w:type="dxa"/>
            <w:vAlign w:val="center"/>
          </w:tcPr>
          <w:p w14:paraId="64FBBFF8" w14:textId="77777777" w:rsidR="00F02002" w:rsidRDefault="00F02002" w:rsidP="00A87BFC">
            <w:pPr>
              <w:spacing w:before="60" w:after="60"/>
              <w:rPr>
                <w:lang w:val="en-US"/>
              </w:rPr>
            </w:pPr>
            <w:r>
              <w:rPr>
                <w:lang w:val="en-US"/>
              </w:rPr>
              <w:t>Opex quay wall ≈ 1% - 1.5% of initial investment annually</w:t>
            </w:r>
          </w:p>
        </w:tc>
        <w:tc>
          <w:tcPr>
            <w:tcW w:w="1955" w:type="dxa"/>
            <w:vAlign w:val="center"/>
          </w:tcPr>
          <w:p w14:paraId="290088F4" w14:textId="77777777" w:rsidR="00F02002" w:rsidRDefault="00F02002" w:rsidP="00A87BFC">
            <w:pPr>
              <w:spacing w:before="60" w:after="60"/>
              <w:rPr>
                <w:lang w:val="en-US"/>
              </w:rPr>
            </w:pPr>
            <w:r>
              <w:rPr>
                <w:lang w:val="en-US"/>
              </w:rPr>
              <w:t>Gijt (2010)</w:t>
            </w:r>
          </w:p>
        </w:tc>
        <w:tc>
          <w:tcPr>
            <w:tcW w:w="1016" w:type="dxa"/>
            <w:vAlign w:val="center"/>
          </w:tcPr>
          <w:p w14:paraId="1492B5C9" w14:textId="77777777" w:rsidR="00F02002" w:rsidRDefault="00F02002" w:rsidP="00A87BFC">
            <w:pPr>
              <w:spacing w:before="60" w:after="60"/>
              <w:jc w:val="center"/>
              <w:rPr>
                <w:lang w:val="en-US"/>
              </w:rPr>
            </w:pPr>
            <w:r w:rsidRPr="00B608D3">
              <w:rPr>
                <w:color w:val="FF0000"/>
                <w:lang w:val="en-US"/>
              </w:rPr>
              <w:sym w:font="Wingdings" w:char="F0FB"/>
            </w:r>
          </w:p>
        </w:tc>
      </w:tr>
      <w:tr w:rsidR="00F02002" w14:paraId="33090B1A" w14:textId="77777777" w:rsidTr="00A87BFC">
        <w:tc>
          <w:tcPr>
            <w:tcW w:w="326" w:type="dxa"/>
            <w:vAlign w:val="center"/>
          </w:tcPr>
          <w:p w14:paraId="57ED3253" w14:textId="77777777" w:rsidR="00F02002" w:rsidRDefault="00F02002" w:rsidP="00A87BFC">
            <w:pPr>
              <w:spacing w:before="60" w:after="60"/>
              <w:rPr>
                <w:lang w:val="en-US"/>
              </w:rPr>
            </w:pPr>
            <w:r>
              <w:rPr>
                <w:lang w:val="en-US"/>
              </w:rPr>
              <w:t>•</w:t>
            </w:r>
          </w:p>
        </w:tc>
        <w:tc>
          <w:tcPr>
            <w:tcW w:w="5770" w:type="dxa"/>
            <w:vAlign w:val="center"/>
          </w:tcPr>
          <w:p w14:paraId="41B07258" w14:textId="77777777" w:rsidR="00F02002" w:rsidRDefault="00F02002" w:rsidP="00A87BFC">
            <w:pPr>
              <w:spacing w:before="60" w:after="60"/>
              <w:rPr>
                <w:lang w:val="en-US"/>
              </w:rPr>
            </w:pPr>
            <w:r>
              <w:rPr>
                <w:lang w:val="en-US"/>
              </w:rPr>
              <w:t>Retention height accounts for 75% of the cost of quay walls</w:t>
            </w:r>
          </w:p>
        </w:tc>
        <w:tc>
          <w:tcPr>
            <w:tcW w:w="1955" w:type="dxa"/>
            <w:vAlign w:val="center"/>
          </w:tcPr>
          <w:p w14:paraId="291F6BCB" w14:textId="77777777" w:rsidR="00F02002" w:rsidRDefault="00F02002" w:rsidP="00A87BFC">
            <w:pPr>
              <w:spacing w:before="60" w:after="60"/>
              <w:rPr>
                <w:lang w:val="en-US"/>
              </w:rPr>
            </w:pPr>
            <w:r>
              <w:rPr>
                <w:lang w:val="en-US"/>
              </w:rPr>
              <w:t>Gijt (2010)</w:t>
            </w:r>
          </w:p>
        </w:tc>
        <w:tc>
          <w:tcPr>
            <w:tcW w:w="1016" w:type="dxa"/>
            <w:vAlign w:val="center"/>
          </w:tcPr>
          <w:p w14:paraId="35770BB6" w14:textId="77777777" w:rsidR="00F02002" w:rsidRDefault="00F02002" w:rsidP="00A87BFC">
            <w:pPr>
              <w:spacing w:before="60" w:after="60"/>
              <w:jc w:val="center"/>
              <w:rPr>
                <w:lang w:val="en-US"/>
              </w:rPr>
            </w:pPr>
            <w:r w:rsidRPr="00B608D3">
              <w:rPr>
                <w:color w:val="FF0000"/>
                <w:lang w:val="en-US"/>
              </w:rPr>
              <w:sym w:font="Wingdings" w:char="F0FB"/>
            </w:r>
          </w:p>
        </w:tc>
      </w:tr>
      <w:tr w:rsidR="00F02002" w14:paraId="1D34479E" w14:textId="77777777" w:rsidTr="00A87BFC">
        <w:tc>
          <w:tcPr>
            <w:tcW w:w="326" w:type="dxa"/>
            <w:vAlign w:val="center"/>
          </w:tcPr>
          <w:p w14:paraId="7CFBB0F2" w14:textId="77777777" w:rsidR="00F02002" w:rsidRDefault="00F02002" w:rsidP="00A87BFC">
            <w:pPr>
              <w:spacing w:before="60" w:after="60"/>
              <w:rPr>
                <w:lang w:val="en-US"/>
              </w:rPr>
            </w:pPr>
            <w:r>
              <w:rPr>
                <w:lang w:val="en-US"/>
              </w:rPr>
              <w:t>•</w:t>
            </w:r>
          </w:p>
        </w:tc>
        <w:tc>
          <w:tcPr>
            <w:tcW w:w="5770" w:type="dxa"/>
            <w:vAlign w:val="center"/>
          </w:tcPr>
          <w:p w14:paraId="5EC01F36" w14:textId="77777777" w:rsidR="00F02002" w:rsidRDefault="00F02002" w:rsidP="00A87BFC">
            <w:pPr>
              <w:spacing w:before="60" w:after="60"/>
              <w:rPr>
                <w:lang w:val="en-US"/>
              </w:rPr>
            </w:pPr>
          </w:p>
        </w:tc>
        <w:tc>
          <w:tcPr>
            <w:tcW w:w="1955" w:type="dxa"/>
            <w:vAlign w:val="center"/>
          </w:tcPr>
          <w:p w14:paraId="0B7A38A8" w14:textId="77777777" w:rsidR="00F02002" w:rsidRDefault="00F02002" w:rsidP="00A87BFC">
            <w:pPr>
              <w:spacing w:before="60" w:after="60"/>
              <w:rPr>
                <w:lang w:val="en-US"/>
              </w:rPr>
            </w:pPr>
          </w:p>
        </w:tc>
        <w:tc>
          <w:tcPr>
            <w:tcW w:w="1016" w:type="dxa"/>
            <w:vAlign w:val="center"/>
          </w:tcPr>
          <w:p w14:paraId="6ADC36EE" w14:textId="77777777" w:rsidR="00F02002" w:rsidRDefault="00F02002" w:rsidP="00A87BFC">
            <w:pPr>
              <w:spacing w:before="60" w:after="60"/>
              <w:jc w:val="center"/>
              <w:rPr>
                <w:lang w:val="en-US"/>
              </w:rPr>
            </w:pPr>
            <w:r w:rsidRPr="00B608D3">
              <w:rPr>
                <w:color w:val="FF0000"/>
                <w:lang w:val="en-US"/>
              </w:rPr>
              <w:sym w:font="Wingdings" w:char="F0FB"/>
            </w:r>
          </w:p>
        </w:tc>
      </w:tr>
      <w:tr w:rsidR="00F02002" w14:paraId="6AB54110" w14:textId="77777777" w:rsidTr="00A87BFC">
        <w:tc>
          <w:tcPr>
            <w:tcW w:w="326" w:type="dxa"/>
            <w:vAlign w:val="center"/>
          </w:tcPr>
          <w:p w14:paraId="79AC3550" w14:textId="77777777" w:rsidR="00F02002" w:rsidRDefault="00F02002" w:rsidP="00A87BFC">
            <w:pPr>
              <w:spacing w:before="60" w:after="60"/>
              <w:rPr>
                <w:lang w:val="en-US"/>
              </w:rPr>
            </w:pPr>
            <w:r>
              <w:rPr>
                <w:lang w:val="en-US"/>
              </w:rPr>
              <w:t>•</w:t>
            </w:r>
          </w:p>
        </w:tc>
        <w:tc>
          <w:tcPr>
            <w:tcW w:w="5770" w:type="dxa"/>
            <w:vAlign w:val="center"/>
          </w:tcPr>
          <w:p w14:paraId="5E8631C0" w14:textId="77777777" w:rsidR="00F02002" w:rsidRDefault="00F02002" w:rsidP="00A87BFC">
            <w:pPr>
              <w:spacing w:before="60" w:after="60"/>
              <w:rPr>
                <w:lang w:val="en-US"/>
              </w:rPr>
            </w:pPr>
          </w:p>
        </w:tc>
        <w:tc>
          <w:tcPr>
            <w:tcW w:w="1955" w:type="dxa"/>
            <w:vAlign w:val="center"/>
          </w:tcPr>
          <w:p w14:paraId="5D2F7DF9" w14:textId="77777777" w:rsidR="00F02002" w:rsidRDefault="00F02002" w:rsidP="00A87BFC">
            <w:pPr>
              <w:spacing w:before="60" w:after="60"/>
              <w:rPr>
                <w:lang w:val="en-US"/>
              </w:rPr>
            </w:pPr>
          </w:p>
        </w:tc>
        <w:tc>
          <w:tcPr>
            <w:tcW w:w="1016" w:type="dxa"/>
            <w:vAlign w:val="center"/>
          </w:tcPr>
          <w:p w14:paraId="02009087" w14:textId="77777777" w:rsidR="00F02002" w:rsidRDefault="00F02002" w:rsidP="00A87BFC">
            <w:pPr>
              <w:spacing w:before="60" w:after="60"/>
              <w:jc w:val="center"/>
              <w:rPr>
                <w:lang w:val="en-US"/>
              </w:rPr>
            </w:pPr>
            <w:r w:rsidRPr="00B608D3">
              <w:rPr>
                <w:color w:val="FF0000"/>
                <w:lang w:val="en-US"/>
              </w:rPr>
              <w:sym w:font="Wingdings" w:char="F0FB"/>
            </w:r>
          </w:p>
        </w:tc>
      </w:tr>
    </w:tbl>
    <w:p w14:paraId="6E98A770" w14:textId="77777777" w:rsidR="00F02002" w:rsidRDefault="00F02002" w:rsidP="00F02002">
      <w:pPr>
        <w:pStyle w:val="Heading1"/>
      </w:pPr>
    </w:p>
    <w:p w14:paraId="0388FB90" w14:textId="77777777" w:rsidR="00F02002" w:rsidRDefault="00F02002">
      <w:pPr>
        <w:tabs>
          <w:tab w:val="clear" w:pos="1418"/>
        </w:tabs>
        <w:spacing w:after="160" w:line="259" w:lineRule="auto"/>
        <w:contextualSpacing w:val="0"/>
        <w:jc w:val="left"/>
        <w:rPr>
          <w:rFonts w:asciiTheme="majorHAnsi" w:eastAsiaTheme="majorEastAsia" w:hAnsiTheme="majorHAnsi" w:cstheme="majorBidi"/>
          <w:color w:val="2F5496" w:themeColor="accent1" w:themeShade="BF"/>
          <w:spacing w:val="0"/>
          <w:kern w:val="0"/>
          <w:sz w:val="32"/>
          <w:szCs w:val="32"/>
          <w:lang w:val="nl-NL"/>
        </w:rPr>
      </w:pPr>
      <w:r>
        <w:br w:type="page"/>
      </w:r>
    </w:p>
    <w:p w14:paraId="468E0198" w14:textId="715C7888" w:rsidR="00F02002" w:rsidRPr="00F02002" w:rsidRDefault="00F02002" w:rsidP="00F02002">
      <w:pPr>
        <w:pStyle w:val="Heading1"/>
      </w:pPr>
      <w:bookmarkStart w:id="3" w:name="_Toc529866086"/>
      <w:r w:rsidRPr="00F02002">
        <w:lastRenderedPageBreak/>
        <w:t>Flexibility</w:t>
      </w:r>
      <w:bookmarkEnd w:id="3"/>
    </w:p>
    <w:p w14:paraId="50DFFB96" w14:textId="77777777" w:rsidR="00F02002" w:rsidRDefault="00F02002" w:rsidP="00F02002">
      <w:pPr>
        <w:spacing w:after="0" w:line="200" w:lineRule="atLeast"/>
      </w:pPr>
      <w:r>
        <w:rPr>
          <w:noProof/>
        </w:rPr>
        <w:drawing>
          <wp:inline distT="0" distB="0" distL="0" distR="0" wp14:anchorId="5D315B2C" wp14:editId="49839487">
            <wp:extent cx="4419600" cy="146702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1420" cy="1467633"/>
                    </a:xfrm>
                    <a:prstGeom prst="rect">
                      <a:avLst/>
                    </a:prstGeom>
                  </pic:spPr>
                </pic:pic>
              </a:graphicData>
            </a:graphic>
          </wp:inline>
        </w:drawing>
      </w:r>
    </w:p>
    <w:p w14:paraId="3BC37B64" w14:textId="77777777" w:rsidR="00F02002" w:rsidRDefault="00F02002" w:rsidP="00F02002">
      <w:pPr>
        <w:spacing w:after="0" w:line="200" w:lineRule="atLeast"/>
      </w:pPr>
      <w:r>
        <w:rPr>
          <w:noProof/>
        </w:rPr>
        <w:drawing>
          <wp:inline distT="0" distB="0" distL="0" distR="0" wp14:anchorId="57E5EE4F" wp14:editId="2AF442CA">
            <wp:extent cx="4371975" cy="1505683"/>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5234" cy="1510249"/>
                    </a:xfrm>
                    <a:prstGeom prst="rect">
                      <a:avLst/>
                    </a:prstGeom>
                  </pic:spPr>
                </pic:pic>
              </a:graphicData>
            </a:graphic>
          </wp:inline>
        </w:drawing>
      </w:r>
    </w:p>
    <w:p w14:paraId="55617342" w14:textId="77777777" w:rsidR="00F02002" w:rsidRDefault="00F02002" w:rsidP="00F02002">
      <w:pPr>
        <w:spacing w:after="0" w:line="200" w:lineRule="atLeast"/>
      </w:pPr>
    </w:p>
    <w:p w14:paraId="168F9334" w14:textId="77777777" w:rsidR="00F02002" w:rsidRDefault="00F02002" w:rsidP="00F02002">
      <w:pPr>
        <w:spacing w:after="0" w:line="200" w:lineRule="atLeast"/>
      </w:pPr>
      <w:r>
        <w:rPr>
          <w:noProof/>
        </w:rPr>
        <w:drawing>
          <wp:inline distT="0" distB="0" distL="0" distR="0" wp14:anchorId="77B2FD0C" wp14:editId="28A2A202">
            <wp:extent cx="4371975" cy="458356"/>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1415" cy="461443"/>
                    </a:xfrm>
                    <a:prstGeom prst="rect">
                      <a:avLst/>
                    </a:prstGeom>
                  </pic:spPr>
                </pic:pic>
              </a:graphicData>
            </a:graphic>
          </wp:inline>
        </w:drawing>
      </w:r>
    </w:p>
    <w:p w14:paraId="03FEC6B7" w14:textId="77777777" w:rsidR="00F02002" w:rsidRPr="000070CF" w:rsidRDefault="00F02002" w:rsidP="00F02002">
      <w:pPr>
        <w:rPr>
          <w:lang w:val="en-US"/>
        </w:rPr>
      </w:pPr>
      <w:r>
        <w:rPr>
          <w:lang w:val="en-US"/>
        </w:rPr>
        <w:t>In some cases, for instance, providing flexibility (e.g. over-dimensioning of the quay wall) may justify a higher investment cost, as it reduces the cost of potential future expansions (i.e. deepening of the port basin).</w:t>
      </w:r>
    </w:p>
    <w:p w14:paraId="1D0EFEC5" w14:textId="77777777" w:rsidR="00F02002" w:rsidRDefault="00F02002" w:rsidP="00F02002">
      <w:pPr>
        <w:rPr>
          <w:lang w:val="en-US"/>
        </w:rPr>
      </w:pPr>
      <w:r>
        <w:br w:type="page"/>
      </w:r>
      <w:bookmarkStart w:id="4" w:name="_GoBack"/>
      <w:bookmarkEnd w:id="4"/>
    </w:p>
    <w:p w14:paraId="7FE83A52" w14:textId="4FF63EDA" w:rsidR="00530DAD" w:rsidRDefault="00530DAD" w:rsidP="00530DAD">
      <w:pPr>
        <w:pStyle w:val="Heading1"/>
      </w:pPr>
      <w:r>
        <w:lastRenderedPageBreak/>
        <w:t>Aantekeningen Mark/Dingena/Cornelis</w:t>
      </w:r>
    </w:p>
    <w:p w14:paraId="781F6573" w14:textId="77777777" w:rsidR="00530DAD" w:rsidRPr="006201FA" w:rsidRDefault="00530DAD" w:rsidP="00530DAD">
      <w:pPr>
        <w:rPr>
          <w:lang w:val="en-US"/>
        </w:rPr>
      </w:pPr>
      <w:r>
        <w:rPr>
          <w:lang w:val="en-US"/>
        </w:rPr>
        <w:t>+ - 60 pages</w:t>
      </w:r>
    </w:p>
    <w:p w14:paraId="6783F705" w14:textId="77777777" w:rsidR="00530DAD" w:rsidRDefault="00530DAD" w:rsidP="00530DAD">
      <w:pPr>
        <w:pStyle w:val="ListParagraph"/>
        <w:numPr>
          <w:ilvl w:val="0"/>
          <w:numId w:val="2"/>
        </w:numPr>
        <w:rPr>
          <w:lang w:val="en-US"/>
        </w:rPr>
      </w:pPr>
      <w:r>
        <w:rPr>
          <w:lang w:val="en-US"/>
        </w:rPr>
        <w:t>Introduction</w:t>
      </w:r>
    </w:p>
    <w:p w14:paraId="4CA8599A" w14:textId="77777777" w:rsidR="00530DAD" w:rsidRDefault="00530DAD" w:rsidP="00530DAD">
      <w:pPr>
        <w:pStyle w:val="ListParagraph"/>
        <w:numPr>
          <w:ilvl w:val="1"/>
          <w:numId w:val="2"/>
        </w:numPr>
        <w:rPr>
          <w:lang w:val="en-US"/>
        </w:rPr>
      </w:pPr>
      <w:r>
        <w:rPr>
          <w:lang w:val="en-US"/>
        </w:rPr>
        <w:t>Problem context:</w:t>
      </w:r>
    </w:p>
    <w:p w14:paraId="71823A2A" w14:textId="77777777" w:rsidR="00530DAD" w:rsidRDefault="00530DAD" w:rsidP="00530DAD">
      <w:pPr>
        <w:pStyle w:val="ListParagraph"/>
        <w:numPr>
          <w:ilvl w:val="2"/>
          <w:numId w:val="2"/>
        </w:numPr>
        <w:rPr>
          <w:lang w:val="nl-NL"/>
        </w:rPr>
      </w:pPr>
      <w:r w:rsidRPr="00EC7D36">
        <w:rPr>
          <w:lang w:val="nl-NL"/>
        </w:rPr>
        <w:t>Er gaat een grote v</w:t>
      </w:r>
      <w:r>
        <w:rPr>
          <w:lang w:val="nl-NL"/>
        </w:rPr>
        <w:t xml:space="preserve">raag optrede naar agribulk terminals over de hele wereld. De huidige manier om dat te doen is niet optimaal. Er wordt nu gerekend met guidelines die misschien wel niet optimaal zijn </w:t>
      </w:r>
    </w:p>
    <w:p w14:paraId="2BFE5991" w14:textId="77777777" w:rsidR="00530DAD" w:rsidRDefault="00530DAD" w:rsidP="00530DAD">
      <w:pPr>
        <w:pStyle w:val="ListParagraph"/>
        <w:numPr>
          <w:ilvl w:val="2"/>
          <w:numId w:val="2"/>
        </w:numPr>
        <w:rPr>
          <w:lang w:val="nl-NL"/>
        </w:rPr>
      </w:pPr>
      <w:r>
        <w:rPr>
          <w:lang w:val="nl-NL"/>
        </w:rPr>
        <w:t>Uitstellen van planningsmogelijkheden ook daadwerkelijk uitstellen in je rekenmodel</w:t>
      </w:r>
    </w:p>
    <w:p w14:paraId="57BED056" w14:textId="77777777" w:rsidR="00530DAD" w:rsidRDefault="00530DAD" w:rsidP="00530DAD">
      <w:pPr>
        <w:pStyle w:val="ListParagraph"/>
        <w:numPr>
          <w:ilvl w:val="2"/>
          <w:numId w:val="2"/>
        </w:numPr>
        <w:rPr>
          <w:lang w:val="nl-NL"/>
        </w:rPr>
      </w:pPr>
      <w:r>
        <w:rPr>
          <w:lang w:val="nl-NL"/>
        </w:rPr>
        <w:t>Een deel van de investeringsbesllissingen niet nu neemt maar pas neemt als ze aan de orde zijn. Dit wordt nu onvoldoende meegenomen in huidige evaluatie methodes</w:t>
      </w:r>
    </w:p>
    <w:p w14:paraId="4E4B6A14" w14:textId="77777777" w:rsidR="00530DAD" w:rsidRDefault="00530DAD" w:rsidP="00530DAD">
      <w:pPr>
        <w:pStyle w:val="ListParagraph"/>
        <w:numPr>
          <w:ilvl w:val="2"/>
          <w:numId w:val="2"/>
        </w:numPr>
        <w:rPr>
          <w:lang w:val="nl-NL"/>
        </w:rPr>
      </w:pPr>
      <w:r>
        <w:rPr>
          <w:lang w:val="nl-NL"/>
        </w:rPr>
        <w:t xml:space="preserve">Er wordt nu gewerkt met een beperkt spectrum van scenario’s. En hoewel die scenario’s wel zijn gebaseerd op goed overwogen expert judgement, is er met de huidige aanpak geen mogelijkheid om meer scenario’s uit te zoeken omdat het zo veel tijd en energie kost </w:t>
      </w:r>
      <w:r w:rsidRPr="00793D2C">
        <w:rPr>
          <w:lang w:val="nl-NL"/>
        </w:rPr>
        <w:sym w:font="Wingdings" w:char="F0E0"/>
      </w:r>
      <w:r>
        <w:rPr>
          <w:lang w:val="nl-NL"/>
        </w:rPr>
        <w:t xml:space="preserve"> ik kijk naar veel meer scenario’s omdat het is geautomatiseerd</w:t>
      </w:r>
    </w:p>
    <w:p w14:paraId="3E315E41" w14:textId="77777777" w:rsidR="00530DAD" w:rsidRDefault="00530DAD" w:rsidP="00530DAD">
      <w:pPr>
        <w:pStyle w:val="ListParagraph"/>
        <w:numPr>
          <w:ilvl w:val="2"/>
          <w:numId w:val="2"/>
        </w:numPr>
        <w:rPr>
          <w:lang w:val="nl-NL"/>
        </w:rPr>
      </w:pPr>
      <w:r>
        <w:rPr>
          <w:lang w:val="nl-NL"/>
        </w:rPr>
        <w:t xml:space="preserve">Huidige methode legt nu al vast op welk tijdstap je welke investeringsbeslissing zal nemen </w:t>
      </w:r>
      <w:r w:rsidRPr="00793D2C">
        <w:rPr>
          <w:lang w:val="nl-NL"/>
        </w:rPr>
        <w:sym w:font="Wingdings" w:char="F0E0"/>
      </w:r>
      <w:r>
        <w:rPr>
          <w:lang w:val="nl-NL"/>
        </w:rPr>
        <w:t xml:space="preserve"> mijn methode kopelt investeringsbeslissinging aan de vraag die er tegen die tijd wordt ondervonden. </w:t>
      </w:r>
    </w:p>
    <w:p w14:paraId="06F9A70D" w14:textId="77777777" w:rsidR="00530DAD" w:rsidRDefault="00530DAD" w:rsidP="00530DAD">
      <w:pPr>
        <w:pStyle w:val="ListParagraph"/>
        <w:numPr>
          <w:ilvl w:val="2"/>
          <w:numId w:val="2"/>
        </w:numPr>
        <w:rPr>
          <w:lang w:val="nl-NL"/>
        </w:rPr>
      </w:pPr>
      <w:r>
        <w:rPr>
          <w:lang w:val="nl-NL"/>
        </w:rPr>
        <w:t>Binnen een scenario beperkt gefaseerd (?)</w:t>
      </w:r>
    </w:p>
    <w:p w14:paraId="328A637B" w14:textId="77777777" w:rsidR="00530DAD" w:rsidRDefault="00530DAD" w:rsidP="00530DAD">
      <w:pPr>
        <w:pStyle w:val="ListParagraph"/>
        <w:numPr>
          <w:ilvl w:val="2"/>
          <w:numId w:val="2"/>
        </w:numPr>
        <w:rPr>
          <w:lang w:val="nl-NL"/>
        </w:rPr>
      </w:pPr>
      <w:r>
        <w:rPr>
          <w:lang w:val="nl-NL"/>
        </w:rPr>
        <w:t>Op dit moment worden evaluaties gemaakt die gebaseerd zijn op perfect foresight. We kijken alleen naar het hier en nu en baseren daar daar onze beslissingen op</w:t>
      </w:r>
    </w:p>
    <w:p w14:paraId="021743A6" w14:textId="77777777" w:rsidR="00530DAD" w:rsidRDefault="00530DAD" w:rsidP="00530DAD">
      <w:pPr>
        <w:pStyle w:val="ListParagraph"/>
        <w:numPr>
          <w:ilvl w:val="2"/>
          <w:numId w:val="2"/>
        </w:numPr>
        <w:rPr>
          <w:lang w:val="nl-NL"/>
        </w:rPr>
      </w:pPr>
      <w:r>
        <w:rPr>
          <w:lang w:val="nl-NL"/>
        </w:rPr>
        <w:t>Huidige evaluatie methode is (quasi-) statisch. Er worden scenario’s aangenomen en voor die scenario geoptimaliseerd maar ze duiken vaak niet opnieuw in het ontwerp cyclus.</w:t>
      </w:r>
    </w:p>
    <w:p w14:paraId="518AE23D" w14:textId="77777777" w:rsidR="00530DAD" w:rsidRDefault="00530DAD" w:rsidP="00530DAD">
      <w:pPr>
        <w:pStyle w:val="ListParagraph"/>
        <w:numPr>
          <w:ilvl w:val="1"/>
          <w:numId w:val="2"/>
        </w:numPr>
        <w:rPr>
          <w:lang w:val="en-US"/>
        </w:rPr>
      </w:pPr>
      <w:r>
        <w:rPr>
          <w:lang w:val="en-US"/>
        </w:rPr>
        <w:t xml:space="preserve">Main question: </w:t>
      </w:r>
    </w:p>
    <w:p w14:paraId="58161B13" w14:textId="77777777" w:rsidR="00530DAD" w:rsidRPr="00C41EC4" w:rsidRDefault="00530DAD" w:rsidP="00530DAD">
      <w:pPr>
        <w:pStyle w:val="ListParagraph"/>
        <w:numPr>
          <w:ilvl w:val="2"/>
          <w:numId w:val="2"/>
        </w:numPr>
        <w:rPr>
          <w:lang w:val="nl-NL"/>
        </w:rPr>
      </w:pPr>
      <w:r w:rsidRPr="00C41EC4">
        <w:rPr>
          <w:b/>
          <w:lang w:val="nl-NL"/>
        </w:rPr>
        <w:t>Context</w:t>
      </w:r>
      <w:r>
        <w:rPr>
          <w:lang w:val="nl-NL"/>
        </w:rPr>
        <w:t xml:space="preserve">: </w:t>
      </w:r>
    </w:p>
    <w:p w14:paraId="63197B5F" w14:textId="77777777" w:rsidR="00530DAD" w:rsidRDefault="00530DAD" w:rsidP="00530DAD">
      <w:pPr>
        <w:pStyle w:val="ListParagraph"/>
        <w:numPr>
          <w:ilvl w:val="2"/>
          <w:numId w:val="2"/>
        </w:numPr>
        <w:rPr>
          <w:lang w:val="nl-NL"/>
        </w:rPr>
      </w:pPr>
      <w:r>
        <w:rPr>
          <w:b/>
          <w:lang w:val="nl-NL"/>
        </w:rPr>
        <w:t>Question</w:t>
      </w:r>
      <w:r>
        <w:rPr>
          <w:lang w:val="nl-NL"/>
        </w:rPr>
        <w:t xml:space="preserve">: </w:t>
      </w:r>
    </w:p>
    <w:p w14:paraId="639ED2B0" w14:textId="77777777" w:rsidR="00530DAD" w:rsidRPr="005A2471" w:rsidRDefault="00530DAD" w:rsidP="00530DAD">
      <w:pPr>
        <w:pStyle w:val="ListParagraph"/>
        <w:numPr>
          <w:ilvl w:val="2"/>
          <w:numId w:val="2"/>
        </w:numPr>
        <w:rPr>
          <w:lang w:val="nl-NL"/>
        </w:rPr>
      </w:pPr>
      <w:r w:rsidRPr="00C41EC4">
        <w:rPr>
          <w:b/>
          <w:lang w:val="nl-NL"/>
        </w:rPr>
        <w:t>Answer</w:t>
      </w:r>
      <w:r>
        <w:rPr>
          <w:lang w:val="nl-NL"/>
        </w:rPr>
        <w:t xml:space="preserve">: </w:t>
      </w:r>
    </w:p>
    <w:p w14:paraId="5F058858" w14:textId="77777777" w:rsidR="00530DAD" w:rsidRDefault="00530DAD" w:rsidP="00530DAD">
      <w:pPr>
        <w:pStyle w:val="ListParagraph"/>
        <w:numPr>
          <w:ilvl w:val="1"/>
          <w:numId w:val="2"/>
        </w:numPr>
        <w:rPr>
          <w:lang w:val="en-US"/>
        </w:rPr>
      </w:pPr>
      <w:r>
        <w:rPr>
          <w:lang w:val="en-US"/>
        </w:rPr>
        <w:t xml:space="preserve">Subquestion 1: </w:t>
      </w:r>
    </w:p>
    <w:p w14:paraId="724C9313" w14:textId="77777777" w:rsidR="00530DAD" w:rsidRPr="005A2471" w:rsidRDefault="00530DAD" w:rsidP="00530DAD">
      <w:pPr>
        <w:pStyle w:val="ListParagraph"/>
        <w:numPr>
          <w:ilvl w:val="2"/>
          <w:numId w:val="2"/>
        </w:numPr>
        <w:rPr>
          <w:lang w:val="en-US"/>
        </w:rPr>
      </w:pPr>
      <w:r w:rsidRPr="005A2471">
        <w:rPr>
          <w:b/>
          <w:lang w:val="en-US"/>
        </w:rPr>
        <w:t>Context</w:t>
      </w:r>
      <w:r w:rsidRPr="005A2471">
        <w:rPr>
          <w:lang w:val="en-US"/>
        </w:rPr>
        <w:t xml:space="preserve">: Current method </w:t>
      </w:r>
      <w:r>
        <w:rPr>
          <w:lang w:val="en-US"/>
        </w:rPr>
        <w:t xml:space="preserve">models a chain of investment dicisions which are all </w:t>
      </w:r>
      <w:r w:rsidRPr="005A2471">
        <w:rPr>
          <w:lang w:val="en-US"/>
        </w:rPr>
        <w:t xml:space="preserve">based on </w:t>
      </w:r>
      <w:r>
        <w:rPr>
          <w:lang w:val="en-US"/>
        </w:rPr>
        <w:t xml:space="preserve">a forecasted demand, but all assume perfect foresight. When adopting an approach based on triggers that are only coupled to the demand up to that point in time, </w:t>
      </w:r>
    </w:p>
    <w:p w14:paraId="7EB32A72" w14:textId="77777777" w:rsidR="00530DAD" w:rsidRPr="00481474" w:rsidRDefault="00530DAD" w:rsidP="00530DAD">
      <w:pPr>
        <w:pStyle w:val="ListParagraph"/>
        <w:numPr>
          <w:ilvl w:val="2"/>
          <w:numId w:val="2"/>
        </w:numPr>
        <w:rPr>
          <w:lang w:val="en-US"/>
        </w:rPr>
      </w:pPr>
      <w:r w:rsidRPr="00481474">
        <w:rPr>
          <w:b/>
          <w:lang w:val="en-US"/>
        </w:rPr>
        <w:t>Question</w:t>
      </w:r>
      <w:r w:rsidRPr="00481474">
        <w:rPr>
          <w:lang w:val="en-US"/>
        </w:rPr>
        <w:t xml:space="preserve">: </w:t>
      </w:r>
      <w:r>
        <w:rPr>
          <w:lang w:val="en-US"/>
        </w:rPr>
        <w:t>Evaluating a project based on perfect foresight always (?) leads to an over-estimated project value. Kan ik aantonen dat god mode te optimistisch is</w:t>
      </w:r>
    </w:p>
    <w:p w14:paraId="3A706302" w14:textId="77777777" w:rsidR="00530DAD" w:rsidRDefault="00530DAD" w:rsidP="00530DAD">
      <w:pPr>
        <w:pStyle w:val="ListParagraph"/>
        <w:numPr>
          <w:ilvl w:val="2"/>
          <w:numId w:val="2"/>
        </w:numPr>
        <w:rPr>
          <w:lang w:val="nl-NL"/>
        </w:rPr>
      </w:pPr>
      <w:r w:rsidRPr="00C41EC4">
        <w:rPr>
          <w:b/>
          <w:lang w:val="nl-NL"/>
        </w:rPr>
        <w:t>Answer</w:t>
      </w:r>
      <w:r>
        <w:rPr>
          <w:lang w:val="nl-NL"/>
        </w:rPr>
        <w:t xml:space="preserve">: </w:t>
      </w:r>
    </w:p>
    <w:p w14:paraId="0493067E" w14:textId="77777777" w:rsidR="00530DAD" w:rsidRPr="005A2471" w:rsidRDefault="00530DAD" w:rsidP="00530DAD">
      <w:pPr>
        <w:pStyle w:val="ListParagraph"/>
        <w:numPr>
          <w:ilvl w:val="2"/>
          <w:numId w:val="2"/>
        </w:numPr>
        <w:rPr>
          <w:lang w:val="nl-NL"/>
        </w:rPr>
      </w:pPr>
      <w:r>
        <w:rPr>
          <w:b/>
          <w:lang w:val="nl-NL"/>
        </w:rPr>
        <w:t>Model</w:t>
      </w:r>
      <w:r w:rsidRPr="005A2471">
        <w:rPr>
          <w:lang w:val="nl-NL"/>
        </w:rPr>
        <w:t>:</w:t>
      </w:r>
      <w:r>
        <w:rPr>
          <w:lang w:val="nl-NL"/>
        </w:rPr>
        <w:t xml:space="preserve"> </w:t>
      </w:r>
      <w:r w:rsidRPr="005A2471">
        <w:rPr>
          <w:lang w:val="nl-NL"/>
        </w:rPr>
        <w:t>Fore</w:t>
      </w:r>
      <w:r>
        <w:rPr>
          <w:lang w:val="nl-NL"/>
        </w:rPr>
        <w:t>casting model</w:t>
      </w:r>
    </w:p>
    <w:p w14:paraId="176CBD2F" w14:textId="77777777" w:rsidR="00530DAD" w:rsidRDefault="00530DAD" w:rsidP="00530DAD">
      <w:pPr>
        <w:pStyle w:val="ListParagraph"/>
        <w:numPr>
          <w:ilvl w:val="1"/>
          <w:numId w:val="2"/>
        </w:numPr>
        <w:rPr>
          <w:lang w:val="en-US"/>
        </w:rPr>
      </w:pPr>
      <w:r>
        <w:rPr>
          <w:lang w:val="en-US"/>
        </w:rPr>
        <w:t xml:space="preserve">Subquestion 2: </w:t>
      </w:r>
    </w:p>
    <w:p w14:paraId="41A26A66" w14:textId="77777777" w:rsidR="00530DAD" w:rsidRPr="008451AE" w:rsidRDefault="00530DAD" w:rsidP="00530DAD">
      <w:pPr>
        <w:pStyle w:val="ListParagraph"/>
        <w:numPr>
          <w:ilvl w:val="2"/>
          <w:numId w:val="2"/>
        </w:numPr>
        <w:rPr>
          <w:lang w:val="nl-NL"/>
        </w:rPr>
      </w:pPr>
      <w:r w:rsidRPr="00C41EC4">
        <w:rPr>
          <w:b/>
          <w:lang w:val="nl-NL"/>
        </w:rPr>
        <w:t>Context</w:t>
      </w:r>
      <w:r>
        <w:rPr>
          <w:lang w:val="nl-NL"/>
        </w:rPr>
        <w:t xml:space="preserve">: </w:t>
      </w:r>
      <w:r w:rsidRPr="00C41EC4">
        <w:rPr>
          <w:lang w:val="nl-NL"/>
        </w:rPr>
        <w:t xml:space="preserve">Hoe </w:t>
      </w:r>
      <w:r>
        <w:rPr>
          <w:lang w:val="nl-NL"/>
        </w:rPr>
        <w:t xml:space="preserve">worden terminals nu ontwerpen, wat voor NPV levert dat op? Wat gebeurt er als ik het hele oplossing spectrum van ontwerp parameters afloop, wat voor NPV levert dat op? Is er een optimum wat we nog niet hebben gezien? Kan ik de huidige trigger-based methode automatiseren? </w:t>
      </w:r>
      <w:r w:rsidRPr="008451AE">
        <w:rPr>
          <w:lang w:val="nl-NL"/>
        </w:rPr>
        <w:t xml:space="preserve">De stap naar reactieve triggers heeft een negatievere impact op estimated NPV, but will proove to be more realistic. </w:t>
      </w:r>
    </w:p>
    <w:p w14:paraId="0ED898FC" w14:textId="77777777" w:rsidR="00530DAD" w:rsidRPr="00DB0B45" w:rsidRDefault="00530DAD" w:rsidP="00530DAD">
      <w:pPr>
        <w:pStyle w:val="ListParagraph"/>
        <w:numPr>
          <w:ilvl w:val="2"/>
          <w:numId w:val="2"/>
        </w:numPr>
        <w:rPr>
          <w:lang w:val="nl-NL"/>
        </w:rPr>
      </w:pPr>
      <w:r>
        <w:rPr>
          <w:b/>
          <w:lang w:val="nl-NL"/>
        </w:rPr>
        <w:t>Question</w:t>
      </w:r>
      <w:r>
        <w:rPr>
          <w:lang w:val="nl-NL"/>
        </w:rPr>
        <w:t xml:space="preserve">: reactief, terugkijkende trigger methode om projecten te evalueren. </w:t>
      </w:r>
      <w:r>
        <w:rPr>
          <w:i/>
          <w:lang w:val="en-US"/>
        </w:rPr>
        <w:t>The financial evaluation of a t</w:t>
      </w:r>
      <w:r w:rsidRPr="00651D3D">
        <w:rPr>
          <w:i/>
          <w:lang w:val="en-US"/>
        </w:rPr>
        <w:t>erminal</w:t>
      </w:r>
      <w:r>
        <w:rPr>
          <w:i/>
          <w:lang w:val="en-US"/>
        </w:rPr>
        <w:t>’s potential,</w:t>
      </w:r>
      <w:r w:rsidRPr="00651D3D">
        <w:rPr>
          <w:i/>
          <w:lang w:val="en-US"/>
        </w:rPr>
        <w:t xml:space="preserve"> </w:t>
      </w:r>
      <w:r>
        <w:rPr>
          <w:i/>
          <w:lang w:val="en-US"/>
        </w:rPr>
        <w:t>based on current state triggers.</w:t>
      </w:r>
      <w:r w:rsidRPr="00651D3D">
        <w:rPr>
          <w:lang w:val="en-US"/>
        </w:rPr>
        <w:t xml:space="preserve"> </w:t>
      </w:r>
      <w:r w:rsidRPr="00DB0B45">
        <w:rPr>
          <w:lang w:val="nl-NL"/>
        </w:rPr>
        <w:t>In een reactive setting, kan ik</w:t>
      </w:r>
      <w:r>
        <w:rPr>
          <w:lang w:val="nl-NL"/>
        </w:rPr>
        <w:t xml:space="preserve"> </w:t>
      </w:r>
      <w:r w:rsidRPr="00DB0B45">
        <w:rPr>
          <w:lang w:val="nl-NL"/>
        </w:rPr>
        <w:t>de design parameters optimaliseren</w:t>
      </w:r>
      <w:r>
        <w:rPr>
          <w:lang w:val="nl-NL"/>
        </w:rPr>
        <w:t>. Kan ik de reactieve approach optimializeren?</w:t>
      </w:r>
    </w:p>
    <w:p w14:paraId="2671AB6E" w14:textId="77777777" w:rsidR="00530DAD" w:rsidRDefault="00530DAD" w:rsidP="00530DAD">
      <w:pPr>
        <w:pStyle w:val="ListParagraph"/>
        <w:numPr>
          <w:ilvl w:val="2"/>
          <w:numId w:val="2"/>
        </w:numPr>
        <w:rPr>
          <w:lang w:val="nl-NL"/>
        </w:rPr>
      </w:pPr>
      <w:r w:rsidRPr="00C41EC4">
        <w:rPr>
          <w:b/>
          <w:lang w:val="nl-NL"/>
        </w:rPr>
        <w:t>Answer</w:t>
      </w:r>
      <w:r>
        <w:rPr>
          <w:lang w:val="nl-NL"/>
        </w:rPr>
        <w:t xml:space="preserve">: </w:t>
      </w:r>
      <w:r w:rsidRPr="00EC7D36">
        <w:rPr>
          <w:lang w:val="nl-NL"/>
        </w:rPr>
        <w:t>Automatiseren van een traffic s</w:t>
      </w:r>
      <w:r>
        <w:rPr>
          <w:lang w:val="nl-NL"/>
        </w:rPr>
        <w:t xml:space="preserve">cenario vertalen naar een terminal design over de tijd. In plaats van bijvoorbeeld drie scenario’s door te rekenen kan nu een heel oplossings spectrum worden onderzocht. </w:t>
      </w:r>
    </w:p>
    <w:p w14:paraId="71CA510E" w14:textId="77777777" w:rsidR="00530DAD" w:rsidRPr="00C41EC4" w:rsidRDefault="00530DAD" w:rsidP="00530DAD">
      <w:pPr>
        <w:pStyle w:val="ListParagraph"/>
        <w:numPr>
          <w:ilvl w:val="1"/>
          <w:numId w:val="2"/>
        </w:numPr>
        <w:rPr>
          <w:lang w:val="en-US"/>
        </w:rPr>
      </w:pPr>
      <w:r>
        <w:rPr>
          <w:lang w:val="nl-NL"/>
        </w:rPr>
        <w:t>Subquestion 3:</w:t>
      </w:r>
    </w:p>
    <w:p w14:paraId="79948BD4" w14:textId="77777777" w:rsidR="00530DAD" w:rsidRPr="00DB0B45" w:rsidRDefault="00530DAD" w:rsidP="00530DAD">
      <w:pPr>
        <w:pStyle w:val="ListParagraph"/>
        <w:numPr>
          <w:ilvl w:val="2"/>
          <w:numId w:val="2"/>
        </w:numPr>
        <w:rPr>
          <w:lang w:val="en-US"/>
        </w:rPr>
      </w:pPr>
      <w:r w:rsidRPr="00793D2C">
        <w:rPr>
          <w:b/>
          <w:lang w:val="nl-NL"/>
        </w:rPr>
        <w:t>Context</w:t>
      </w:r>
      <w:r w:rsidRPr="00793D2C">
        <w:rPr>
          <w:lang w:val="nl-NL"/>
        </w:rPr>
        <w:t xml:space="preserve">: </w:t>
      </w:r>
      <w:r>
        <w:rPr>
          <w:lang w:val="nl-NL"/>
        </w:rPr>
        <w:t xml:space="preserve">Er is een verbetering aan te brengen als je binnen het evaluatie model forecasting technieken gaat toepassen. </w:t>
      </w:r>
      <w:r w:rsidRPr="00DB0B45">
        <w:rPr>
          <w:lang w:val="en-US"/>
        </w:rPr>
        <w:t>Can the reactive approach be improved by incorporating a f</w:t>
      </w:r>
      <w:r>
        <w:rPr>
          <w:lang w:val="en-US"/>
        </w:rPr>
        <w:t>orecasting mechanism that assesses yearly traffic demand development and uses this data to develop a traffic forecast on which investment dicisions will be based</w:t>
      </w:r>
    </w:p>
    <w:p w14:paraId="52C54D0F" w14:textId="77777777" w:rsidR="00530DAD" w:rsidRPr="00793D2C" w:rsidRDefault="00530DAD" w:rsidP="00530DAD">
      <w:pPr>
        <w:pStyle w:val="ListParagraph"/>
        <w:numPr>
          <w:ilvl w:val="2"/>
          <w:numId w:val="2"/>
        </w:numPr>
        <w:rPr>
          <w:lang w:val="nl-NL"/>
        </w:rPr>
      </w:pPr>
      <w:r w:rsidRPr="00793D2C">
        <w:rPr>
          <w:b/>
          <w:lang w:val="nl-NL"/>
        </w:rPr>
        <w:t>Question</w:t>
      </w:r>
      <w:r w:rsidRPr="00793D2C">
        <w:rPr>
          <w:lang w:val="nl-NL"/>
        </w:rPr>
        <w:t xml:space="preserve">: </w:t>
      </w:r>
      <w:r w:rsidRPr="00651D3D">
        <w:rPr>
          <w:i/>
          <w:lang w:val="nl-NL"/>
        </w:rPr>
        <w:t>Forecast based trigger</w:t>
      </w:r>
      <w:r>
        <w:rPr>
          <w:lang w:val="nl-NL"/>
        </w:rPr>
        <w:t xml:space="preserve">. </w:t>
      </w:r>
    </w:p>
    <w:p w14:paraId="762A1AD4" w14:textId="77777777" w:rsidR="00530DAD" w:rsidRDefault="00530DAD" w:rsidP="00530DAD">
      <w:pPr>
        <w:pStyle w:val="ListParagraph"/>
        <w:numPr>
          <w:ilvl w:val="2"/>
          <w:numId w:val="2"/>
        </w:numPr>
        <w:rPr>
          <w:lang w:val="nl-NL"/>
        </w:rPr>
      </w:pPr>
      <w:r w:rsidRPr="00C41EC4">
        <w:rPr>
          <w:b/>
          <w:lang w:val="nl-NL"/>
        </w:rPr>
        <w:t>Answer</w:t>
      </w:r>
      <w:r>
        <w:rPr>
          <w:lang w:val="nl-NL"/>
        </w:rPr>
        <w:t xml:space="preserve">: </w:t>
      </w:r>
    </w:p>
    <w:p w14:paraId="485423D0" w14:textId="77777777" w:rsidR="00530DAD" w:rsidRPr="00C41EC4" w:rsidRDefault="00530DAD" w:rsidP="00530DAD">
      <w:pPr>
        <w:rPr>
          <w:lang w:val="nl-NL"/>
        </w:rPr>
      </w:pPr>
    </w:p>
    <w:p w14:paraId="5EEEB282" w14:textId="77777777" w:rsidR="00530DAD" w:rsidRDefault="00530DAD" w:rsidP="00530DAD">
      <w:pPr>
        <w:pStyle w:val="ListParagraph"/>
        <w:numPr>
          <w:ilvl w:val="1"/>
          <w:numId w:val="2"/>
        </w:numPr>
        <w:rPr>
          <w:lang w:val="en-US"/>
        </w:rPr>
      </w:pPr>
      <w:r>
        <w:rPr>
          <w:lang w:val="en-US"/>
        </w:rPr>
        <w:t xml:space="preserve"> </w:t>
      </w:r>
    </w:p>
    <w:p w14:paraId="06431E2A" w14:textId="77777777" w:rsidR="00530DAD" w:rsidRDefault="00530DAD" w:rsidP="00530DAD">
      <w:pPr>
        <w:rPr>
          <w:lang w:val="en-US"/>
        </w:rPr>
      </w:pPr>
    </w:p>
    <w:p w14:paraId="57E8EB2D" w14:textId="77777777" w:rsidR="00530DAD" w:rsidRDefault="00530DAD" w:rsidP="00530DAD">
      <w:pPr>
        <w:rPr>
          <w:lang w:val="en-US"/>
        </w:rPr>
      </w:pPr>
      <w:r>
        <w:rPr>
          <w:lang w:val="en-US"/>
        </w:rPr>
        <w:t>Appendix</w:t>
      </w:r>
    </w:p>
    <w:p w14:paraId="1D9306D9" w14:textId="77777777" w:rsidR="00530DAD" w:rsidRDefault="00530DAD" w:rsidP="00530DAD">
      <w:pPr>
        <w:pStyle w:val="ListParagraph"/>
        <w:numPr>
          <w:ilvl w:val="0"/>
          <w:numId w:val="3"/>
        </w:numPr>
        <w:rPr>
          <w:lang w:val="en-US"/>
        </w:rPr>
      </w:pPr>
      <w:r>
        <w:rPr>
          <w:lang w:val="en-US"/>
        </w:rPr>
        <w:t>Financial project evaluation</w:t>
      </w:r>
    </w:p>
    <w:p w14:paraId="2C7A8315" w14:textId="77777777" w:rsidR="00530DAD" w:rsidRDefault="00530DAD" w:rsidP="00530DAD">
      <w:pPr>
        <w:pStyle w:val="ListParagraph"/>
        <w:numPr>
          <w:ilvl w:val="0"/>
          <w:numId w:val="3"/>
        </w:numPr>
        <w:rPr>
          <w:lang w:val="en-US"/>
        </w:rPr>
      </w:pPr>
      <w:r>
        <w:rPr>
          <w:lang w:val="en-US"/>
        </w:rPr>
        <w:t>Agribulk terminals</w:t>
      </w:r>
    </w:p>
    <w:p w14:paraId="730384B5" w14:textId="77777777" w:rsidR="00530DAD" w:rsidRDefault="00530DAD" w:rsidP="00530DAD">
      <w:pPr>
        <w:rPr>
          <w:lang w:val="en-US"/>
        </w:rPr>
      </w:pPr>
    </w:p>
    <w:p w14:paraId="690709EA" w14:textId="77777777" w:rsidR="00530DAD" w:rsidRDefault="00530DAD" w:rsidP="00530DAD">
      <w:pPr>
        <w:rPr>
          <w:lang w:val="en-US"/>
        </w:rPr>
      </w:pPr>
    </w:p>
    <w:p w14:paraId="4E144114" w14:textId="77777777" w:rsidR="00530DAD" w:rsidRDefault="00530DAD" w:rsidP="00530DAD">
      <w:pPr>
        <w:pStyle w:val="ListParagraph"/>
        <w:numPr>
          <w:ilvl w:val="0"/>
          <w:numId w:val="4"/>
        </w:numPr>
        <w:rPr>
          <w:lang w:val="en-US"/>
        </w:rPr>
      </w:pPr>
      <w:r>
        <w:rPr>
          <w:lang w:val="en-US"/>
        </w:rPr>
        <w:t xml:space="preserve">Kritischer schrijven </w:t>
      </w:r>
    </w:p>
    <w:p w14:paraId="7A118BC1" w14:textId="77777777" w:rsidR="00530DAD" w:rsidRPr="00EC7D36" w:rsidRDefault="00530DAD" w:rsidP="00530DAD">
      <w:pPr>
        <w:pStyle w:val="ListParagraph"/>
        <w:numPr>
          <w:ilvl w:val="0"/>
          <w:numId w:val="4"/>
        </w:numPr>
        <w:rPr>
          <w:lang w:val="nl-NL"/>
        </w:rPr>
      </w:pPr>
      <w:r w:rsidRPr="00EC7D36">
        <w:rPr>
          <w:lang w:val="nl-NL"/>
        </w:rPr>
        <w:t>Is het wenselijk om t</w:t>
      </w:r>
      <w:r>
        <w:rPr>
          <w:lang w:val="nl-NL"/>
        </w:rPr>
        <w:t>e standardizen?</w:t>
      </w:r>
    </w:p>
    <w:p w14:paraId="0E2B761C" w14:textId="77777777" w:rsidR="00530DAD" w:rsidRPr="005D7CD0" w:rsidRDefault="00530DAD" w:rsidP="00530DAD">
      <w:pPr>
        <w:pStyle w:val="ListParagraph"/>
        <w:numPr>
          <w:ilvl w:val="0"/>
          <w:numId w:val="4"/>
        </w:numPr>
        <w:rPr>
          <w:lang w:val="nl-NL"/>
        </w:rPr>
      </w:pPr>
      <w:r w:rsidRPr="005D7CD0">
        <w:rPr>
          <w:lang w:val="nl-NL"/>
        </w:rPr>
        <w:t>Adaptive port planning “Adaptive terminal planning” meenemen in het eerste</w:t>
      </w:r>
      <w:r>
        <w:rPr>
          <w:lang w:val="nl-NL"/>
        </w:rPr>
        <w:t xml:space="preserve"> hoofdstuk</w:t>
      </w:r>
    </w:p>
    <w:p w14:paraId="345EC18D" w14:textId="77777777" w:rsidR="00530DAD" w:rsidRDefault="00530DAD" w:rsidP="00530DAD">
      <w:pPr>
        <w:pStyle w:val="ListParagraph"/>
        <w:numPr>
          <w:ilvl w:val="0"/>
          <w:numId w:val="4"/>
        </w:numPr>
        <w:rPr>
          <w:lang w:val="en-US"/>
        </w:rPr>
      </w:pPr>
      <w:r>
        <w:rPr>
          <w:lang w:val="en-US"/>
        </w:rPr>
        <w:t xml:space="preserve">Added value of forecasting </w:t>
      </w:r>
      <w:r w:rsidRPr="005D7CD0">
        <w:rPr>
          <w:lang w:val="en-US"/>
        </w:rPr>
        <w:sym w:font="Wingdings" w:char="F0E0"/>
      </w:r>
      <w:r>
        <w:rPr>
          <w:lang w:val="en-US"/>
        </w:rPr>
        <w:t xml:space="preserve"> reflectie naar het werk van Poonam “added value of an adaptive approach, added value of delaying costs”. Delaying of investment dicision whenever possible. </w:t>
      </w:r>
    </w:p>
    <w:p w14:paraId="32340C99" w14:textId="77777777" w:rsidR="00530DAD" w:rsidRPr="000E3D8C" w:rsidRDefault="00530DAD" w:rsidP="00530DAD">
      <w:pPr>
        <w:pStyle w:val="ListParagraph"/>
        <w:numPr>
          <w:ilvl w:val="0"/>
          <w:numId w:val="4"/>
        </w:numPr>
        <w:rPr>
          <w:lang w:val="nl-NL"/>
        </w:rPr>
      </w:pPr>
      <w:r>
        <w:rPr>
          <w:lang w:val="nl-NL"/>
        </w:rPr>
        <w:t xml:space="preserve">Alle investeringsbeslissingen worden nu van te voren gemaakt. </w:t>
      </w:r>
    </w:p>
    <w:p w14:paraId="11D42346" w14:textId="77777777" w:rsidR="00530DAD" w:rsidRDefault="00530DAD" w:rsidP="00530DAD">
      <w:pPr>
        <w:pStyle w:val="ListParagraph"/>
        <w:numPr>
          <w:ilvl w:val="0"/>
          <w:numId w:val="4"/>
        </w:numPr>
        <w:rPr>
          <w:lang w:val="nl-NL"/>
        </w:rPr>
      </w:pPr>
      <w:r w:rsidRPr="005D7CD0">
        <w:rPr>
          <w:lang w:val="nl-NL"/>
        </w:rPr>
        <w:t>Is het gebruikelijk om in</w:t>
      </w:r>
      <w:r>
        <w:rPr>
          <w:lang w:val="nl-NL"/>
        </w:rPr>
        <w:t xml:space="preserve"> een financiele analyse mee te nemne in die adaptive methode van Poonam. Integratie slag van een conventionele port masterplanning en de bijbehorende financiele evaluatie en de adaptieve methode van Poonam </w:t>
      </w:r>
    </w:p>
    <w:p w14:paraId="1259F82B" w14:textId="77777777" w:rsidR="00530DAD" w:rsidRPr="005D7CD0" w:rsidRDefault="00530DAD" w:rsidP="00530DAD">
      <w:pPr>
        <w:pStyle w:val="ListParagraph"/>
        <w:numPr>
          <w:ilvl w:val="0"/>
          <w:numId w:val="4"/>
        </w:numPr>
        <w:rPr>
          <w:lang w:val="nl-NL"/>
        </w:rPr>
      </w:pPr>
      <w:r>
        <w:rPr>
          <w:lang w:val="nl-NL"/>
        </w:rPr>
        <w:t xml:space="preserve">Temporal optimization </w:t>
      </w:r>
    </w:p>
    <w:p w14:paraId="209244E4" w14:textId="77777777" w:rsidR="00530DAD" w:rsidRPr="005D7CD0" w:rsidRDefault="00530DAD" w:rsidP="00530DAD">
      <w:pPr>
        <w:pStyle w:val="ListParagraph"/>
        <w:numPr>
          <w:ilvl w:val="0"/>
          <w:numId w:val="4"/>
        </w:numPr>
        <w:rPr>
          <w:lang w:val="nl-NL"/>
        </w:rPr>
      </w:pPr>
      <w:r w:rsidRPr="005D7CD0">
        <w:rPr>
          <w:lang w:val="nl-NL"/>
        </w:rPr>
        <w:t>Niet alleen een terminal d</w:t>
      </w:r>
      <w:r>
        <w:rPr>
          <w:lang w:val="nl-NL"/>
        </w:rPr>
        <w:t xml:space="preserve">esign op het hier en nu maar neemt ook een terminal design in de loop van het jaar </w:t>
      </w:r>
    </w:p>
    <w:p w14:paraId="2669AC4E" w14:textId="77777777" w:rsidR="00530DAD" w:rsidRDefault="00530DAD" w:rsidP="00530DAD">
      <w:pPr>
        <w:pStyle w:val="ListParagraph"/>
        <w:numPr>
          <w:ilvl w:val="0"/>
          <w:numId w:val="4"/>
        </w:numPr>
        <w:rPr>
          <w:lang w:val="en-US"/>
        </w:rPr>
      </w:pPr>
      <w:r>
        <w:rPr>
          <w:lang w:val="en-US"/>
        </w:rPr>
        <w:t>Simulating the forecast process at a future point in time at which such an investment dicision is made</w:t>
      </w:r>
    </w:p>
    <w:p w14:paraId="3F03FF22" w14:textId="77777777" w:rsidR="00530DAD" w:rsidRPr="000E3D8C" w:rsidRDefault="00530DAD" w:rsidP="00530DAD">
      <w:pPr>
        <w:pStyle w:val="ListParagraph"/>
        <w:numPr>
          <w:ilvl w:val="0"/>
          <w:numId w:val="4"/>
        </w:numPr>
        <w:rPr>
          <w:lang w:val="nl-NL"/>
        </w:rPr>
      </w:pPr>
      <w:r w:rsidRPr="000E3D8C">
        <w:rPr>
          <w:lang w:val="nl-NL"/>
        </w:rPr>
        <w:t xml:space="preserve">What is de objective </w:t>
      </w:r>
      <w:r w:rsidRPr="005D7CD0">
        <w:rPr>
          <w:lang w:val="en-US"/>
        </w:rPr>
        <w:sym w:font="Wingdings" w:char="F0E0"/>
      </w:r>
      <w:r w:rsidRPr="000E3D8C">
        <w:rPr>
          <w:lang w:val="nl-NL"/>
        </w:rPr>
        <w:t xml:space="preserve"> </w:t>
      </w:r>
      <w:r>
        <w:rPr>
          <w:lang w:val="nl-NL"/>
        </w:rPr>
        <w:t xml:space="preserve">Meer waarde uithalen </w:t>
      </w:r>
    </w:p>
    <w:p w14:paraId="175F8A2E" w14:textId="77777777" w:rsidR="00530DAD" w:rsidRPr="000E3D8C" w:rsidRDefault="00530DAD" w:rsidP="00530DAD">
      <w:pPr>
        <w:pStyle w:val="ListParagraph"/>
        <w:numPr>
          <w:ilvl w:val="0"/>
          <w:numId w:val="4"/>
        </w:numPr>
        <w:rPr>
          <w:lang w:val="nl-NL"/>
        </w:rPr>
      </w:pPr>
      <w:r w:rsidRPr="000E3D8C">
        <w:rPr>
          <w:lang w:val="nl-NL"/>
        </w:rPr>
        <w:t xml:space="preserve">What is the main question </w:t>
      </w:r>
      <w:r w:rsidRPr="005D7CD0">
        <w:rPr>
          <w:lang w:val="en-US"/>
        </w:rPr>
        <w:sym w:font="Wingdings" w:char="F0E0"/>
      </w:r>
      <w:r w:rsidRPr="000E3D8C">
        <w:rPr>
          <w:lang w:val="nl-NL"/>
        </w:rPr>
        <w:t xml:space="preserve"> Financiele context, dus een have moet financieel haalbaar of rendement wordt ge optimialiseerd, er wor</w:t>
      </w:r>
      <w:r>
        <w:rPr>
          <w:lang w:val="nl-NL"/>
        </w:rPr>
        <w:t xml:space="preserve">den een aantal scenario’s doorgelezen en thats it. Dat is niet optimaal, want je kan heel veel beslissingen uitstellen en laten afhangen van de markt tegen die tijd. </w:t>
      </w:r>
    </w:p>
    <w:p w14:paraId="4744BD7C" w14:textId="77777777" w:rsidR="00530DAD" w:rsidRDefault="00530DAD" w:rsidP="00530DAD">
      <w:pPr>
        <w:pStyle w:val="ListParagraph"/>
        <w:numPr>
          <w:ilvl w:val="1"/>
          <w:numId w:val="4"/>
        </w:numPr>
        <w:rPr>
          <w:lang w:val="en-US"/>
        </w:rPr>
      </w:pPr>
      <w:r>
        <w:rPr>
          <w:lang w:val="en-US"/>
        </w:rPr>
        <w:t xml:space="preserve">What is your first sub question </w:t>
      </w:r>
      <w:r w:rsidRPr="005D7CD0">
        <w:rPr>
          <w:lang w:val="en-US"/>
        </w:rPr>
        <w:sym w:font="Wingdings" w:char="F0E0"/>
      </w:r>
      <w:r>
        <w:rPr>
          <w:lang w:val="en-US"/>
        </w:rPr>
        <w:t xml:space="preserve"> </w:t>
      </w:r>
    </w:p>
    <w:p w14:paraId="33260F6C" w14:textId="77777777" w:rsidR="00530DAD" w:rsidRPr="000E3D8C" w:rsidRDefault="00530DAD" w:rsidP="00530DAD">
      <w:pPr>
        <w:pStyle w:val="ListParagraph"/>
        <w:numPr>
          <w:ilvl w:val="1"/>
          <w:numId w:val="4"/>
        </w:numPr>
        <w:rPr>
          <w:lang w:val="nl-NL"/>
        </w:rPr>
      </w:pPr>
      <w:r w:rsidRPr="000E3D8C">
        <w:rPr>
          <w:lang w:val="nl-NL"/>
        </w:rPr>
        <w:t xml:space="preserve">What is your second sub question </w:t>
      </w:r>
      <w:r w:rsidRPr="005D7CD0">
        <w:rPr>
          <w:lang w:val="en-US"/>
        </w:rPr>
        <w:sym w:font="Wingdings" w:char="F0E0"/>
      </w:r>
      <w:r w:rsidRPr="000E3D8C">
        <w:rPr>
          <w:lang w:val="nl-NL"/>
        </w:rPr>
        <w:t xml:space="preserve"> Wat zijn de huidige</w:t>
      </w:r>
      <w:r>
        <w:rPr>
          <w:lang w:val="nl-NL"/>
        </w:rPr>
        <w:t xml:space="preserve"> regels, wat zijn de randvoorwaarde (risico, minimale demand voldoen). Valt er waarde te behalen door een aantal van die investeringsbeslissingen uit te stellen </w:t>
      </w:r>
    </w:p>
    <w:p w14:paraId="562A5FC0" w14:textId="77777777" w:rsidR="00530DAD" w:rsidRPr="005D7CD0" w:rsidRDefault="00530DAD" w:rsidP="00530DAD">
      <w:pPr>
        <w:pStyle w:val="ListParagraph"/>
        <w:numPr>
          <w:ilvl w:val="1"/>
          <w:numId w:val="4"/>
        </w:numPr>
        <w:rPr>
          <w:lang w:val="nl-NL"/>
        </w:rPr>
      </w:pPr>
      <w:r w:rsidRPr="005D7CD0">
        <w:rPr>
          <w:lang w:val="nl-NL"/>
        </w:rPr>
        <w:t xml:space="preserve">What is your third sub question </w:t>
      </w:r>
      <w:r w:rsidRPr="005D7CD0">
        <w:rPr>
          <w:lang w:val="en-US"/>
        </w:rPr>
        <w:sym w:font="Wingdings" w:char="F0E0"/>
      </w:r>
      <w:r w:rsidRPr="005D7CD0">
        <w:rPr>
          <w:lang w:val="nl-NL"/>
        </w:rPr>
        <w:t xml:space="preserve"> </w:t>
      </w:r>
      <w:r>
        <w:rPr>
          <w:lang w:val="nl-NL"/>
        </w:rPr>
        <w:t xml:space="preserve">Als je de investerings beslissingen uit stelt, is er dan nog meerwaarde te realiseren door forecasting mee te nemen op tijdstip t = t. </w:t>
      </w:r>
      <w:r w:rsidRPr="005D7CD0">
        <w:rPr>
          <w:lang w:val="nl-NL"/>
        </w:rPr>
        <w:t>Wat is de meerwaarde van forecasting meenemen in de toekom</w:t>
      </w:r>
      <w:r>
        <w:rPr>
          <w:lang w:val="nl-NL"/>
        </w:rPr>
        <w:t xml:space="preserve">stige evaluatie van port masterplanning. </w:t>
      </w:r>
    </w:p>
    <w:p w14:paraId="34D60305" w14:textId="77777777" w:rsidR="00530DAD" w:rsidRPr="00530DAD" w:rsidRDefault="00530DAD" w:rsidP="00530DAD">
      <w:pPr>
        <w:rPr>
          <w:lang w:val="nl-NL"/>
        </w:rPr>
      </w:pPr>
    </w:p>
    <w:p w14:paraId="243D429E" w14:textId="77777777" w:rsidR="00F02002" w:rsidRPr="00530DAD" w:rsidRDefault="00F02002" w:rsidP="00F02002">
      <w:pPr>
        <w:rPr>
          <w:lang w:val="nl-NL"/>
        </w:rPr>
      </w:pPr>
    </w:p>
    <w:p w14:paraId="144957C8" w14:textId="77777777" w:rsidR="00731F24" w:rsidRPr="00530DAD" w:rsidRDefault="00731F24">
      <w:pPr>
        <w:rPr>
          <w:lang w:val="nl-NL"/>
        </w:rPr>
      </w:pPr>
    </w:p>
    <w:sectPr w:rsidR="00731F24" w:rsidRPr="00530D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D2830"/>
    <w:multiLevelType w:val="hybridMultilevel"/>
    <w:tmpl w:val="69D6B57A"/>
    <w:lvl w:ilvl="0" w:tplc="3A1E128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A00B4"/>
    <w:multiLevelType w:val="hybridMultilevel"/>
    <w:tmpl w:val="F30248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90D44"/>
    <w:multiLevelType w:val="multilevel"/>
    <w:tmpl w:val="92E005BC"/>
    <w:lvl w:ilvl="0">
      <w:numFmt w:val="decimal"/>
      <w:lvlText w:val=""/>
      <w:lvlJc w:val="left"/>
    </w:lvl>
    <w:lvl w:ilvl="1">
      <w:start w:val="1"/>
      <w:numFmt w:val="bullet"/>
      <w:pStyle w:val="ListParagraph"/>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B85688F"/>
    <w:multiLevelType w:val="hybridMultilevel"/>
    <w:tmpl w:val="2A2EA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237"/>
    <w:rsid w:val="0009655B"/>
    <w:rsid w:val="000E4D42"/>
    <w:rsid w:val="000F3C63"/>
    <w:rsid w:val="00157BDD"/>
    <w:rsid w:val="004F407D"/>
    <w:rsid w:val="00530DAD"/>
    <w:rsid w:val="00701DB8"/>
    <w:rsid w:val="00731F24"/>
    <w:rsid w:val="00CA6237"/>
    <w:rsid w:val="00DD2404"/>
    <w:rsid w:val="00F02002"/>
    <w:rsid w:val="00F74235"/>
    <w:rsid w:val="00FD47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5A39"/>
  <w15:chartTrackingRefBased/>
  <w15:docId w15:val="{0FD3342D-59C7-49E6-A0C9-E0E36B52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55B"/>
    <w:pPr>
      <w:tabs>
        <w:tab w:val="left" w:pos="1418"/>
      </w:tabs>
      <w:spacing w:after="30" w:line="260" w:lineRule="atLeast"/>
      <w:contextualSpacing/>
      <w:jc w:val="both"/>
    </w:pPr>
    <w:rPr>
      <w:spacing w:val="-6"/>
      <w:kern w:val="14"/>
      <w:sz w:val="19"/>
      <w:szCs w:val="16"/>
      <w:lang w:val="en-GB"/>
    </w:rPr>
  </w:style>
  <w:style w:type="paragraph" w:styleId="Heading1">
    <w:name w:val="heading 1"/>
    <w:basedOn w:val="Normal"/>
    <w:next w:val="Normal"/>
    <w:link w:val="Heading1Char"/>
    <w:uiPriority w:val="9"/>
    <w:qFormat/>
    <w:rsid w:val="00F02002"/>
    <w:pPr>
      <w:keepNext/>
      <w:keepLines/>
      <w:tabs>
        <w:tab w:val="clear" w:pos="1418"/>
      </w:tabs>
      <w:spacing w:before="240" w:after="0" w:line="259" w:lineRule="auto"/>
      <w:contextualSpacing w:val="0"/>
      <w:jc w:val="left"/>
      <w:outlineLvl w:val="0"/>
    </w:pPr>
    <w:rPr>
      <w:rFonts w:asciiTheme="majorHAnsi" w:eastAsiaTheme="majorEastAsia" w:hAnsiTheme="majorHAnsi" w:cstheme="majorBidi"/>
      <w:color w:val="2F5496" w:themeColor="accent1" w:themeShade="BF"/>
      <w:spacing w:val="0"/>
      <w:kern w:val="0"/>
      <w:sz w:val="32"/>
      <w:szCs w:val="32"/>
      <w:lang w:val="nl-NL"/>
    </w:rPr>
  </w:style>
  <w:style w:type="paragraph" w:styleId="Heading2">
    <w:name w:val="heading 2"/>
    <w:basedOn w:val="Normal"/>
    <w:next w:val="Normal"/>
    <w:link w:val="Heading2Char"/>
    <w:uiPriority w:val="9"/>
    <w:unhideWhenUsed/>
    <w:qFormat/>
    <w:rsid w:val="000965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55B"/>
    <w:rPr>
      <w:rFonts w:asciiTheme="majorHAnsi" w:eastAsiaTheme="majorEastAsia" w:hAnsiTheme="majorHAnsi" w:cstheme="majorBidi"/>
      <w:color w:val="2F5496" w:themeColor="accent1" w:themeShade="BF"/>
      <w:spacing w:val="-6"/>
      <w:kern w:val="14"/>
      <w:sz w:val="26"/>
      <w:szCs w:val="26"/>
      <w:lang w:val="en-GB"/>
    </w:rPr>
  </w:style>
  <w:style w:type="character" w:styleId="FootnoteReference">
    <w:name w:val="footnote reference"/>
    <w:basedOn w:val="DefaultParagraphFont"/>
    <w:uiPriority w:val="99"/>
    <w:semiHidden/>
    <w:rsid w:val="00731F24"/>
    <w:rPr>
      <w:color w:val="404040" w:themeColor="text1" w:themeTint="BF"/>
      <w:vertAlign w:val="superscript"/>
    </w:rPr>
  </w:style>
  <w:style w:type="character" w:customStyle="1" w:styleId="Heading1Char">
    <w:name w:val="Heading 1 Char"/>
    <w:basedOn w:val="DefaultParagraphFont"/>
    <w:link w:val="Heading1"/>
    <w:uiPriority w:val="9"/>
    <w:rsid w:val="00F0200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02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02002"/>
    <w:pPr>
      <w:outlineLvl w:val="9"/>
    </w:pPr>
    <w:rPr>
      <w:lang w:val="en-US"/>
    </w:rPr>
  </w:style>
  <w:style w:type="paragraph" w:styleId="TOC2">
    <w:name w:val="toc 2"/>
    <w:basedOn w:val="Normal"/>
    <w:next w:val="Normal"/>
    <w:autoRedefine/>
    <w:uiPriority w:val="39"/>
    <w:unhideWhenUsed/>
    <w:rsid w:val="00F02002"/>
    <w:pPr>
      <w:tabs>
        <w:tab w:val="clear" w:pos="1418"/>
      </w:tabs>
      <w:spacing w:after="100"/>
      <w:ind w:left="190"/>
    </w:pPr>
  </w:style>
  <w:style w:type="paragraph" w:styleId="TOC1">
    <w:name w:val="toc 1"/>
    <w:basedOn w:val="Normal"/>
    <w:next w:val="Normal"/>
    <w:autoRedefine/>
    <w:uiPriority w:val="39"/>
    <w:unhideWhenUsed/>
    <w:rsid w:val="00F02002"/>
    <w:pPr>
      <w:tabs>
        <w:tab w:val="clear" w:pos="1418"/>
      </w:tabs>
      <w:spacing w:after="100"/>
    </w:pPr>
  </w:style>
  <w:style w:type="character" w:styleId="Hyperlink">
    <w:name w:val="Hyperlink"/>
    <w:basedOn w:val="DefaultParagraphFont"/>
    <w:uiPriority w:val="99"/>
    <w:unhideWhenUsed/>
    <w:rsid w:val="00F02002"/>
    <w:rPr>
      <w:color w:val="0563C1" w:themeColor="hyperlink"/>
      <w:u w:val="single"/>
    </w:rPr>
  </w:style>
  <w:style w:type="paragraph" w:styleId="ListParagraph">
    <w:name w:val="List Paragraph"/>
    <w:uiPriority w:val="34"/>
    <w:qFormat/>
    <w:rsid w:val="00530DAD"/>
    <w:pPr>
      <w:numPr>
        <w:ilvl w:val="1"/>
        <w:numId w:val="1"/>
      </w:numPr>
      <w:spacing w:after="0" w:line="210" w:lineRule="atLeast"/>
      <w:jc w:val="both"/>
    </w:pPr>
    <w:rPr>
      <w:noProof/>
      <w:spacing w:val="-6"/>
      <w:kern w:val="14"/>
      <w:sz w:val="19"/>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0813F-6CE8-42F9-830A-BEBF896A7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3862</Words>
  <Characters>22018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Wijnand IJzermans</dc:creator>
  <cp:keywords/>
  <dc:description/>
  <cp:lastModifiedBy>Wijnand IJzermans</cp:lastModifiedBy>
  <cp:revision>5</cp:revision>
  <dcterms:created xsi:type="dcterms:W3CDTF">2018-10-26T08:24:00Z</dcterms:created>
  <dcterms:modified xsi:type="dcterms:W3CDTF">2018-11-22T13:06:00Z</dcterms:modified>
</cp:coreProperties>
</file>