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97D"/>
          <w:sz w:val="40"/>
        </w:rPr>
        <w:t>CEUS Data Processing Pipeline</w:t>
      </w:r>
    </w:p>
    <w:p>
      <w:pPr>
        <w:jc w:val="center"/>
      </w:pPr>
      <w:r>
        <w:rPr>
          <w:rFonts w:ascii="Arial" w:hAnsi="Arial"/>
          <w:color w:val="555555"/>
          <w:sz w:val="24"/>
        </w:rPr>
        <w:t>Notebook Reference and Workflow Guide</w:t>
      </w:r>
    </w:p>
    <w:p/>
    <w:p>
      <w:pPr>
        <w:pStyle w:val="Heading1"/>
      </w:pPr>
      <w:r>
        <w:t>Overview</w:t>
      </w:r>
    </w:p>
    <w:p>
      <w:r>
        <w:rPr>
          <w:rFonts w:ascii="Arial" w:hAnsi="Arial"/>
          <w:sz w:val="22"/>
        </w:rPr>
        <w:t>This document describes the end-to-end pipeline for processing Contrast-Enhanced Ultrasound (CEUS) data. The workflow is organized as a series of Jupyter notebooks. The four notebooks you will use regularly are: paramap generation, paramap visualization, curve quantification, and V1 vs V2 comparison. All other notebooks in the folder are supplementary or experimental and can generally be ignored for routine processing.</w:t>
      </w:r>
    </w:p>
    <w:p/>
    <w:p>
      <w:pPr>
        <w:pStyle w:val="Heading2"/>
      </w:pPr>
      <w:r>
        <w:t>Pipeline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Step</w:t>
            </w:r>
          </w:p>
        </w:tc>
        <w:tc>
          <w:tcPr>
            <w:tcW w:type="dxa" w:w="2880"/>
          </w:tcPr>
          <w:p>
            <w:r>
              <w:rPr>
                <w:rFonts w:ascii="Arial" w:hAnsi="Arial"/>
                <w:b/>
                <w:sz w:val="20"/>
              </w:rPr>
              <w:t>Notebook</w:t>
            </w:r>
          </w:p>
        </w:tc>
        <w:tc>
          <w:tcPr>
            <w:tcW w:type="dxa" w:w="2880"/>
          </w:tcPr>
          <w:p>
            <w:r>
              <w:rPr>
                <w:rFonts w:ascii="Arial" w:hAnsi="Arial"/>
                <w:b/>
                <w:sz w:val="20"/>
              </w:rPr>
              <w:t>Purpose</w:t>
            </w:r>
          </w:p>
        </w:tc>
      </w:tr>
      <w:tr>
        <w:tc>
          <w:tcPr>
            <w:tcW w:type="dxa" w:w="2880"/>
          </w:tcPr>
          <w:p>
            <w:r>
              <w:rPr>
                <w:rFonts w:ascii="Arial" w:hAnsi="Arial"/>
                <w:sz w:val="20"/>
              </w:rPr>
              <w:t>1</w:t>
            </w:r>
          </w:p>
        </w:tc>
        <w:tc>
          <w:tcPr>
            <w:tcW w:type="dxa" w:w="2880"/>
          </w:tcPr>
          <w:p>
            <w:r>
              <w:rPr>
                <w:rFonts w:ascii="Arial" w:hAnsi="Arial"/>
                <w:sz w:val="20"/>
              </w:rPr>
              <w:t>paramap_generation.ipynb</w:t>
            </w:r>
          </w:p>
        </w:tc>
        <w:tc>
          <w:tcPr>
            <w:tcW w:type="dxa" w:w="2880"/>
          </w:tcPr>
          <w:p>
            <w:r>
              <w:rPr>
                <w:rFonts w:ascii="Arial" w:hAnsi="Arial"/>
                <w:sz w:val="20"/>
              </w:rPr>
              <w:t>Generate parametric maps (PE, AUC, TP, T0) from CEUS scan + VOI</w:t>
            </w:r>
          </w:p>
        </w:tc>
      </w:tr>
      <w:tr>
        <w:tc>
          <w:tcPr>
            <w:tcW w:type="dxa" w:w="2880"/>
          </w:tcPr>
          <w:p>
            <w:r>
              <w:rPr>
                <w:rFonts w:ascii="Arial" w:hAnsi="Arial"/>
                <w:sz w:val="20"/>
              </w:rPr>
              <w:t>2</w:t>
            </w:r>
          </w:p>
        </w:tc>
        <w:tc>
          <w:tcPr>
            <w:tcW w:type="dxa" w:w="2880"/>
          </w:tcPr>
          <w:p>
            <w:r>
              <w:rPr>
                <w:rFonts w:ascii="Arial" w:hAnsi="Arial"/>
                <w:sz w:val="20"/>
              </w:rPr>
              <w:t>paramap_visualization.ipynb</w:t>
            </w:r>
          </w:p>
        </w:tc>
        <w:tc>
          <w:tcPr>
            <w:tcW w:type="dxa" w:w="2880"/>
          </w:tcPr>
          <w:p>
            <w:r>
              <w:rPr>
                <w:rFonts w:ascii="Arial" w:hAnsi="Arial"/>
                <w:sz w:val="20"/>
              </w:rPr>
              <w:t>View and explore paramaps interactively in Napari</w:t>
            </w:r>
          </w:p>
        </w:tc>
      </w:tr>
      <w:tr>
        <w:tc>
          <w:tcPr>
            <w:tcW w:type="dxa" w:w="2880"/>
          </w:tcPr>
          <w:p>
            <w:r>
              <w:rPr>
                <w:rFonts w:ascii="Arial" w:hAnsi="Arial"/>
                <w:sz w:val="20"/>
              </w:rPr>
              <w:t>3</w:t>
            </w:r>
          </w:p>
        </w:tc>
        <w:tc>
          <w:tcPr>
            <w:tcW w:type="dxa" w:w="2880"/>
          </w:tcPr>
          <w:p>
            <w:r>
              <w:rPr>
                <w:rFonts w:ascii="Arial" w:hAnsi="Arial"/>
                <w:sz w:val="20"/>
              </w:rPr>
              <w:t>curve_quantification.ipynb</w:t>
            </w:r>
          </w:p>
        </w:tc>
        <w:tc>
          <w:tcPr>
            <w:tcW w:type="dxa" w:w="2880"/>
          </w:tcPr>
          <w:p>
            <w:r>
              <w:rPr>
                <w:rFonts w:ascii="Arial" w:hAnsi="Arial"/>
                <w:sz w:val="20"/>
              </w:rPr>
              <w:t>Extract all quantitative curve parameters to CSV</w:t>
            </w:r>
          </w:p>
        </w:tc>
      </w:tr>
      <w:tr>
        <w:tc>
          <w:tcPr>
            <w:tcW w:type="dxa" w:w="2880"/>
          </w:tcPr>
          <w:p>
            <w:r>
              <w:rPr>
                <w:rFonts w:ascii="Arial" w:hAnsi="Arial"/>
                <w:sz w:val="20"/>
              </w:rPr>
              <w:t>4</w:t>
            </w:r>
          </w:p>
        </w:tc>
        <w:tc>
          <w:tcPr>
            <w:tcW w:type="dxa" w:w="2880"/>
          </w:tcPr>
          <w:p>
            <w:r>
              <w:rPr>
                <w:rFonts w:ascii="Arial" w:hAnsi="Arial"/>
                <w:sz w:val="20"/>
              </w:rPr>
              <w:t>v1_v2_comparison.ipynb</w:t>
            </w:r>
          </w:p>
        </w:tc>
        <w:tc>
          <w:tcPr>
            <w:tcW w:type="dxa" w:w="2880"/>
          </w:tcPr>
          <w:p>
            <w:r>
              <w:rPr>
                <w:rFonts w:ascii="Arial" w:hAnsi="Arial"/>
                <w:sz w:val="20"/>
              </w:rPr>
              <w:t>Side-by-side visualization of PE and AUC across visits</w:t>
            </w:r>
          </w:p>
        </w:tc>
      </w:tr>
    </w:tbl>
    <w:p/>
    <w:p>
      <w:pPr>
        <w:pStyle w:val="Heading1"/>
      </w:pPr>
      <w:r>
        <w:t>1. Paramap Generation</w:t>
      </w:r>
    </w:p>
    <w:p>
      <w:r>
        <w:rPr>
          <w:rFonts w:ascii="Arial" w:hAnsi="Arial"/>
          <w:sz w:val="22"/>
        </w:rPr>
        <w:t>paramap_generation.ipynb</w:t>
      </w:r>
    </w:p>
    <w:p>
      <w:pPr>
        <w:pStyle w:val="Heading2"/>
      </w:pPr>
      <w:r>
        <w:t>What it does</w:t>
      </w:r>
    </w:p>
    <w:p>
      <w:r>
        <w:rPr>
          <w:rFonts w:ascii="Arial" w:hAnsi="Arial"/>
          <w:sz w:val="22"/>
        </w:rPr>
        <w:t>This is the core processing notebook. It loads a CEUS scan (in NIfTI format) along with a Volume of Interest (VOI) segmentation, then generates a full set of parametric maps by fitting time-intensity curves (TICs) to each spatial sub-region. The output maps include Peak Enhancement (PE), Area Under the Curve (AUC), Time to Peak (TP), and Wash-in Time (T0), saved as NIfTI files for downstream analysis.</w:t>
      </w:r>
    </w:p>
    <w:p>
      <w:pPr>
        <w:pStyle w:val="Heading2"/>
      </w:pPr>
      <w:r>
        <w:t>Inputs</w:t>
      </w:r>
    </w:p>
    <w:p>
      <w:pPr>
        <w:pStyle w:val="ListBullet"/>
      </w:pPr>
      <w:r>
        <w:rPr>
          <w:rFonts w:ascii="Arial" w:hAnsi="Arial"/>
          <w:sz w:val="22"/>
        </w:rPr>
        <w:t>CEUS scan file (.nii.gz)</w:t>
      </w:r>
    </w:p>
    <w:p>
      <w:pPr>
        <w:pStyle w:val="ListBullet"/>
      </w:pPr>
      <w:r>
        <w:rPr>
          <w:rFonts w:ascii="Arial" w:hAnsi="Arial"/>
          <w:sz w:val="22"/>
        </w:rPr>
        <w:t>VOI segmentation file (.nii.gz)</w:t>
      </w:r>
    </w:p>
    <w:p>
      <w:pPr>
        <w:pStyle w:val="Heading2"/>
      </w:pPr>
      <w:r>
        <w:t>Key Parameters</w:t>
      </w:r>
    </w:p>
    <w:p>
      <w:r>
        <w:rPr>
          <w:rFonts w:ascii="Arial" w:hAnsi="Arial"/>
          <w:sz w:val="22"/>
        </w:rPr>
        <w:t>The two most important settings control the spatial resolution vs. speed trade-off:</w:t>
      </w:r>
    </w:p>
    <w:p>
      <w:pPr>
        <w:pStyle w:val="ListBullet"/>
      </w:pPr>
      <w:r>
        <w:rPr>
          <w:rFonts w:ascii="Arial" w:hAnsi="Arial"/>
          <w:b/>
          <w:sz w:val="22"/>
        </w:rPr>
        <w:t>Overlap:</w:t>
      </w:r>
      <w:r>
        <w:rPr>
          <w:rFonts w:ascii="Arial" w:hAnsi="Arial"/>
        </w:rPr>
        <w:t xml:space="preserve"> Overlap (ax/sag/cor_vox_ovrlp)</w:t>
      </w:r>
    </w:p>
    <w:p>
      <w:pPr>
        <w:ind w:left="432"/>
      </w:pPr>
      <w:r>
        <w:rPr>
          <w:rFonts w:ascii="Arial" w:hAnsi="Arial"/>
          <w:sz w:val="22"/>
        </w:rPr>
        <w:t>Controls how much adjacent sub-regions overlap when sampling TICs across the ROI. Setting this to 50 (50% overlap) produces the finest, smoothest maps. Lowering overlap speeds up processing but coarsens the result.</w:t>
      </w:r>
    </w:p>
    <w:p>
      <w:pPr>
        <w:pStyle w:val="ListBullet"/>
      </w:pPr>
      <w:r>
        <w:rPr>
          <w:rFonts w:ascii="Arial" w:hAnsi="Arial"/>
          <w:b/>
          <w:sz w:val="22"/>
        </w:rPr>
        <w:t>Length:</w:t>
      </w:r>
      <w:r>
        <w:rPr>
          <w:rFonts w:ascii="Arial" w:hAnsi="Arial"/>
        </w:rPr>
        <w:t xml:space="preserve"> Sub-region length (ax/sag/cor_vox_len)</w:t>
      </w:r>
    </w:p>
    <w:p>
      <w:pPr>
        <w:ind w:left="432"/>
      </w:pPr>
      <w:r>
        <w:rPr>
          <w:rFonts w:ascii="Arial" w:hAnsi="Arial"/>
          <w:sz w:val="22"/>
        </w:rPr>
        <w:t>Controls the size of each sampling sub-region in voxels. A value of 5 gives the finest maps. Increasing this number speeds up processing but produces blockier, lower-resolution maps. Use 5 when map quality matters; increase only when processing time is a constraint.</w:t>
      </w:r>
    </w:p>
    <w:p>
      <w:pPr>
        <w:pStyle w:val="Heading2"/>
      </w:pPr>
      <w:r>
        <w:t>Recommended settings for fine maps</w:t>
      </w:r>
    </w:p>
    <w:p>
      <w:pPr>
        <w:ind w:left="576"/>
      </w:pPr>
      <w:r>
        <w:rPr>
          <w:rFonts w:ascii="Courier New" w:hAnsi="Courier New"/>
          <w:color w:val="333333"/>
          <w:sz w:val="20"/>
        </w:rPr>
        <w:t>ax_vox_ovrlp: 50,  sag_vox_ovrlp: 50,  cor_vox_ovrlp: 50</w:t>
      </w:r>
    </w:p>
    <w:p>
      <w:pPr>
        <w:ind w:left="576"/>
      </w:pPr>
      <w:r>
        <w:rPr>
          <w:rFonts w:ascii="Courier New" w:hAnsi="Courier New"/>
          <w:color w:val="333333"/>
          <w:sz w:val="20"/>
        </w:rPr>
        <w:t>ax_vox_len: 5,     sag_vox_len: 5,      cor_vox_len: 5</w:t>
      </w:r>
    </w:p>
    <w:p>
      <w:pPr>
        <w:pStyle w:val="Heading2"/>
      </w:pPr>
      <w:r>
        <w:t>Processing time note</w:t>
      </w:r>
    </w:p>
    <w:p>
      <w:r>
        <w:rPr>
          <w:rFonts w:ascii="Arial" w:hAnsi="Arial"/>
          <w:sz w:val="22"/>
        </w:rPr>
        <w:t>Processing time scales directly with ROI size. A large ROI will take significantly longer than a small one. If runtime is a concern, increase the vox_len values or reduce overlap as a first step.</w:t>
      </w:r>
    </w:p>
    <w:p/>
    <w:p>
      <w:pPr>
        <w:pStyle w:val="Heading1"/>
      </w:pPr>
      <w:r>
        <w:t>2. Paramap Visualization</w:t>
      </w:r>
    </w:p>
    <w:p>
      <w:r>
        <w:rPr>
          <w:rFonts w:ascii="Arial" w:hAnsi="Arial"/>
          <w:sz w:val="22"/>
        </w:rPr>
        <w:t>paramap_visualization.ipynb</w:t>
      </w:r>
    </w:p>
    <w:p>
      <w:pPr>
        <w:pStyle w:val="Heading2"/>
      </w:pPr>
      <w:r>
        <w:t>What it does</w:t>
      </w:r>
    </w:p>
    <w:p>
      <w:r>
        <w:rPr>
          <w:rFonts w:ascii="Arial" w:hAnsi="Arial"/>
          <w:sz w:val="22"/>
        </w:rPr>
        <w:t>Loads the saved parametric maps and displays them interactively in Napari, a multi-dimensional image viewer. Use this notebook to visually inspect the quality and spatial distribution of the PE, AUC, TP, and T0 maps overlaid on the original B-mode or CEUS frames. You can also paint ROIs directly in the Napari viewer and extract mean parameter values from a selected region after closing the viewer.</w:t>
      </w:r>
    </w:p>
    <w:p>
      <w:pPr>
        <w:pStyle w:val="Heading2"/>
      </w:pPr>
      <w:r>
        <w:t>Use cases</w:t>
      </w:r>
    </w:p>
    <w:p>
      <w:pPr>
        <w:pStyle w:val="ListBullet"/>
      </w:pPr>
      <w:r>
        <w:rPr>
          <w:rFonts w:ascii="Arial" w:hAnsi="Arial"/>
          <w:sz w:val="22"/>
        </w:rPr>
        <w:t>Quality-checking paramaps after generation</w:t>
      </w:r>
    </w:p>
    <w:p>
      <w:pPr>
        <w:pStyle w:val="ListBullet"/>
      </w:pPr>
      <w:r>
        <w:rPr>
          <w:rFonts w:ascii="Arial" w:hAnsi="Arial"/>
          <w:sz w:val="22"/>
        </w:rPr>
        <w:t>Identifying necrotic regions or artifacts visually</w:t>
      </w:r>
    </w:p>
    <w:p>
      <w:pPr>
        <w:pStyle w:val="ListBullet"/>
      </w:pPr>
      <w:r>
        <w:rPr>
          <w:rFonts w:ascii="Arial" w:hAnsi="Arial"/>
          <w:sz w:val="22"/>
        </w:rPr>
        <w:t>Extracting mean values from a hand-drawn ROI in the viewer</w:t>
      </w:r>
    </w:p>
    <w:p/>
    <w:p>
      <w:pPr>
        <w:pStyle w:val="Heading1"/>
      </w:pPr>
      <w:r>
        <w:t>3. Curve Quantification</w:t>
      </w:r>
    </w:p>
    <w:p>
      <w:r>
        <w:rPr>
          <w:rFonts w:ascii="Arial" w:hAnsi="Arial"/>
          <w:sz w:val="22"/>
        </w:rPr>
        <w:t>curve_quantification.ipynb</w:t>
      </w:r>
    </w:p>
    <w:p>
      <w:pPr>
        <w:pStyle w:val="Heading2"/>
      </w:pPr>
      <w:r>
        <w:t>What it does</w:t>
      </w:r>
    </w:p>
    <w:p>
      <w:r>
        <w:rPr>
          <w:rFonts w:ascii="Arial" w:hAnsi="Arial"/>
          <w:sz w:val="22"/>
        </w:rPr>
        <w:t>Runs the full TIC fitting pipeline and extracts a comprehensive set of quantitative parameters from the fitted curves. This gives you more parameters than the QuantUS GUI outputs, including values like PE, AUC, TP, T0, wash-in rate, wash-out rate, and others depending on the model. Results are saved to a CSV file for downstream statistical analysis.</w:t>
      </w:r>
    </w:p>
    <w:p>
      <w:pPr>
        <w:pStyle w:val="Heading2"/>
      </w:pPr>
      <w:r>
        <w:t>Inputs</w:t>
      </w:r>
    </w:p>
    <w:p>
      <w:pPr>
        <w:pStyle w:val="ListBullet"/>
      </w:pPr>
      <w:r>
        <w:rPr>
          <w:rFonts w:ascii="Arial" w:hAnsi="Arial"/>
          <w:sz w:val="22"/>
        </w:rPr>
        <w:t>CEUS scan file (.nii.gz)</w:t>
      </w:r>
    </w:p>
    <w:p>
      <w:pPr>
        <w:pStyle w:val="ListBullet"/>
      </w:pPr>
      <w:r>
        <w:rPr>
          <w:rFonts w:ascii="Arial" w:hAnsi="Arial"/>
          <w:sz w:val="22"/>
        </w:rPr>
        <w:t>VOI segmentation file (.nii.gz)</w:t>
      </w:r>
    </w:p>
    <w:p>
      <w:pPr>
        <w:pStyle w:val="Heading2"/>
      </w:pPr>
      <w:r>
        <w:t>Output</w:t>
      </w:r>
    </w:p>
    <w:p>
      <w:pPr>
        <w:pStyle w:val="ListBullet"/>
      </w:pPr>
      <w:r>
        <w:rPr>
          <w:rFonts w:ascii="Arial" w:hAnsi="Arial"/>
          <w:sz w:val="22"/>
        </w:rPr>
        <w:t>CSV file containing one row per ROI with all extracted parameters</w:t>
      </w:r>
    </w:p>
    <w:p>
      <w:pPr>
        <w:pStyle w:val="ListBullet"/>
      </w:pPr>
      <w:r>
        <w:rPr>
          <w:rFonts w:ascii="Arial" w:hAnsi="Arial"/>
          <w:sz w:val="22"/>
        </w:rPr>
        <w:t>Includes volume and depth calculations derived from pixel dimensions</w:t>
      </w:r>
    </w:p>
    <w:p>
      <w:pPr>
        <w:pStyle w:val="Heading2"/>
      </w:pPr>
      <w:r>
        <w:t>When to use this vs. the QuantUS GUI</w:t>
      </w:r>
    </w:p>
    <w:p>
      <w:r>
        <w:rPr>
          <w:rFonts w:ascii="Arial" w:hAnsi="Arial"/>
          <w:sz w:val="22"/>
        </w:rPr>
        <w:t>Use this notebook when you need the full parameter set. The QuantUS GUI provides a quick look at the main metrics, but this notebook extracts everything the model can produce. Prefer this for any analysis that requires completeness or reproducibility.</w:t>
      </w:r>
    </w:p>
    <w:p/>
    <w:p>
      <w:pPr>
        <w:pStyle w:val="Heading1"/>
      </w:pPr>
      <w:r>
        <w:t>4. V1 vs V2 Comparison</w:t>
      </w:r>
    </w:p>
    <w:p>
      <w:r>
        <w:rPr>
          <w:rFonts w:ascii="Arial" w:hAnsi="Arial"/>
          <w:sz w:val="22"/>
        </w:rPr>
        <w:t>v1_v2_comparison.ipynb</w:t>
      </w:r>
    </w:p>
    <w:p>
      <w:pPr>
        <w:pStyle w:val="Heading2"/>
      </w:pPr>
      <w:r>
        <w:t>What it does</w:t>
      </w:r>
    </w:p>
    <w:p>
      <w:r>
        <w:rPr>
          <w:rFonts w:ascii="Arial" w:hAnsi="Arial"/>
          <w:sz w:val="22"/>
        </w:rPr>
        <w:t>Generates side-by-side visualizations of the PE and AUC parametric maps across two visits (V1 and V2) for the same patient. Each comparison panel shows representative slices of both maps at both time points, making it straightforward to visually assess treatment response or change over time.</w:t>
      </w:r>
    </w:p>
    <w:p>
      <w:pPr>
        <w:pStyle w:val="Heading2"/>
      </w:pPr>
      <w:r>
        <w:t>Inputs</w:t>
      </w:r>
    </w:p>
    <w:p>
      <w:pPr>
        <w:pStyle w:val="ListBullet"/>
      </w:pPr>
      <w:r>
        <w:rPr>
          <w:rFonts w:ascii="Arial" w:hAnsi="Arial"/>
          <w:sz w:val="22"/>
        </w:rPr>
        <w:t>Path to the paramap output folder for Visit 1</w:t>
      </w:r>
    </w:p>
    <w:p>
      <w:pPr>
        <w:pStyle w:val="ListBullet"/>
      </w:pPr>
      <w:r>
        <w:rPr>
          <w:rFonts w:ascii="Arial" w:hAnsi="Arial"/>
          <w:sz w:val="22"/>
        </w:rPr>
        <w:t>Path to the paramap output folder for Visit 2</w:t>
      </w:r>
    </w:p>
    <w:p>
      <w:pPr>
        <w:pStyle w:val="ListBullet"/>
      </w:pPr>
      <w:r>
        <w:rPr>
          <w:rFonts w:ascii="Arial" w:hAnsi="Arial"/>
          <w:sz w:val="22"/>
        </w:rPr>
        <w:t>Patient label (used in plot titles only)</w:t>
      </w:r>
    </w:p>
    <w:p>
      <w:pPr>
        <w:pStyle w:val="Heading2"/>
      </w:pPr>
      <w:r>
        <w:t>Output</w:t>
      </w:r>
    </w:p>
    <w:p>
      <w:r>
        <w:rPr>
          <w:rFonts w:ascii="Arial" w:hAnsi="Arial"/>
          <w:sz w:val="22"/>
        </w:rPr>
        <w:t>A figure showing slices of PE and AUC side by side for V1 and V2, suitable for inclusion in presentations or reports.</w:t>
      </w:r>
    </w:p>
    <w:p/>
    <w:p>
      <w:pPr>
        <w:pStyle w:val="Heading1"/>
      </w:pPr>
      <w:r>
        <w:t>Other Notebooks (Reference Only)</w:t>
      </w:r>
    </w:p>
    <w:p>
      <w:r>
        <w:rPr>
          <w:rFonts w:ascii="Arial" w:hAnsi="Arial"/>
          <w:sz w:val="22"/>
        </w:rPr>
        <w:t>The remaining notebooks in the folder are supplementary and not part of the standard processing pipeline. They can generally be ignored during routine analysis.</w:t>
      </w:r>
    </w:p>
    <w:p>
      <w:pPr>
        <w:pStyle w:val="ListBullet"/>
      </w:pPr>
      <w:r>
        <w:rPr>
          <w:rFonts w:ascii="Arial" w:hAnsi="Arial"/>
          <w:b/>
          <w:sz w:val="22"/>
        </w:rPr>
        <w:t>batch_tic_generation.py</w:t>
      </w:r>
      <w:r>
        <w:rPr>
          <w:rFonts w:ascii="Arial" w:hAnsi="Arial"/>
        </w:rPr>
        <w:t>: Script to batch-generate TIC curves across multiple patients and visits. Useful for large-scale processing but requires manual path configuration.</w:t>
      </w:r>
    </w:p>
    <w:p>
      <w:pPr>
        <w:pStyle w:val="ListBullet"/>
      </w:pPr>
      <w:r>
        <w:rPr>
          <w:rFonts w:ascii="Arial" w:hAnsi="Arial"/>
          <w:b/>
          <w:sz w:val="22"/>
        </w:rPr>
        <w:t>paramap_parallel_generation.ipynb</w:t>
      </w:r>
      <w:r>
        <w:rPr>
          <w:rFonts w:ascii="Arial" w:hAnsi="Arial"/>
        </w:rPr>
        <w:t>: Experimental parallel version of paramap generation. May offer speed improvements for large ROIs.</w:t>
      </w:r>
    </w:p>
    <w:p>
      <w:pPr>
        <w:pStyle w:val="ListBullet"/>
      </w:pPr>
      <w:r>
        <w:rPr>
          <w:rFonts w:ascii="Arial" w:hAnsi="Arial"/>
          <w:b/>
          <w:sz w:val="22"/>
        </w:rPr>
        <w:t>voi_whole_paramap_generation.ipynb</w:t>
      </w:r>
      <w:r>
        <w:rPr>
          <w:rFonts w:ascii="Arial" w:hAnsi="Arial"/>
        </w:rPr>
        <w:t>: Variant that runs paramap generation over the whole VOI rather than sub-regions.</w:t>
      </w:r>
    </w:p>
    <w:p>
      <w:pPr>
        <w:pStyle w:val="ListBullet"/>
      </w:pPr>
      <w:r>
        <w:rPr>
          <w:rFonts w:ascii="Arial" w:hAnsi="Arial"/>
          <w:b/>
          <w:sz w:val="22"/>
        </w:rPr>
        <w:t>motion_robust_roi.ipynb</w:t>
      </w:r>
      <w:r>
        <w:rPr>
          <w:rFonts w:ascii="Arial" w:hAnsi="Arial"/>
        </w:rPr>
        <w:t>: Experimental motion-robust ROI handling.</w:t>
      </w:r>
    </w:p>
    <w:p>
      <w:pPr>
        <w:pStyle w:val="ListBullet"/>
      </w:pPr>
      <w:r>
        <w:rPr>
          <w:rFonts w:ascii="Arial" w:hAnsi="Arial"/>
          <w:b/>
          <w:sz w:val="22"/>
        </w:rPr>
        <w:t>necrotic_area_subtraction.ipynb</w:t>
      </w:r>
      <w:r>
        <w:rPr>
          <w:rFonts w:ascii="Arial" w:hAnsi="Arial"/>
        </w:rPr>
        <w:t>: Workflow for subtracting necrotic regions from the VOI before quantification.</w:t>
      </w:r>
    </w:p>
    <w:p>
      <w:pPr>
        <w:pStyle w:val="ListBullet"/>
      </w:pPr>
      <w:r>
        <w:rPr>
          <w:rFonts w:ascii="Arial" w:hAnsi="Arial"/>
          <w:b/>
          <w:sz w:val="22"/>
        </w:rPr>
        <w:t>normalized_pe_spatial_check.ipynb</w:t>
      </w:r>
      <w:r>
        <w:rPr>
          <w:rFonts w:ascii="Arial" w:hAnsi="Arial"/>
        </w:rPr>
        <w:t>: Spatial sanity check for normalized PE values.</w:t>
      </w:r>
    </w:p>
    <w:p>
      <w:pPr>
        <w:pStyle w:val="ListBullet"/>
      </w:pPr>
      <w:r>
        <w:rPr>
          <w:rFonts w:ascii="Arial" w:hAnsi="Arial"/>
          <w:b/>
          <w:sz w:val="22"/>
        </w:rPr>
        <w:t>region_based_segmentation.ipynb</w:t>
      </w:r>
      <w:r>
        <w:rPr>
          <w:rFonts w:ascii="Arial" w:hAnsi="Arial"/>
        </w:rPr>
        <w:t>: Region-based segmentation utilities.</w:t>
      </w:r>
    </w:p>
    <w:p>
      <w:pPr>
        <w:pStyle w:val="ListBullet"/>
      </w:pPr>
      <w:r>
        <w:rPr>
          <w:rFonts w:ascii="Arial" w:hAnsi="Arial"/>
          <w:b/>
          <w:sz w:val="22"/>
        </w:rPr>
        <w:t>threshold_voi_segmentation.ipynb</w:t>
      </w:r>
      <w:r>
        <w:rPr>
          <w:rFonts w:ascii="Arial" w:hAnsi="Arial"/>
        </w:rPr>
        <w:t>: Threshold-based VOI segmentation helper.</w:t>
      </w:r>
    </w:p>
    <w:p>
      <w:pPr>
        <w:pStyle w:val="ListBullet"/>
      </w:pPr>
      <w:r>
        <w:rPr>
          <w:rFonts w:ascii="Arial" w:hAnsi="Arial"/>
          <w:b/>
          <w:sz w:val="22"/>
        </w:rPr>
        <w:t>paramaps_viewing_2Dvs3D_IUS.ipynb</w:t>
      </w:r>
      <w:r>
        <w:rPr>
          <w:rFonts w:ascii="Arial" w:hAnsi="Arial"/>
        </w:rPr>
        <w:t>: Visualization comparison between 2D and 3D paramaps, used for IUS conference work.</w:t>
      </w:r>
    </w:p>
    <w:p>
      <w:pPr>
        <w:pStyle w:val="ListBullet"/>
      </w:pPr>
      <w:r>
        <w:rPr>
          <w:rFonts w:ascii="Arial" w:hAnsi="Arial"/>
          <w:b/>
          <w:sz w:val="22"/>
        </w:rPr>
        <w:t>curve_quantification_2.ipynb</w:t>
      </w:r>
      <w:r>
        <w:rPr>
          <w:rFonts w:ascii="Arial" w:hAnsi="Arial"/>
        </w:rPr>
        <w:t>: Secondary version of curve quantification.</w:t>
      </w:r>
    </w:p>
    <w:p>
      <w:pPr>
        <w:pStyle w:val="ListBullet"/>
      </w:pPr>
      <w:r>
        <w:rPr>
          <w:rFonts w:ascii="Arial" w:hAnsi="Arial"/>
          <w:b/>
          <w:sz w:val="22"/>
        </w:rPr>
        <w:t>paramap_visualization_copy.ipynb</w:t>
      </w:r>
      <w:r>
        <w:rPr>
          <w:rFonts w:ascii="Arial" w:hAnsi="Arial"/>
        </w:rPr>
        <w:t>: Working copy of the paramap visualization notebook.</w:t>
      </w:r>
    </w:p>
    <w:p/>
    <w:p>
      <w:pPr>
        <w:pStyle w:val="Heading1"/>
      </w:pPr>
      <w:r>
        <w:t>Quick Start Checklist</w:t>
      </w:r>
    </w:p>
    <w:p>
      <w:pPr>
        <w:pStyle w:val="ListNumber"/>
      </w:pPr>
      <w:r>
        <w:rPr>
          <w:rFonts w:ascii="Arial" w:hAnsi="Arial"/>
          <w:sz w:val="22"/>
        </w:rPr>
        <w:t>Open paramap_generation.ipynb.</w:t>
      </w:r>
    </w:p>
    <w:p>
      <w:pPr>
        <w:pStyle w:val="ListNumber"/>
      </w:pPr>
      <w:r>
        <w:rPr>
          <w:rFonts w:ascii="Arial" w:hAnsi="Arial"/>
          <w:sz w:val="22"/>
        </w:rPr>
        <w:t>Set scan_path to your CEUS .nii.gz file.</w:t>
      </w:r>
    </w:p>
    <w:p>
      <w:pPr>
        <w:pStyle w:val="ListNumber"/>
      </w:pPr>
      <w:r>
        <w:rPr>
          <w:rFonts w:ascii="Arial" w:hAnsi="Arial"/>
          <w:sz w:val="22"/>
        </w:rPr>
        <w:t>Set the VOI/segmentation path.</w:t>
      </w:r>
    </w:p>
    <w:p>
      <w:pPr>
        <w:pStyle w:val="ListNumber"/>
      </w:pPr>
      <w:r>
        <w:rPr>
          <w:rFonts w:ascii="Arial" w:hAnsi="Arial"/>
          <w:sz w:val="22"/>
        </w:rPr>
        <w:t>Set vox_ovrlp to 50 and vox_len to 5 for fine maps (increase vox_len to trade quality for speed).</w:t>
      </w:r>
    </w:p>
    <w:p>
      <w:pPr>
        <w:pStyle w:val="ListNumber"/>
      </w:pPr>
      <w:r>
        <w:rPr>
          <w:rFonts w:ascii="Arial" w:hAnsi="Arial"/>
          <w:sz w:val="22"/>
        </w:rPr>
        <w:t>Run all cells. Paramaps save to the paramap/ subfolder.</w:t>
      </w:r>
    </w:p>
    <w:p>
      <w:pPr>
        <w:pStyle w:val="ListNumber"/>
      </w:pPr>
      <w:r>
        <w:rPr>
          <w:rFonts w:ascii="Arial" w:hAnsi="Arial"/>
          <w:sz w:val="22"/>
        </w:rPr>
        <w:t>Open paramap_visualization.ipynb to inspect results in Napari.</w:t>
      </w:r>
    </w:p>
    <w:p>
      <w:pPr>
        <w:pStyle w:val="ListNumber"/>
      </w:pPr>
      <w:r>
        <w:rPr>
          <w:rFonts w:ascii="Arial" w:hAnsi="Arial"/>
          <w:sz w:val="22"/>
        </w:rPr>
        <w:t>Open curve_quantification.ipynb to extract the full parameter set to CSV.</w:t>
      </w:r>
    </w:p>
    <w:p>
      <w:pPr>
        <w:pStyle w:val="ListNumber"/>
      </w:pPr>
      <w:r>
        <w:rPr>
          <w:rFonts w:ascii="Arial" w:hAnsi="Arial"/>
          <w:sz w:val="22"/>
        </w:rPr>
        <w:t>Open v1_v2_comparison.ipynb to compare V1 and V2 paramaps visually.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