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8"/>
          <w:szCs w:val="28"/>
        </w:rPr>
      </w:pPr>
      <w:r>
        <w:rPr>
          <w:rFonts w:eastAsia="Times New Roman"/>
        </w:rPr>
        <w:drawing>
          <wp:anchor behindDoc="0" distT="0" distB="0" distL="114935" distR="114935" simplePos="0" locked="0" layoutInCell="1" allowOverlap="1" relativeHeight="3">
            <wp:simplePos x="0" y="0"/>
            <wp:positionH relativeFrom="column">
              <wp:posOffset>146050</wp:posOffset>
            </wp:positionH>
            <wp:positionV relativeFrom="paragraph">
              <wp:posOffset>149225</wp:posOffset>
            </wp:positionV>
            <wp:extent cx="1797050" cy="445135"/>
            <wp:effectExtent l="0" t="0" r="0" b="0"/>
            <wp:wrapNone/>
            <wp:docPr id="1" name="图片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7" t="-70" r="-17" b="-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</w:rPr>
        <w:t xml:space="preserve">                      </w:t>
      </w:r>
    </w:p>
    <w:p>
      <w:pPr>
        <w:pStyle w:val="Normal"/>
        <w:jc w:val="center"/>
        <w:rPr>
          <w:rFonts w:ascii="华文彩云" w:hAnsi="华文彩云" w:eastAsia="华文彩云"/>
          <w:b/>
          <w:sz w:val="32"/>
          <w:szCs w:val="32"/>
        </w:rPr>
      </w:pPr>
      <w:r>
        <w:rPr>
          <w:rFonts w:eastAsia="华文彩云" w:ascii="华文彩云" w:hAnsi="华文彩云"/>
          <w:b/>
          <w:sz w:val="32"/>
          <w:szCs w:val="32"/>
        </w:rPr>
      </w:r>
    </w:p>
    <w:p>
      <w:pPr>
        <w:pStyle w:val="Normal"/>
        <w:jc w:val="center"/>
        <w:rPr>
          <w:rFonts w:ascii="华文彩云" w:hAnsi="华文彩云" w:eastAsia="华文彩云"/>
          <w:sz w:val="32"/>
          <w:szCs w:val="32"/>
        </w:rPr>
      </w:pPr>
      <w:r>
        <w:rPr>
          <w:rFonts w:eastAsia="华文彩云" w:ascii="华文彩云" w:hAnsi="华文彩云"/>
          <w:sz w:val="32"/>
          <w:szCs w:val="32"/>
        </w:rPr>
      </w:r>
    </w:p>
    <w:p>
      <w:pPr>
        <w:pStyle w:val="Normal"/>
        <w:jc w:val="center"/>
        <w:rPr>
          <w:rFonts w:ascii="华文彩云" w:hAnsi="华文彩云" w:eastAsia="华文彩云"/>
          <w:b/>
          <w:sz w:val="32"/>
          <w:szCs w:val="32"/>
          <w:lang w:val="en-US" w:eastAsia="en-US"/>
        </w:rPr>
      </w:pPr>
      <w:r>
        <w:rPr>
          <w:rFonts w:eastAsia="华文彩云" w:ascii="华文彩云" w:hAnsi="华文彩云"/>
          <w:b/>
          <w:sz w:val="32"/>
          <w:szCs w:val="32"/>
          <w:lang w:val="en-US" w:eastAsia="en-US"/>
        </w:rPr>
        <w:object w:dxaOrig="10261" w:dyaOrig="1095">
          <v:shapetype id="_x0000_tole_rId3" coordsize="21600,21600" o:spt="ole_rId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position:absolute;margin-left:111.9pt;margin-top:11.6pt;width:207pt;height:22.1pt;mso-wrap-distance-left:9.05pt;mso-wrap-distance-right:9.05pt;mso-position-horizontal-relative:text;mso-position-vertical-relative:text" filled="f" o:ole="">
            <v:imagedata r:id="rId4" o:title=""/>
          </v:shape>
          <o:OLEObject Type="Embed" ProgID="" ShapeID="ole_rId3" DrawAspect="Content" ObjectID="_105712960" r:id="rId3"/>
        </w:object>
      </w:r>
    </w:p>
    <w:p>
      <w:pPr>
        <w:pStyle w:val="Normal"/>
        <w:jc w:val="center"/>
        <w:rPr>
          <w:rFonts w:ascii="Arial" w:hAnsi="Arial" w:cs="Arial"/>
          <w:b/>
          <w:color w:val="000000"/>
          <w:kern w:val="0"/>
          <w:sz w:val="16"/>
          <w:szCs w:val="16"/>
        </w:rPr>
      </w:pPr>
      <w:r>
        <w:rPr>
          <w:rFonts w:cs="Arial" w:ascii="Arial" w:hAnsi="Arial"/>
          <w:b/>
          <w:color w:val="000000"/>
          <w:kern w:val="0"/>
          <w:sz w:val="16"/>
          <w:szCs w:val="16"/>
        </w:rPr>
        <w:t>Sichuan Top Vocational College of Information Technology</w:t>
      </w:r>
    </w:p>
    <w:p>
      <w:pPr>
        <w:pStyle w:val="Normal"/>
        <w:jc w:val="center"/>
        <w:rPr>
          <w:rFonts w:ascii="华文彩云" w:hAnsi="华文彩云" w:eastAsia="华文彩云" w:cs="Arial"/>
          <w:b/>
          <w:color w:val="000000"/>
          <w:kern w:val="0"/>
          <w:sz w:val="32"/>
          <w:szCs w:val="32"/>
        </w:rPr>
      </w:pPr>
      <w:r>
        <w:rPr>
          <w:rFonts w:eastAsia="华文彩云" w:cs="Arial" w:ascii="华文彩云" w:hAnsi="华文彩云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华文彩云" w:hAnsi="华文彩云"/>
          <w:shadow/>
          <w:w w:val="80"/>
          <w:sz w:val="84"/>
          <w:szCs w:val="84"/>
        </w:rPr>
      </w:pPr>
      <w:r>
        <w:rPr>
          <w:rFonts w:ascii="华文彩云" w:hAnsi="华文彩云" w:eastAsia="华文中宋"/>
          <w:shadow/>
          <w:w w:val="80"/>
          <w:sz w:val="84"/>
          <w:szCs w:val="84"/>
        </w:rPr>
        <w:t>期</w:t>
      </w:r>
      <w:r>
        <w:rPr>
          <w:rFonts w:ascii="华文彩云" w:hAnsi="华文彩云" w:cs="华文彩云" w:eastAsia="华文彩云"/>
          <w:shadow/>
          <w:w w:val="80"/>
          <w:sz w:val="84"/>
          <w:szCs w:val="84"/>
        </w:rPr>
        <w:t xml:space="preserve"> </w:t>
      </w:r>
      <w:r>
        <w:rPr>
          <w:rFonts w:ascii="华文彩云" w:hAnsi="华文彩云" w:eastAsia="华文中宋"/>
          <w:shadow/>
          <w:w w:val="80"/>
          <w:sz w:val="84"/>
          <w:szCs w:val="84"/>
        </w:rPr>
        <w:t>末</w:t>
      </w:r>
      <w:r>
        <w:rPr>
          <w:rFonts w:ascii="华文彩云" w:hAnsi="华文彩云" w:cs="华文彩云" w:eastAsia="华文彩云"/>
          <w:shadow/>
          <w:w w:val="80"/>
          <w:sz w:val="84"/>
          <w:szCs w:val="84"/>
        </w:rPr>
        <w:t xml:space="preserve"> </w:t>
      </w:r>
      <w:r>
        <w:rPr>
          <w:rFonts w:ascii="华文彩云" w:hAnsi="华文彩云" w:eastAsia="华文中宋"/>
          <w:shadow/>
          <w:w w:val="80"/>
          <w:sz w:val="84"/>
          <w:szCs w:val="84"/>
        </w:rPr>
        <w:t>考</w:t>
      </w:r>
      <w:r>
        <w:rPr>
          <w:rFonts w:ascii="华文彩云" w:hAnsi="华文彩云" w:cs="华文彩云" w:eastAsia="华文彩云"/>
          <w:shadow/>
          <w:w w:val="80"/>
          <w:sz w:val="84"/>
          <w:szCs w:val="84"/>
        </w:rPr>
        <w:t xml:space="preserve"> </w:t>
      </w:r>
      <w:r>
        <w:rPr>
          <w:rFonts w:ascii="华文彩云" w:hAnsi="华文彩云" w:eastAsia="华文中宋"/>
          <w:shadow/>
          <w:w w:val="80"/>
          <w:sz w:val="84"/>
          <w:szCs w:val="84"/>
        </w:rPr>
        <w:t>查</w:t>
      </w:r>
      <w:r>
        <w:rPr>
          <w:rFonts w:ascii="华文彩云" w:hAnsi="华文彩云" w:cs="华文彩云" w:eastAsia="华文彩云"/>
          <w:shadow/>
          <w:w w:val="80"/>
          <w:sz w:val="84"/>
          <w:szCs w:val="84"/>
        </w:rPr>
        <w:t xml:space="preserve"> </w:t>
      </w:r>
      <w:r>
        <w:rPr>
          <w:rFonts w:ascii="华文彩云" w:hAnsi="华文彩云" w:eastAsia="华文中宋"/>
          <w:shadow/>
          <w:w w:val="80"/>
          <w:sz w:val="84"/>
          <w:szCs w:val="84"/>
        </w:rPr>
        <w:t>报</w:t>
      </w:r>
      <w:r>
        <w:rPr>
          <w:rFonts w:ascii="华文彩云" w:hAnsi="华文彩云" w:cs="华文彩云" w:eastAsia="华文彩云"/>
          <w:shadow/>
          <w:w w:val="80"/>
          <w:sz w:val="84"/>
          <w:szCs w:val="84"/>
        </w:rPr>
        <w:t xml:space="preserve"> </w:t>
      </w:r>
      <w:r>
        <w:rPr>
          <w:rFonts w:ascii="华文彩云" w:hAnsi="华文彩云" w:eastAsia="华文中宋"/>
          <w:shadow/>
          <w:w w:val="80"/>
          <w:sz w:val="84"/>
          <w:szCs w:val="84"/>
        </w:rPr>
        <w:t>告</w:t>
      </w:r>
    </w:p>
    <w:p>
      <w:pPr>
        <w:pStyle w:val="Normal"/>
        <w:jc w:val="center"/>
        <w:rPr>
          <w:rFonts w:ascii="华文彩云" w:hAnsi="华文彩云" w:eastAsia="华文彩云"/>
          <w:shadow/>
          <w:w w:val="80"/>
          <w:sz w:val="30"/>
          <w:szCs w:val="30"/>
        </w:rPr>
      </w:pPr>
      <w:r>
        <w:rPr>
          <w:rFonts w:eastAsia="华文彩云" w:ascii="华文彩云" w:hAnsi="华文彩云"/>
          <w:shadow/>
          <w:w w:val="80"/>
          <w:sz w:val="30"/>
          <w:szCs w:val="30"/>
        </w:rPr>
      </w:r>
    </w:p>
    <w:p>
      <w:pPr>
        <w:pStyle w:val="Normal"/>
        <w:jc w:val="center"/>
        <w:rPr>
          <w:rFonts w:ascii="华文彩云" w:hAnsi="华文彩云" w:eastAsia="华文彩云"/>
          <w:sz w:val="24"/>
          <w:szCs w:val="30"/>
        </w:rPr>
      </w:pPr>
      <w:r>
        <w:rPr>
          <w:rFonts w:eastAsia="华文彩云" w:ascii="华文彩云" w:hAnsi="华文彩云"/>
          <w:sz w:val="24"/>
          <w:szCs w:val="30"/>
        </w:rPr>
      </w:r>
    </w:p>
    <w:p>
      <w:pPr>
        <w:pStyle w:val="Normal"/>
        <w:spacing w:lineRule="auto" w:line="600"/>
        <w:ind w:firstLine="2833" w:right="0"/>
        <w:rPr>
          <w:b/>
          <w:sz w:val="24"/>
        </w:rPr>
      </w:pPr>
      <w:r>
        <w:rPr>
          <w:rFonts w:ascii="宋体" w:hAnsi="宋体" w:eastAsia="宋体"/>
          <w:b w:val="0"/>
          <w:sz w:val="24"/>
        </w:rPr>
        <w:t>姓    名： _____________</w:t>
      </w:r>
    </w:p>
    <w:p>
      <w:pPr>
        <w:pStyle w:val="Normal"/>
        <w:spacing w:lineRule="auto" w:line="600"/>
        <w:jc w:val="center"/>
        <w:rPr>
          <w:b/>
          <w:sz w:val="24"/>
        </w:rPr>
      </w:pPr>
      <w:r>
        <w:rPr>
          <w:rFonts w:ascii="宋体" w:hAnsi="宋体" w:eastAsia="宋体"/>
          <w:b w:val="0"/>
          <w:sz w:val="24"/>
        </w:rPr>
        <w:t>学    号： ______________</w:t>
      </w:r>
    </w:p>
    <w:p>
      <w:pPr>
        <w:pStyle w:val="Normal"/>
        <w:spacing w:lineRule="auto" w:line="600"/>
        <w:jc w:val="center"/>
        <w:rPr>
          <w:b/>
          <w:sz w:val="24"/>
        </w:rPr>
      </w:pPr>
      <w:r>
        <w:rPr>
          <w:rFonts w:ascii="宋体" w:hAnsi="宋体" w:eastAsia="宋体"/>
          <w:b w:val="0"/>
          <w:sz w:val="24"/>
        </w:rPr>
        <w:t>学    院： 信息工程学院</w:t>
      </w:r>
    </w:p>
    <w:p>
      <w:pPr>
        <w:pStyle w:val="Normal"/>
        <w:spacing w:lineRule="auto" w:line="600"/>
        <w:jc w:val="center"/>
        <w:rPr>
          <w:b/>
          <w:sz w:val="24"/>
        </w:rPr>
      </w:pPr>
      <w:r>
        <w:rPr>
          <w:rFonts w:ascii="宋体" w:hAnsi="宋体" w:eastAsia="宋体"/>
          <w:b w:val="0"/>
          <w:sz w:val="24"/>
        </w:rPr>
        <w:t>专    业： 软件技术</w:t>
      </w:r>
    </w:p>
    <w:p>
      <w:pPr>
        <w:pStyle w:val="Normal"/>
        <w:spacing w:lineRule="auto" w:line="600"/>
        <w:jc w:val="center"/>
        <w:rPr>
          <w:b/>
          <w:sz w:val="24"/>
        </w:rPr>
      </w:pPr>
      <w:r>
        <w:rPr>
          <w:rFonts w:ascii="宋体" w:hAnsi="宋体" w:eastAsia="宋体"/>
          <w:b w:val="0"/>
          <w:sz w:val="24"/>
        </w:rPr>
        <w:t>年    级： ______________</w:t>
      </w:r>
    </w:p>
    <w:p>
      <w:pPr>
        <w:pStyle w:val="Normal"/>
        <w:spacing w:lineRule="auto" w:line="600"/>
        <w:jc w:val="center"/>
        <w:rPr>
          <w:b/>
          <w:sz w:val="24"/>
        </w:rPr>
      </w:pPr>
      <w:r>
        <w:rPr>
          <w:rFonts w:ascii="宋体" w:hAnsi="宋体" w:eastAsia="宋体"/>
          <w:b w:val="0"/>
          <w:sz w:val="24"/>
        </w:rPr>
        <w:t>班    级： ______________</w:t>
      </w:r>
    </w:p>
    <w:p>
      <w:pPr>
        <w:pStyle w:val="Normal"/>
        <w:tabs>
          <w:tab w:val="clear" w:pos="420"/>
          <w:tab w:val="left" w:pos="3000" w:leader="none"/>
          <w:tab w:val="center" w:pos="4309" w:leader="none"/>
        </w:tabs>
        <w:spacing w:lineRule="auto" w:line="600"/>
        <w:jc w:val="center"/>
        <w:rPr>
          <w:b/>
          <w:sz w:val="24"/>
        </w:rPr>
      </w:pPr>
      <w:r>
        <w:rPr>
          <w:rFonts w:ascii="宋体" w:hAnsi="宋体" w:eastAsia="宋体"/>
          <w:b w:val="0"/>
          <w:sz w:val="24"/>
        </w:rPr>
        <w:t>指导教师： ______________</w:t>
      </w:r>
    </w:p>
    <w:p>
      <w:pPr>
        <w:pStyle w:val="Normal"/>
        <w:snapToGrid w:val="false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napToGrid w:val="false"/>
        <w:jc w:val="center"/>
        <w:rPr/>
      </w:pPr>
      <w:r>
        <w:rPr>
          <w:rFonts w:eastAsia="Times New Roman"/>
          <w:b/>
          <w:sz w:val="24"/>
        </w:rPr>
        <w:t xml:space="preserve">      </w:t>
      </w:r>
      <w:r>
        <w:rPr>
          <w:b/>
          <w:sz w:val="24"/>
        </w:rPr>
        <w:t>2026</w:t>
      </w:r>
      <w:r>
        <w:rPr>
          <w:b/>
          <w:sz w:val="24"/>
        </w:rPr>
        <w:t>年</w:t>
      </w:r>
      <w:r>
        <w:rPr>
          <w:b/>
          <w:sz w:val="24"/>
        </w:rPr>
        <w:t>6</w:t>
      </w:r>
      <w:r>
        <w:rPr>
          <w:b/>
          <w:sz w:val="24"/>
        </w:rPr>
        <w:t>月</w:t>
      </w:r>
      <w:r>
        <w:rPr>
          <w:b/>
          <w:sz w:val="24"/>
        </w:rPr>
        <w:t>8</w:t>
      </w:r>
      <w:r>
        <w:rPr>
          <w:b/>
          <w:sz w:val="24"/>
        </w:rPr>
        <w:t>日</w:t>
      </w:r>
      <w:r>
        <w:rPr>
          <w:rFonts w:eastAsia="Times New Roman"/>
          <w:b/>
          <w:sz w:val="24"/>
        </w:rPr>
        <w:t xml:space="preserve"> </w:t>
      </w:r>
      <w:r>
        <w:rPr>
          <w:b/>
          <w:sz w:val="24"/>
        </w:rPr>
        <w:t>至</w:t>
      </w:r>
      <w:r>
        <w:rPr>
          <w:rFonts w:eastAsia="Times New Roman"/>
          <w:b/>
          <w:sz w:val="24"/>
        </w:rPr>
        <w:t xml:space="preserve">   </w:t>
      </w:r>
      <w:r>
        <w:rPr>
          <w:b/>
          <w:sz w:val="24"/>
        </w:rPr>
        <w:t>2026</w:t>
      </w:r>
      <w:r>
        <w:rPr>
          <w:b/>
          <w:sz w:val="24"/>
        </w:rPr>
        <w:t>年</w:t>
      </w:r>
      <w:r>
        <w:rPr>
          <w:b/>
          <w:sz w:val="24"/>
        </w:rPr>
        <w:t>6</w:t>
      </w:r>
      <w:r>
        <w:rPr>
          <w:b/>
          <w:sz w:val="24"/>
        </w:rPr>
        <w:t>月</w:t>
      </w:r>
      <w:r>
        <w:rPr>
          <w:b/>
          <w:sz w:val="24"/>
        </w:rPr>
        <w:t>26</w:t>
      </w:r>
      <w:r>
        <w:rPr>
          <w:b/>
          <w:sz w:val="24"/>
        </w:rPr>
        <w:t>日</w:t>
      </w:r>
    </w:p>
    <w:p>
      <w:pPr>
        <w:sectPr>
          <w:type w:val="nextPage"/>
          <w:pgSz w:w="11055" w:h="15120"/>
          <w:pgMar w:left="1021" w:right="1418" w:gutter="0" w:header="0" w:top="1134" w:footer="0" w:bottom="1134"/>
          <w:pgNumType w:fmt="decimal"/>
          <w:formProt w:val="false"/>
          <w:textDirection w:val="lrTb"/>
          <w:docGrid w:type="lines" w:linePitch="312" w:charSpace="0"/>
        </w:sectPr>
        <w:pStyle w:val="Normal"/>
        <w:snapToGrid w:val="false"/>
        <w:rPr>
          <w:b/>
          <w:sz w:val="14"/>
          <w:szCs w:val="18"/>
        </w:rPr>
      </w:pPr>
      <w:r>
        <w:rPr>
          <w:b/>
          <w:sz w:val="14"/>
          <w:szCs w:val="18"/>
        </w:rPr>
      </w:r>
    </w:p>
    <w:tbl>
      <w:tblPr>
        <w:tblW w:w="86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6548"/>
      </w:tblGrid>
      <w:tr>
        <w:trPr>
          <w:trHeight w:val="851" w:hRule="atLeast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  <w:t>所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在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单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位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5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u w:val="single"/>
              </w:rPr>
              <w:t xml:space="preserve">__ </w:t>
            </w:r>
            <w:r>
              <w:rPr>
                <w:b/>
                <w:sz w:val="24"/>
                <w:u w:val="single"/>
              </w:rPr>
              <w:t xml:space="preserve">       </w:t>
            </w:r>
            <w:r>
              <w:rPr>
                <w:b/>
                <w:sz w:val="24"/>
                <w:u w:val="single"/>
              </w:rPr>
              <w:t xml:space="preserve"> _</w:t>
            </w:r>
            <w:r>
              <w:rPr>
                <w:b/>
                <w:sz w:val="24"/>
                <w:u w:val="single"/>
              </w:rPr>
              <w:t>级</w:t>
            </w:r>
            <w:r>
              <w:rPr>
                <w:rFonts w:eastAsia="Times New Roman"/>
                <w:b/>
                <w:sz w:val="24"/>
                <w:u w:val="single"/>
              </w:rPr>
              <w:t xml:space="preserve">     </w:t>
            </w:r>
            <w:r>
              <w:rPr>
                <w:b/>
                <w:sz w:val="24"/>
                <w:u w:val="single"/>
              </w:rPr>
              <w:t>　</w:t>
            </w:r>
            <w:r>
              <w:rPr>
                <w:rFonts w:eastAsia="Times New Roman"/>
                <w:b/>
                <w:sz w:val="24"/>
                <w:u w:val="single"/>
              </w:rPr>
              <w:t xml:space="preserve">    </w:t>
            </w:r>
            <w:r>
              <w:rPr>
                <w:b/>
                <w:sz w:val="24"/>
                <w:u w:val="single"/>
              </w:rPr>
              <w:t>学院　</w:t>
            </w:r>
            <w:r>
              <w:rPr>
                <w:rFonts w:eastAsia="Times New Roman"/>
                <w:b/>
                <w:sz w:val="24"/>
                <w:u w:val="single"/>
              </w:rPr>
              <w:t xml:space="preserve">   </w:t>
            </w:r>
            <w:r>
              <w:rPr>
                <w:b/>
                <w:sz w:val="24"/>
                <w:u w:val="single"/>
              </w:rPr>
              <w:t>　</w:t>
            </w:r>
            <w:r>
              <w:rPr>
                <w:rFonts w:eastAsia="Times New Roman"/>
                <w:b/>
                <w:sz w:val="24"/>
                <w:u w:val="single"/>
              </w:rPr>
              <w:t xml:space="preserve">     </w:t>
            </w:r>
            <w:r>
              <w:rPr>
                <w:b/>
                <w:sz w:val="24"/>
                <w:u w:val="single"/>
              </w:rPr>
              <w:t>专业</w:t>
            </w:r>
            <w:r>
              <w:rPr>
                <w:rFonts w:eastAsia="Times New Roman"/>
                <w:b/>
                <w:sz w:val="24"/>
                <w:u w:val="single"/>
              </w:rPr>
              <w:t xml:space="preserve">    </w:t>
            </w:r>
            <w:r>
              <w:rPr>
                <w:b/>
                <w:sz w:val="24"/>
                <w:u w:val="single"/>
              </w:rPr>
              <w:t>班</w:t>
            </w:r>
          </w:p>
        </w:tc>
      </w:tr>
      <w:tr>
        <w:trPr>
          <w:trHeight w:val="851" w:hRule="atLeast"/>
        </w:trPr>
        <w:tc>
          <w:tcPr>
            <w:tcW w:w="8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项目名称：药品销售数据处理与分析</w:t>
            </w:r>
          </w:p>
        </w:tc>
      </w:tr>
      <w:tr>
        <w:trPr>
          <w:trHeight w:val="2484" w:hRule="atLeast"/>
        </w:trPr>
        <w:tc>
          <w:tcPr>
            <w:tcW w:w="8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项目目的：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22"/>
              </w:rPr>
              <w:t>1. 掌握使用 Pandas 读取本地 Excel 数据的方法。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22"/>
              </w:rPr>
              <w:t>2. 能够查看数据结构、字段类型、缺失值和重复值情况。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22"/>
              </w:rPr>
              <w:t>3. 能够对销售时间、销售数量、应收金额和实收金额等字段进行规范化处理。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22"/>
              </w:rPr>
              <w:t>4. 能够识别并处理缺失值、无效日期、负数销售等异常数据。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22"/>
              </w:rPr>
              <w:t>5. 能够使用分组聚合完成月度、星期、商品维度的销售统计。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22"/>
              </w:rPr>
              <w:t>6. 能够使用 Matplotlib/Seaborn 生成可读的分析图表。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22"/>
              </w:rPr>
              <w:t>7. 能够将分析过程、结果和代码思路整理成报告和答辩材料。</w:t>
            </w:r>
          </w:p>
        </w:tc>
      </w:tr>
      <w:tr>
        <w:trPr>
          <w:trHeight w:val="3096" w:hRule="atLeast"/>
        </w:trPr>
        <w:tc>
          <w:tcPr>
            <w:tcW w:w="8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项目内容及要求：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22"/>
              </w:rPr>
              <w:t>利用 Python（Pandas、NumPy、Matplotlib、Seaborn）完成药品销售数据的加载、处理与分析，覆盖评分标准中的数据加载、数据概览、数据处理和数据分析各项要求，并形成可用于答辩的报告与图表。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项目过程（按评分标准逐项说明）：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22"/>
              </w:rPr>
              <w:t>下面对照《评分标准》逐项说明，每一项给出评分要求、实现方式和运行结果。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（一）数据加载（5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评分要求：</w:t>
            </w:r>
            <w:r>
              <w:rPr>
                <w:rFonts w:ascii="宋体" w:hAnsi="宋体" w:eastAsia="宋体"/>
                <w:b w:val="0"/>
                <w:sz w:val="22"/>
              </w:rPr>
              <w:t>采用合适的方法把本地文件中的数据加载至 Python 环境。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实现方式：</w:t>
            </w:r>
            <w:r>
              <w:rPr>
                <w:rFonts w:ascii="宋体" w:hAnsi="宋体" w:eastAsia="宋体"/>
                <w:b w:val="0"/>
                <w:sz w:val="22"/>
              </w:rPr>
              <w:t>data_loading.py 的 load_sales_data() 使用 pandas.read_excel() 读取 exam-materials/data/药品销售数据.xlsx，并在加载后校验必要字段是否齐全，文件或字段缺失时直接抛出清晰错误。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运行结果：</w:t>
            </w:r>
            <w:r>
              <w:rPr>
                <w:rFonts w:ascii="宋体" w:hAnsi="宋体" w:eastAsia="宋体"/>
                <w:b w:val="0"/>
                <w:sz w:val="22"/>
              </w:rPr>
              <w:t>成功读取原始数据 6578 行、8 列。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（二）数据概览（5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1. 正确查看数据基本信息（3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评分要求：</w:t>
            </w:r>
            <w:r>
              <w:rPr>
                <w:rFonts w:ascii="宋体" w:hAnsi="宋体" w:eastAsia="宋体"/>
                <w:b w:val="0"/>
                <w:sz w:val="22"/>
              </w:rPr>
              <w:t>正确查看数据基本信息。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实现方式：</w:t>
            </w:r>
            <w:r>
              <w:rPr>
                <w:rFonts w:ascii="宋体" w:hAnsi="宋体" w:eastAsia="宋体"/>
                <w:b w:val="0"/>
                <w:sz w:val="22"/>
              </w:rPr>
              <w:t>data_overview.py 的 inspect_raw_data() 输出行列数、字段列表、字段类型、缺失值数量和重复值数量。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运行结果：</w:t>
            </w:r>
            <w:r>
              <w:rPr>
                <w:rFonts w:ascii="宋体" w:hAnsi="宋体" w:eastAsia="宋体"/>
                <w:b w:val="0"/>
                <w:sz w:val="22"/>
              </w:rPr>
              <w:t>确认数据规模为 6578 行 × 8 列，原始重复行数量为 0；购药时间、社保卡号、星期各缺失 2 条，其余关键字段各缺失 1 条。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2. 修正列名（2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评分要求：</w:t>
            </w:r>
            <w:r>
              <w:rPr>
                <w:rFonts w:ascii="宋体" w:hAnsi="宋体" w:eastAsia="宋体"/>
                <w:b w:val="0"/>
                <w:sz w:val="22"/>
              </w:rPr>
              <w:t>修正列名。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实现方式：</w:t>
            </w:r>
            <w:r>
              <w:rPr>
                <w:rFonts w:ascii="宋体" w:hAnsi="宋体" w:eastAsia="宋体"/>
                <w:b w:val="0"/>
                <w:sz w:val="22"/>
              </w:rPr>
              <w:t>data_overview.py 的 rename_sales_time() 将原始列名“购药时间”修正为“销售时间”，并保留“源数据行号”便于在异常记录表中追溯原始 Excel 行。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运行结果：</w:t>
            </w:r>
            <w:r>
              <w:rPr>
                <w:rFonts w:ascii="宋体" w:hAnsi="宋体" w:eastAsia="宋体"/>
                <w:b w:val="0"/>
                <w:sz w:val="22"/>
              </w:rPr>
              <w:t>列名由“购药时间”统一为“销售时间”，后续时间相关处理均基于该列。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（三）数据处理（30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1. 重复值处理（5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评分要求：</w:t>
            </w:r>
            <w:r>
              <w:rPr>
                <w:rFonts w:ascii="宋体" w:hAnsi="宋体" w:eastAsia="宋体"/>
                <w:b w:val="0"/>
                <w:sz w:val="22"/>
              </w:rPr>
              <w:t>重复值处理。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实现方式：</w:t>
            </w:r>
            <w:r>
              <w:rPr>
                <w:rFonts w:ascii="宋体" w:hAnsi="宋体" w:eastAsia="宋体"/>
                <w:b w:val="0"/>
                <w:sz w:val="22"/>
              </w:rPr>
              <w:t>data_cleaning.py 基于销售时间、社保卡号、商品编码、商品名称、销售数量、应收金额、实收金额、星期这一组业务字段检测并删除重复记录。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运行结果：</w:t>
            </w:r>
            <w:r>
              <w:rPr>
                <w:rFonts w:ascii="宋体" w:hAnsi="宋体" w:eastAsia="宋体"/>
                <w:b w:val="0"/>
                <w:sz w:val="22"/>
              </w:rPr>
              <w:t>本次数据中重复记录为 0 行，无需删除。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2. 缺失值处理（5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评分要求：</w:t>
            </w:r>
            <w:r>
              <w:rPr>
                <w:rFonts w:ascii="宋体" w:hAnsi="宋体" w:eastAsia="宋体"/>
                <w:b w:val="0"/>
                <w:sz w:val="22"/>
              </w:rPr>
              <w:t>缺失值处理。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实现方式：</w:t>
            </w:r>
            <w:r>
              <w:rPr>
                <w:rFonts w:ascii="宋体" w:hAnsi="宋体" w:eastAsia="宋体"/>
                <w:b w:val="0"/>
                <w:sz w:val="22"/>
              </w:rPr>
              <w:t>对分析必需字段（销售时间、商品名称、销售数量、应收金额、实收金额）缺失的记录予以剔除；对不影响销售统计的社保卡号缺失记录，用“未知社保卡”标记保留。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运行结果：</w:t>
            </w:r>
            <w:r>
              <w:rPr>
                <w:rFonts w:ascii="宋体" w:hAnsi="宋体" w:eastAsia="宋体"/>
                <w:b w:val="0"/>
                <w:sz w:val="22"/>
              </w:rPr>
              <w:t>必需字段缺失的记录被剔除（计入异常值处理的剔除总量），社保卡号缺失的记录保留并标记。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3. 异常值处理（20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22"/>
              </w:rPr>
              <w:t>本项 20 分由四个子项构成：销售数据类型统一为整型（5 分）、销售时间类型统一为 DateTime 类型（5 分）、检测异常值（5 分）、处理异常值（5 分）。其中两项类型统一是异常值检测的前置步骤——只有先把字段转为正确类型，才能准确判断数量/金额是否为非正值、日期是否有效。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(1) 销售数据类型统一为整型（5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评分要求：</w:t>
            </w:r>
            <w:r>
              <w:rPr>
                <w:rFonts w:ascii="宋体" w:hAnsi="宋体" w:eastAsia="宋体"/>
                <w:b w:val="0"/>
                <w:sz w:val="22"/>
              </w:rPr>
              <w:t>销售数据类型统一为整型。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实现方式：</w:t>
            </w:r>
            <w:r>
              <w:rPr>
                <w:rFonts w:ascii="宋体" w:hAnsi="宋体" w:eastAsia="宋体"/>
                <w:b w:val="0"/>
                <w:sz w:val="22"/>
              </w:rPr>
              <w:t>data_cleaning.py 将销售数量转换为整型，应收金额、实收金额转换为数值类型，保证金额可参与求和与均值计算。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运行结果：</w:t>
            </w:r>
            <w:r>
              <w:rPr>
                <w:rFonts w:ascii="宋体" w:hAnsi="宋体" w:eastAsia="宋体"/>
                <w:b w:val="0"/>
                <w:sz w:val="22"/>
              </w:rPr>
              <w:t>销售数量统一为整型，金额字段统一为数值类型。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(2) 销售时间类型统一为 DateTime 类型（5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评分要求：</w:t>
            </w:r>
            <w:r>
              <w:rPr>
                <w:rFonts w:ascii="宋体" w:hAnsi="宋体" w:eastAsia="宋体"/>
                <w:b w:val="0"/>
                <w:sz w:val="22"/>
              </w:rPr>
              <w:t>销售时间类型统一为 DateTime 类型。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实现方式：</w:t>
            </w:r>
            <w:r>
              <w:rPr>
                <w:rFonts w:ascii="宋体" w:hAnsi="宋体" w:eastAsia="宋体"/>
                <w:b w:val="0"/>
                <w:sz w:val="22"/>
              </w:rPr>
              <w:t>data_cleaning.py 使用 pandas.to_datetime() 将销售时间转换为 DateTime 类型；星期不直接采用原始列，而是根据标准化后的销售时间重新计算，避免 2022-02-29 这类错误星期值影响统计。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运行结果：</w:t>
            </w:r>
            <w:r>
              <w:rPr>
                <w:rFonts w:ascii="宋体" w:hAnsi="宋体" w:eastAsia="宋体"/>
                <w:b w:val="0"/>
                <w:sz w:val="22"/>
              </w:rPr>
              <w:t>销售时间统一为 DateTime 类型，无效日期可被识别；星期由销售时间重算。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(3) 检测异常值（5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评分要求：</w:t>
            </w:r>
            <w:r>
              <w:rPr>
                <w:rFonts w:ascii="宋体" w:hAnsi="宋体" w:eastAsia="宋体"/>
                <w:b w:val="0"/>
                <w:sz w:val="22"/>
              </w:rPr>
              <w:t>检测异常值。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实现方式：</w:t>
            </w:r>
            <w:r>
              <w:rPr>
                <w:rFonts w:ascii="宋体" w:hAnsi="宋体" w:eastAsia="宋体"/>
                <w:b w:val="0"/>
                <w:sz w:val="22"/>
              </w:rPr>
              <w:t>分两类检测：确定错误（无效日期、关键字段缺失、销售数量或金额小于等于 0）；统计异常（使用 IQR 四分位距方法标记大额或大数量记录）。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运行结果：</w:t>
            </w:r>
            <w:r>
              <w:rPr>
                <w:rFonts w:ascii="宋体" w:hAnsi="宋体" w:eastAsia="宋体"/>
                <w:b w:val="0"/>
                <w:sz w:val="22"/>
              </w:rPr>
              <w:t>IQR 统计异常共标记 2012 条，已输出到 generated/tables/anomaly_rows.csv 供复核。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(4) 处理异常值（5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评分要求：</w:t>
            </w:r>
            <w:r>
              <w:rPr>
                <w:rFonts w:ascii="宋体" w:hAnsi="宋体" w:eastAsia="宋体"/>
                <w:b w:val="0"/>
                <w:sz w:val="22"/>
              </w:rPr>
              <w:t>处理异常值。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实现方式：</w:t>
            </w:r>
            <w:r>
              <w:rPr>
                <w:rFonts w:ascii="宋体" w:hAnsi="宋体" w:eastAsia="宋体"/>
                <w:b w:val="0"/>
                <w:sz w:val="22"/>
              </w:rPr>
              <w:t>确定错误记录予以剔除；IQR 统计异常的大额/大数量记录保留复核，因为医药销售中可能存在真实批量购买，不能只因数值大就删除。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运行结果：</w:t>
            </w:r>
            <w:r>
              <w:rPr>
                <w:rFonts w:ascii="宋体" w:hAnsi="宋体" w:eastAsia="宋体"/>
                <w:b w:val="0"/>
                <w:sz w:val="22"/>
              </w:rPr>
              <w:t>最终剔除确定错误记录 68 行，清洗后保留 6510 行有效数据；统计异常的 2012 条不直接删除，而是输出异常表供复核。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（四）数据分析（30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1. 将数据按销售时间排序并重置行索引（5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评分要求：</w:t>
            </w:r>
            <w:r>
              <w:rPr>
                <w:rFonts w:ascii="宋体" w:hAnsi="宋体" w:eastAsia="宋体"/>
                <w:b w:val="0"/>
                <w:sz w:val="22"/>
              </w:rPr>
              <w:t>将数据按照销售时间进行排序，排序之后重置行索引。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实现方式：</w:t>
            </w:r>
            <w:r>
              <w:rPr>
                <w:rFonts w:ascii="宋体" w:hAnsi="宋体" w:eastAsia="宋体"/>
                <w:b w:val="0"/>
                <w:sz w:val="22"/>
              </w:rPr>
              <w:t>data_cleaning.py 将清洗后的数据按销售时间从小到大排序，并重置行索引（reset_index）。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运行结果：</w:t>
            </w:r>
            <w:r>
              <w:rPr>
                <w:rFonts w:ascii="宋体" w:hAnsi="宋体" w:eastAsia="宋体"/>
                <w:b w:val="0"/>
                <w:sz w:val="22"/>
              </w:rPr>
              <w:t>数据按销售时间升序排列、行索引连续，分析时间范围为 2022-01-01 至 2022-07-19。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2. 计算月均销售金额（5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评分要求：</w:t>
            </w:r>
            <w:r>
              <w:rPr>
                <w:rFonts w:ascii="宋体" w:hAnsi="宋体" w:eastAsia="宋体"/>
                <w:b w:val="0"/>
                <w:sz w:val="22"/>
              </w:rPr>
              <w:t>计算月均销售金额。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实现方式：</w:t>
            </w:r>
            <w:r>
              <w:rPr>
                <w:rFonts w:ascii="宋体" w:hAnsi="宋体" w:eastAsia="宋体"/>
                <w:b w:val="0"/>
                <w:sz w:val="22"/>
              </w:rPr>
              <w:t>monthly_sales.py 按月份对实收金额进行分组聚合，并计算月均实收金额。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运行结果：</w:t>
            </w:r>
            <w:r>
              <w:rPr>
                <w:rFonts w:ascii="宋体" w:hAnsi="宋体" w:eastAsia="宋体"/>
                <w:b w:val="0"/>
                <w:sz w:val="22"/>
              </w:rPr>
              <w:t>各月份销售统计如下表，月均实收金额为 43434.98 元，其中 2022-01 的实收金额最高，为 49461.19 元。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2156"/>
              <w:gridCol w:w="2156"/>
              <w:gridCol w:w="2156"/>
              <w:gridCol w:w="2156"/>
            </w:tblGrid>
            <w:tr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月份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订单数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销售数量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实收金额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2022-01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1055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2527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49461.19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2022-02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742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1858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38790.38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2022-03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990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2225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41597.51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2022-04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1235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3012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48822.56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2022-05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952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2225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46925.27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2022-06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909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2328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48327.70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2022-07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627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1483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30120.22</w:t>
                  </w:r>
                </w:p>
              </w:tc>
            </w:tr>
          </w:tbl>
          <w:p/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3. 绘制销售时间与实收金额的关系（5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评分要求：</w:t>
            </w:r>
            <w:r>
              <w:rPr>
                <w:rFonts w:ascii="宋体" w:hAnsi="宋体" w:eastAsia="宋体"/>
                <w:b w:val="0"/>
                <w:sz w:val="22"/>
              </w:rPr>
              <w:t>绘制销售时间与实收金额的关系。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实现方式：</w:t>
            </w:r>
            <w:r>
              <w:rPr>
                <w:rFonts w:ascii="宋体" w:hAnsi="宋体" w:eastAsia="宋体"/>
                <w:b w:val="0"/>
                <w:sz w:val="22"/>
              </w:rPr>
              <w:t>time_actual_relationship.py 汇总每日实收金额并生成销售时间与实收金额关系图。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运行结果：</w:t>
            </w:r>
            <w:r>
              <w:rPr>
                <w:rFonts w:ascii="宋体" w:hAnsi="宋体" w:eastAsia="宋体"/>
                <w:b w:val="0"/>
                <w:sz w:val="22"/>
              </w:rPr>
              <w:t>每日实收金额波动明显，部分日期存在高峰；高峰通常与大额或批量购药记录有关，因此在清洗中作为统计异常保留复核，未直接删除。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图 1 销售时间与每日实收金额关系</w:t>
            </w:r>
          </w:p>
          <w:p>
            <w:pPr>
              <w:jc w:val="center"/>
            </w:pPr>
            <w:r>
              <w:drawing>
                <wp:inline xmlns:a="http://schemas.openxmlformats.org/drawingml/2006/main">
                  <wp:extent cx="5120640" cy="25603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es_time_actual_amoun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4. 根据星期分组统计销售数量、应收和实收金额（5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评分要求：</w:t>
            </w:r>
            <w:r>
              <w:rPr>
                <w:rFonts w:ascii="宋体" w:hAnsi="宋体" w:eastAsia="宋体"/>
                <w:b w:val="0"/>
                <w:sz w:val="22"/>
              </w:rPr>
              <w:t>根据星期分组，统计每星期销售数量、应收和实收金额的关系。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实现方式：</w:t>
            </w:r>
            <w:r>
              <w:rPr>
                <w:rFonts w:ascii="宋体" w:hAnsi="宋体" w:eastAsia="宋体"/>
                <w:b w:val="0"/>
                <w:sz w:val="22"/>
              </w:rPr>
              <w:t>weekday_sales.py 按星期（由销售时间重算）分组，统计订单数、销售数量、应收金额和实收金额，并生成星期统计图。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运行结果：</w:t>
            </w:r>
            <w:r>
              <w:rPr>
                <w:rFonts w:ascii="宋体" w:hAnsi="宋体" w:eastAsia="宋体"/>
                <w:b w:val="0"/>
                <w:sz w:val="22"/>
              </w:rPr>
              <w:t>各星期销售统计如下表，星期五的订单数、销售数量、应收金额和实收金额均较高，是一周中销售表现最突出的日期。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725"/>
              <w:gridCol w:w="1725"/>
              <w:gridCol w:w="1725"/>
              <w:gridCol w:w="1725"/>
              <w:gridCol w:w="1725"/>
            </w:tblGrid>
            <w:tr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星期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订单数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销售数量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应收金额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实收金额</w:t>
                  </w:r>
                </w:p>
              </w:tc>
            </w:tr>
            <w:tr>
              <w:tc>
                <w:tcPr>
                  <w:tcW w:type="dxa" w:w="1725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星期一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778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1847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41265.10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38123.47</w:t>
                  </w:r>
                </w:p>
              </w:tc>
            </w:tr>
            <w:tr>
              <w:tc>
                <w:tcPr>
                  <w:tcW w:type="dxa" w:w="1725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星期二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976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2315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45814.40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41934.47</w:t>
                  </w:r>
                </w:p>
              </w:tc>
            </w:tr>
            <w:tr>
              <w:tc>
                <w:tcPr>
                  <w:tcW w:type="dxa" w:w="1725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星期三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961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2373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49218.30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45466.81</w:t>
                  </w:r>
                </w:p>
              </w:tc>
            </w:tr>
            <w:tr>
              <w:tc>
                <w:tcPr>
                  <w:tcW w:type="dxa" w:w="1725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星期四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692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1718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37885.30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35187.31</w:t>
                  </w:r>
                </w:p>
              </w:tc>
            </w:tr>
            <w:tr>
              <w:tc>
                <w:tcPr>
                  <w:tcW w:type="dxa" w:w="1725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星期五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1160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2831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56446.30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51284.66</w:t>
                  </w:r>
                </w:p>
              </w:tc>
            </w:tr>
            <w:tr>
              <w:tc>
                <w:tcPr>
                  <w:tcW w:type="dxa" w:w="1725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星期六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1028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2472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53786.70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48510.65</w:t>
                  </w:r>
                </w:p>
              </w:tc>
            </w:tr>
            <w:tr>
              <w:tc>
                <w:tcPr>
                  <w:tcW w:type="dxa" w:w="1725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星期日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915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2102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46960.00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43537.46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图 2 星期分组销售统计</w:t>
            </w:r>
          </w:p>
          <w:p>
            <w:pPr>
              <w:jc w:val="center"/>
            </w:pPr>
            <w:r>
              <w:drawing>
                <wp:inline xmlns:a="http://schemas.openxmlformats.org/drawingml/2006/main">
                  <wp:extent cx="5120640" cy="281635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ekday_sales_summar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816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5. 销售数量前十位药品（10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评分要求：</w:t>
            </w:r>
            <w:r>
              <w:rPr>
                <w:rFonts w:ascii="宋体" w:hAnsi="宋体" w:eastAsia="宋体"/>
                <w:b w:val="0"/>
                <w:sz w:val="22"/>
              </w:rPr>
              <w:t>根据商品名称分组，统计销售数量前十位的药品，绘制销售数量前十位的药品名称的销售数量关系。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实现方式：</w:t>
            </w:r>
            <w:r>
              <w:rPr>
                <w:rFonts w:ascii="宋体" w:hAnsi="宋体" w:eastAsia="宋体"/>
                <w:b w:val="0"/>
                <w:sz w:val="22"/>
              </w:rPr>
              <w:t>top_products.py 按商品名称分组统计销售数量，取前十位药品并生成 Top 10 图表。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运行结果：</w:t>
            </w:r>
            <w:r>
              <w:rPr>
                <w:rFonts w:ascii="宋体" w:hAnsi="宋体" w:eastAsia="宋体"/>
                <w:b w:val="0"/>
                <w:sz w:val="22"/>
              </w:rPr>
              <w:t>销售数量前十位药品如下表，销售数量最高的是 苯磺酸氨氯地平片(安内真)（销售数量 1781）；不同药品的价格差异会影响实收金额排名。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725"/>
              <w:gridCol w:w="1725"/>
              <w:gridCol w:w="1725"/>
              <w:gridCol w:w="1725"/>
              <w:gridCol w:w="1725"/>
            </w:tblGrid>
            <w:tr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排名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商品名称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订单数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销售数量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实收金额</w:t>
                  </w:r>
                </w:p>
              </w:tc>
            </w:tr>
            <w:tr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</w:t>
                  </w:r>
                </w:p>
              </w:tc>
              <w:tc>
                <w:tcPr>
                  <w:tcW w:type="dxa" w:w="1725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苯磺酸氨氯地平片(安内真)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892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1781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19081.44</w:t>
                  </w:r>
                </w:p>
              </w:tc>
            </w:tr>
            <w:tr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</w:t>
                  </w:r>
                </w:p>
              </w:tc>
              <w:tc>
                <w:tcPr>
                  <w:tcW w:type="dxa" w:w="1725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开博通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615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1440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37080.36</w:t>
                  </w:r>
                </w:p>
              </w:tc>
            </w:tr>
            <w:tr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3</w:t>
                  </w:r>
                </w:p>
              </w:tc>
              <w:tc>
                <w:tcPr>
                  <w:tcW w:type="dxa" w:w="1725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酒石酸美托洛尔片(倍他乐克)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548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1140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7919.82</w:t>
                  </w:r>
                </w:p>
              </w:tc>
            </w:tr>
            <w:tr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4</w:t>
                  </w:r>
                </w:p>
              </w:tc>
              <w:tc>
                <w:tcPr>
                  <w:tcW w:type="dxa" w:w="1725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硝苯地平片(心痛定)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420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825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1108.99</w:t>
                  </w:r>
                </w:p>
              </w:tc>
            </w:tr>
            <w:tr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</w:t>
                  </w:r>
                </w:p>
              </w:tc>
              <w:tc>
                <w:tcPr>
                  <w:tcW w:type="dxa" w:w="1725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苯磺酸氨氯地平片(络活喜)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318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796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24251.04</w:t>
                  </w:r>
                </w:p>
              </w:tc>
            </w:tr>
            <w:tr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6</w:t>
                  </w:r>
                </w:p>
              </w:tc>
              <w:tc>
                <w:tcPr>
                  <w:tcW w:type="dxa" w:w="1725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复方利血平片(复方降压片)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304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515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1397.38</w:t>
                  </w:r>
                </w:p>
              </w:tc>
            </w:tr>
            <w:tr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7</w:t>
                  </w:r>
                </w:p>
              </w:tc>
              <w:tc>
                <w:tcPr>
                  <w:tcW w:type="dxa" w:w="1725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G琥珀酸美托洛尔缓释片(倍他乐克)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195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509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8620.96</w:t>
                  </w:r>
                </w:p>
              </w:tc>
            </w:tr>
            <w:tr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8</w:t>
                  </w:r>
                </w:p>
              </w:tc>
              <w:tc>
                <w:tcPr>
                  <w:tcW w:type="dxa" w:w="1725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缬沙坦胶囊(代文)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143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445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16774.77</w:t>
                  </w:r>
                </w:p>
              </w:tc>
            </w:tr>
            <w:tr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9</w:t>
                  </w:r>
                </w:p>
              </w:tc>
              <w:tc>
                <w:tcPr>
                  <w:tcW w:type="dxa" w:w="1725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非洛地平缓释片(波依定)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154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375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10419.56</w:t>
                  </w:r>
                </w:p>
              </w:tc>
            </w:tr>
            <w:tr>
              <w:tc>
                <w:tcPr>
                  <w:tcW w:type="dxa" w:w="1725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10</w:t>
                  </w:r>
                </w:p>
              </w:tc>
              <w:tc>
                <w:tcPr>
                  <w:tcW w:type="dxa" w:w="1725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高特灵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124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373</w:t>
                  </w:r>
                </w:p>
              </w:tc>
              <w:tc>
                <w:tcPr>
                  <w:tcW w:type="dxa" w:w="1725"/>
                </w:tcPr>
                <w:p>
                  <w:pPr>
                    <w:jc w:val="right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1997.95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图 3 销售数量前十位药品</w:t>
            </w:r>
          </w:p>
          <w:p>
            <w:pPr>
              <w:jc w:val="center"/>
            </w:pPr>
            <w:r>
              <w:drawing>
                <wp:inline xmlns:a="http://schemas.openxmlformats.org/drawingml/2006/main">
                  <wp:extent cx="5120640" cy="30723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p10_products_by_quantit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072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（五）项目汇报（30 分）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评分要求：</w:t>
            </w:r>
            <w:r>
              <w:rPr>
                <w:rFonts w:ascii="宋体" w:hAnsi="宋体" w:eastAsia="宋体"/>
                <w:b w:val="0"/>
                <w:sz w:val="22"/>
              </w:rPr>
              <w:t>根据程序实施的思路完成对项目的汇报，每人汇报 3 分钟，内容主要包括代码完成思路及相关技术的应用和实现。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实现方式：</w:t>
            </w:r>
            <w:r>
              <w:rPr>
                <w:rFonts w:ascii="宋体" w:hAnsi="宋体" w:eastAsia="宋体"/>
                <w:b w:val="0"/>
                <w:sz w:val="22"/>
              </w:rPr>
              <w:t>汇报材料整理为 答辩.md（3 分钟口头汇报稿）、docs/defense-outline.md（答辩提纲）和 docs/defense-qa.md（预设问答）。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汇报主线：</w:t>
            </w:r>
            <w:r>
              <w:rPr>
                <w:rFonts w:ascii="宋体" w:hAnsi="宋体" w:eastAsia="宋体"/>
                <w:b w:val="0"/>
                <w:sz w:val="22"/>
              </w:rPr>
              <w:t>按“数据加载 → 数据概览与列名修正 → 数据处理（重复值、缺失值、类型统一、异常值检测与处理）→ 数据分析（排序、月均、时间关系、星期分组、Top 10）→ 可视化”讲解；技术上重点说明 Pandas 的 read_excel/to_datetime/分组聚合、NumPy 的 IQR 计算、Matplotlib/Seaborn 的中文图表配置，其中异常值处理策略是讲解重点。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评分点对照总览表：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2156"/>
              <w:gridCol w:w="2156"/>
              <w:gridCol w:w="2156"/>
              <w:gridCol w:w="2156"/>
            </w:tblGrid>
            <w:tr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评分项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分值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对应实现（模块/文件）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20"/>
                    </w:rPr>
                    <w:t>报告位置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数据加载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</w:t>
                  </w:r>
                </w:p>
              </w:tc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data_loading.py load_sales_data()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（一）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数据概览 — 正确查看数据基本信息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3</w:t>
                  </w:r>
                </w:p>
              </w:tc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data_overview.py inspect_raw_data()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（二）1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数据概览 — 修正列名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2</w:t>
                  </w:r>
                </w:p>
              </w:tc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data_overview.py rename_sales_time()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（二）2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数据处理 — 重复值处理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</w:t>
                  </w:r>
                </w:p>
              </w:tc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data_cleaning.py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（三）1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数据处理 — 缺失值处理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</w:t>
                  </w:r>
                </w:p>
              </w:tc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data_cleaning.py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（三）2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异常值处理 — 销售数据类型统一为整型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</w:t>
                  </w:r>
                </w:p>
              </w:tc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data_cleaning.py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（三）3(1)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异常值处理 — 销售时间统一为 DateTime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</w:t>
                  </w:r>
                </w:p>
              </w:tc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data_cleaning.py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（三）3(2)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异常值处理 — 检测异常值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</w:t>
                  </w:r>
                </w:p>
              </w:tc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data_cleaning.py（IQR）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（三）3(3)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异常值处理 — 处理异常值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</w:t>
                  </w:r>
                </w:p>
              </w:tc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data_cleaning.py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（三）3(4)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数据分析 — 按销售时间排序并重置索引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</w:t>
                  </w:r>
                </w:p>
              </w:tc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data_cleaning.py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（四）1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数据分析 — 计算月均销售金额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</w:t>
                  </w:r>
                </w:p>
              </w:tc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monthly_sales.py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（四）2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数据分析 — 销售时间与实收金额关系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</w:t>
                  </w:r>
                </w:p>
              </w:tc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time_actual_relationship.py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（四）3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数据分析 — 星期分组统计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5</w:t>
                  </w:r>
                </w:p>
              </w:tc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weekday_sales.py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（四）4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数据分析 — 销售数量前十位药品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10</w:t>
                  </w:r>
                </w:p>
              </w:tc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top_products.py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（四）5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项目汇报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30</w:t>
                  </w:r>
                </w:p>
              </w:tc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答辩.md、docs/defense-outline.md、docs/defense-qa.md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（五）</w:t>
                  </w:r>
                </w:p>
              </w:tc>
            </w:tr>
            <w:tr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总分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100</w:t>
                  </w:r>
                </w:p>
              </w:tc>
              <w:tc>
                <w:tcPr>
                  <w:tcW w:type="dxa" w:w="2156"/>
                </w:tcPr>
                <w:p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—</w:t>
                  </w:r>
                </w:p>
              </w:tc>
              <w:tc>
                <w:tcPr>
                  <w:tcW w:type="dxa" w:w="2156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20"/>
                    </w:rPr>
                    <w:t>—</w:t>
                  </w:r>
                </w:p>
              </w:tc>
            </w:tr>
          </w:tbl>
          <w:p/>
          <w:p/>
        </w:tc>
      </w:tr>
    </w:tbl>
    <w:p>
      <w:pPr>
        <w:sectPr>
          <w:footerReference w:type="default" r:id="rId5"/>
          <w:type w:val="nextPage"/>
          <w:pgSz w:w="11055" w:h="15120"/>
          <w:pgMar w:left="1418" w:right="1021" w:gutter="0" w:header="0" w:top="1134" w:footer="794" w:bottom="1134"/>
          <w:pgNumType w:fmt="decimal"/>
          <w:formProt w:val="false"/>
          <w:textDirection w:val="lrTb"/>
          <w:docGrid w:type="lines" w:linePitch="312" w:charSpace="0"/>
        </w:sectPr>
      </w:pPr>
    </w:p>
    <w:tbl>
      <w:tblPr>
        <w:tblW w:w="861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8"/>
      </w:tblGrid>
      <w:tr>
        <w:trPr>
          <w:trHeight w:val="10895" w:hRule="atLeast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  <w:p>
            <w:pPr>
              <w:spacing w:after="80"/>
            </w:pPr>
            <w:r>
              <w:rPr>
                <w:rFonts w:ascii="宋体" w:hAnsi="宋体" w:eastAsia="宋体"/>
                <w:b/>
                <w:sz w:val="22"/>
              </w:rPr>
              <w:t>个人总结：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22"/>
              </w:rPr>
              <w:t>通过本次项目，我完整实践了从数据读取、数据概览、数据清洗、异常处理、分组统计到图表生成的分析流程。项目中最需要注意的是异常值处理不能简单“一删了之”：负数销售、无效日期和关键字段缺失属于确定错误，应当剔除；但大额销售或大数量销售可能是真实业务现象，因此更适合作为统计异常保留复核。</w:t>
            </w:r>
          </w:p>
          <w:p>
            <w:pPr>
              <w:spacing w:after="80"/>
            </w:pPr>
            <w:r>
              <w:rPr>
                <w:rFonts w:ascii="宋体" w:hAnsi="宋体" w:eastAsia="宋体"/>
                <w:b w:val="0"/>
                <w:sz w:val="22"/>
              </w:rPr>
              <w:t>本项目最终形成了可运行代码、清洗数据、统计表、图表、报告和答辩文档，能够逐项对应《Python数据收集与分析》期末考查的评分标准。</w:t>
            </w:r>
          </w:p>
        </w:tc>
      </w:tr>
      <w:tr>
        <w:trPr>
          <w:trHeight w:val="90" w:hRule="atLeast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学生签名：</w:t>
            </w:r>
            <w:r>
              <w:rPr>
                <w:rFonts w:eastAsia="Times New Roman"/>
              </w:rPr>
              <w:t xml:space="preserve"> </w:t>
            </w:r>
          </w:p>
        </w:tc>
      </w:tr>
      <w:tr>
        <w:trPr>
          <w:trHeight w:val="558" w:hRule="atLeast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  <w:t>指导教师签字（签章）：</w:t>
            </w:r>
            <w:r>
              <w:rPr>
                <w:b/>
                <w:sz w:val="24"/>
              </w:rPr>
              <w:drawing>
                <wp:inline distT="0" distB="0" distL="0" distR="0">
                  <wp:extent cx="981710" cy="361950"/>
                  <wp:effectExtent l="0" t="0" r="0" b="0"/>
                  <wp:docPr id="2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37" t="-98" r="-37" b="-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7"/>
      <w:footerReference w:type="first" r:id="rId8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华文彩云"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both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chineseCountingThousand"/>
      <w:suff w:val="nothing"/>
      <w:lvlText w:val="%1、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MGI1NzA5MGFjOTQxZjE0MjcyZmRiMTI3ODYzNWUxZD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character" w:styleId="WW8Num1z0">
    <w:name w:val="WW8Num1z0"/>
    <w:qFormat/>
    <w:rPr/>
  </w:style>
  <w:style w:type="character" w:styleId="Style13">
    <w:name w:val="默认段落字体"/>
    <w:qFormat/>
    <w:rPr/>
  </w:style>
  <w:style w:type="character" w:styleId="1">
    <w:name w:val="标题 1 字符"/>
    <w:qFormat/>
    <w:rPr>
      <w:rFonts w:eastAsia="宋体;SimSun"/>
      <w:b/>
      <w:bCs/>
      <w:kern w:val="2"/>
      <w:sz w:val="44"/>
      <w:szCs w:val="44"/>
      <w:lang w:val="en-US" w:eastAsia="zh-CN" w:bidi="ar-SA"/>
    </w:rPr>
  </w:style>
  <w:style w:type="character" w:styleId="Style14">
    <w:name w:val="页眉 字符"/>
    <w:qFormat/>
    <w:rPr>
      <w:kern w:val="2"/>
      <w:sz w:val="18"/>
      <w:szCs w:val="18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oleObject" Target="embeddings/oleObject1.bin"/><Relationship Id="rId4" Type="http://schemas.openxmlformats.org/officeDocument/2006/relationships/image" Target="media/image2.png"/><Relationship Id="rId5" Type="http://schemas.openxmlformats.org/officeDocument/2006/relationships/footer" Target="footer1.xml"/><Relationship Id="rId6" Type="http://schemas.openxmlformats.org/officeDocument/2006/relationships/image" Target="media/image3.jpe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2019-05-27T15:10:00Z</dcterms:created>
  <dc:creator>hjs</dc:creator>
  <dc:description/>
  <cp:keywords/>
  <dc:language>en-US</dc:language>
  <cp:lastModifiedBy>思媛 曾</cp:lastModifiedBy>
  <dcterms:modified xsi:type="dcterms:W3CDTF">2026-06-09T22:32:00Z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2F483CBBBF0742F0A4FF26401865376E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eyJoZGlkIjoiYWFhNDA0ZDMxZDI2M2Q5NjQ3NTZiMzk5NGJlOWY3Y2QiLCJ1c2VySWQiOiIzMDIzMzUzNzEifQ==</vt:lpwstr>
  </property>
</Properties>
</file>