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sz w:val="28"/>
          <w:szCs w:val="28"/>
        </w:rPr>
      </w:pPr>
      <w:r>
        <w:rPr>
          <w:rFonts w:eastAsia="Times New Roman"/>
        </w:rPr>
        <w:drawing>
          <wp:anchor behindDoc="0" distT="0" distB="0" distL="114935" distR="114935" simplePos="0" locked="0" layoutInCell="1" allowOverlap="1" relativeHeight="3">
            <wp:simplePos x="0" y="0"/>
            <wp:positionH relativeFrom="column">
              <wp:posOffset>146050</wp:posOffset>
            </wp:positionH>
            <wp:positionV relativeFrom="paragraph">
              <wp:posOffset>149225</wp:posOffset>
            </wp:positionV>
            <wp:extent cx="1797050" cy="445135"/>
            <wp:effectExtent l="0" t="0" r="0" b="0"/>
            <wp:wrapNone/>
            <wp:docPr id="1" name="图片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7" t="-70" r="-17" b="-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0" cy="445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</w:rPr>
        <w:t xml:space="preserve">                      </w:t>
      </w:r>
    </w:p>
    <w:p>
      <w:pPr>
        <w:pStyle w:val="Normal"/>
        <w:jc w:val="center"/>
        <w:rPr>
          <w:rFonts w:ascii="华文彩云" w:hAnsi="华文彩云" w:eastAsia="华文彩云"/>
          <w:b/>
          <w:sz w:val="32"/>
          <w:szCs w:val="32"/>
        </w:rPr>
      </w:pPr>
      <w:r>
        <w:rPr>
          <w:rFonts w:eastAsia="华文彩云" w:ascii="华文彩云" w:hAnsi="华文彩云"/>
          <w:b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sz w:val="32"/>
          <w:szCs w:val="32"/>
        </w:rPr>
      </w:pPr>
      <w:r>
        <w:rPr>
          <w:rFonts w:eastAsia="华文彩云" w:ascii="华文彩云" w:hAnsi="华文彩云"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b/>
          <w:sz w:val="32"/>
          <w:szCs w:val="32"/>
          <w:lang w:val="en-US" w:eastAsia="en-US"/>
        </w:rPr>
      </w:pPr>
      <w:r>
        <w:rPr>
          <w:rFonts w:eastAsia="华文彩云" w:ascii="华文彩云" w:hAnsi="华文彩云"/>
          <w:b/>
          <w:sz w:val="32"/>
          <w:szCs w:val="32"/>
          <w:lang w:val="en-US" w:eastAsia="en-US"/>
        </w:rPr>
        <w:object w:dxaOrig="10261" w:dyaOrig="1095">
          <v:shapetype id="_x0000_tole_rId3" coordsize="21600,21600" o:spt="ole_rId3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3" type="_x0000_tole_rId3" style="position:absolute;margin-left:111.9pt;margin-top:11.6pt;width:207pt;height:22.1pt;mso-wrap-distance-left:9.05pt;mso-wrap-distance-right:9.05pt;mso-position-horizontal-relative:text;mso-position-vertical-relative:text" filled="f" o:ole="">
            <v:imagedata r:id="rId4" o:title=""/>
          </v:shape>
          <o:OLEObject Type="Embed" ProgID="" ShapeID="ole_rId3" DrawAspect="Content" ObjectID="_105712960" r:id="rId3"/>
        </w:object>
      </w:r>
    </w:p>
    <w:p>
      <w:pPr>
        <w:pStyle w:val="Normal"/>
        <w:jc w:val="center"/>
        <w:rPr>
          <w:rFonts w:ascii="Arial" w:hAnsi="Arial" w:cs="Arial"/>
          <w:b/>
          <w:color w:val="000000"/>
          <w:kern w:val="0"/>
          <w:sz w:val="16"/>
          <w:szCs w:val="16"/>
        </w:rPr>
      </w:pPr>
      <w:r>
        <w:rPr>
          <w:rFonts w:cs="Arial" w:ascii="Arial" w:hAnsi="Arial"/>
          <w:b/>
          <w:color w:val="000000"/>
          <w:kern w:val="0"/>
          <w:sz w:val="16"/>
          <w:szCs w:val="16"/>
        </w:rPr>
        <w:t>Sichuan Top Vocational College of Information Technology</w:t>
      </w:r>
    </w:p>
    <w:p>
      <w:pPr>
        <w:pStyle w:val="Normal"/>
        <w:jc w:val="center"/>
        <w:rPr>
          <w:rFonts w:ascii="华文彩云" w:hAnsi="华文彩云" w:eastAsia="华文彩云" w:cs="Arial"/>
          <w:b/>
          <w:color w:val="000000"/>
          <w:kern w:val="0"/>
          <w:sz w:val="32"/>
          <w:szCs w:val="32"/>
        </w:rPr>
      </w:pPr>
      <w:r>
        <w:rPr>
          <w:rFonts w:eastAsia="华文彩云" w:cs="Arial" w:ascii="华文彩云" w:hAnsi="华文彩云"/>
          <w:b/>
          <w:color w:val="000000"/>
          <w:kern w:val="0"/>
          <w:sz w:val="32"/>
          <w:szCs w:val="32"/>
        </w:rPr>
      </w:r>
    </w:p>
    <w:p>
      <w:pPr>
        <w:pStyle w:val="Normal"/>
        <w:jc w:val="center"/>
        <w:rPr>
          <w:rFonts w:ascii="华文彩云" w:hAnsi="华文彩云"/>
          <w:shadow/>
          <w:w w:val="80"/>
          <w:sz w:val="84"/>
          <w:szCs w:val="84"/>
        </w:rPr>
      </w:pPr>
      <w:r>
        <w:rPr>
          <w:rFonts w:ascii="华文彩云" w:hAnsi="华文彩云" w:eastAsia="华文中宋"/>
          <w:shadow/>
          <w:w w:val="80"/>
          <w:sz w:val="84"/>
          <w:szCs w:val="84"/>
        </w:rPr>
        <w:t>期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末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考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查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报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告</w:t>
      </w:r>
    </w:p>
    <w:p>
      <w:pPr>
        <w:pStyle w:val="Normal"/>
        <w:jc w:val="center"/>
        <w:rPr>
          <w:rFonts w:ascii="华文彩云" w:hAnsi="华文彩云" w:eastAsia="华文彩云"/>
          <w:shadow/>
          <w:w w:val="80"/>
          <w:sz w:val="30"/>
          <w:szCs w:val="30"/>
        </w:rPr>
      </w:pPr>
      <w:r>
        <w:rPr>
          <w:rFonts w:eastAsia="华文彩云" w:ascii="华文彩云" w:hAnsi="华文彩云"/>
          <w:shadow/>
          <w:w w:val="80"/>
          <w:sz w:val="30"/>
          <w:szCs w:val="30"/>
        </w:rPr>
      </w:r>
    </w:p>
    <w:p>
      <w:pPr>
        <w:pStyle w:val="Normal"/>
        <w:jc w:val="center"/>
        <w:rPr>
          <w:rFonts w:ascii="华文彩云" w:hAnsi="华文彩云" w:eastAsia="华文彩云"/>
          <w:sz w:val="24"/>
          <w:szCs w:val="30"/>
        </w:rPr>
      </w:pPr>
      <w:r>
        <w:rPr>
          <w:rFonts w:eastAsia="华文彩云" w:ascii="华文彩云" w:hAnsi="华文彩云"/>
          <w:sz w:val="24"/>
          <w:szCs w:val="30"/>
        </w:rPr>
      </w:r>
    </w:p>
    <w:p>
      <w:pPr>
        <w:pStyle w:val="Normal"/>
        <w:spacing w:lineRule="auto" w:line="600"/>
        <w:ind w:firstLine="2833" w:right="0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姓    名： _____________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学    号： ______________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学    院： 信息工程学院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专    业： 软件技术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年    级： ______________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班    级： ______________</w:t>
      </w:r>
    </w:p>
    <w:p>
      <w:pPr>
        <w:pStyle w:val="Normal"/>
        <w:tabs>
          <w:tab w:val="clear" w:pos="420"/>
          <w:tab w:val="left" w:pos="3000" w:leader="none"/>
          <w:tab w:val="center" w:pos="4309" w:leader="none"/>
        </w:tabs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指导教师： ______________</w:t>
      </w:r>
    </w:p>
    <w:p>
      <w:pPr>
        <w:pStyle w:val="Normal"/>
        <w:snapToGrid w:val="false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Normal"/>
        <w:snapToGrid w:val="false"/>
        <w:jc w:val="center"/>
        <w:rPr/>
      </w:pPr>
      <w:r>
        <w:rPr>
          <w:rFonts w:eastAsia="Times New Roman"/>
          <w:b/>
          <w:sz w:val="24"/>
        </w:rPr>
        <w:t xml:space="preserve">      </w:t>
      </w:r>
      <w:r>
        <w:rPr>
          <w:b/>
          <w:sz w:val="24"/>
        </w:rPr>
        <w:t>2026</w:t>
      </w:r>
      <w:r>
        <w:rPr>
          <w:b/>
          <w:sz w:val="24"/>
        </w:rPr>
        <w:t>年</w:t>
      </w:r>
      <w:r>
        <w:rPr>
          <w:b/>
          <w:sz w:val="24"/>
        </w:rPr>
        <w:t>6</w:t>
      </w:r>
      <w:r>
        <w:rPr>
          <w:b/>
          <w:sz w:val="24"/>
        </w:rPr>
        <w:t>月</w:t>
      </w:r>
      <w:r>
        <w:rPr>
          <w:b/>
          <w:sz w:val="24"/>
        </w:rPr>
        <w:t>8</w:t>
      </w:r>
      <w:r>
        <w:rPr>
          <w:b/>
          <w:sz w:val="24"/>
        </w:rPr>
        <w:t>日</w:t>
      </w:r>
      <w:r>
        <w:rPr>
          <w:rFonts w:eastAsia="Times New Roman"/>
          <w:b/>
          <w:sz w:val="24"/>
        </w:rPr>
        <w:t xml:space="preserve"> </w:t>
      </w:r>
      <w:r>
        <w:rPr>
          <w:b/>
          <w:sz w:val="24"/>
        </w:rPr>
        <w:t>至</w:t>
      </w:r>
      <w:r>
        <w:rPr>
          <w:rFonts w:eastAsia="Times New Roman"/>
          <w:b/>
          <w:sz w:val="24"/>
        </w:rPr>
        <w:t xml:space="preserve">   </w:t>
      </w:r>
      <w:r>
        <w:rPr>
          <w:b/>
          <w:sz w:val="24"/>
        </w:rPr>
        <w:t>2026</w:t>
      </w:r>
      <w:r>
        <w:rPr>
          <w:b/>
          <w:sz w:val="24"/>
        </w:rPr>
        <w:t>年</w:t>
      </w:r>
      <w:r>
        <w:rPr>
          <w:b/>
          <w:sz w:val="24"/>
        </w:rPr>
        <w:t>6</w:t>
      </w:r>
      <w:r>
        <w:rPr>
          <w:b/>
          <w:sz w:val="24"/>
        </w:rPr>
        <w:t>月</w:t>
      </w:r>
      <w:r>
        <w:rPr>
          <w:b/>
          <w:sz w:val="24"/>
        </w:rPr>
        <w:t>26</w:t>
      </w:r>
      <w:r>
        <w:rPr>
          <w:b/>
          <w:sz w:val="24"/>
        </w:rPr>
        <w:t>日</w:t>
      </w:r>
    </w:p>
    <w:p>
      <w:pPr>
        <w:sectPr>
          <w:type w:val="nextPage"/>
          <w:pgSz w:w="11055" w:h="15120"/>
          <w:pgMar w:left="1021" w:right="1418" w:gutter="0" w:header="0" w:top="1134" w:footer="0" w:bottom="1134"/>
          <w:pgNumType w:fmt="decimal"/>
          <w:formProt w:val="false"/>
          <w:textDirection w:val="lrTb"/>
          <w:docGrid w:type="lines" w:linePitch="312" w:charSpace="0"/>
        </w:sectPr>
        <w:pStyle w:val="Normal"/>
        <w:snapToGrid w:val="false"/>
        <w:rPr>
          <w:b/>
          <w:sz w:val="14"/>
          <w:szCs w:val="18"/>
        </w:rPr>
      </w:pPr>
      <w:r>
        <w:rPr>
          <w:b/>
          <w:sz w:val="14"/>
          <w:szCs w:val="18"/>
        </w:rPr>
      </w:r>
    </w:p>
    <w:tbl>
      <w:tblPr>
        <w:tblW w:w="86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6548"/>
      </w:tblGrid>
      <w:tr>
        <w:trPr>
          <w:trHeight w:val="851" w:hRule="atLeast"/>
        </w:trPr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sz w:val="24"/>
              </w:rPr>
            </w:pPr>
            <w:r>
              <w:rPr>
                <w:b/>
                <w:sz w:val="24"/>
              </w:rPr>
              <w:t>所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在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单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位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：</w:t>
            </w:r>
          </w:p>
        </w:tc>
        <w:tc>
          <w:tcPr>
            <w:tcW w:w="654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4"/>
                <w:u w:val="single"/>
              </w:rPr>
              <w:t xml:space="preserve">__ </w:t>
            </w:r>
            <w:r>
              <w:rPr>
                <w:b/>
                <w:sz w:val="24"/>
                <w:u w:val="single"/>
              </w:rPr>
              <w:t xml:space="preserve">       </w:t>
            </w:r>
            <w:r>
              <w:rPr>
                <w:b/>
                <w:sz w:val="24"/>
                <w:u w:val="single"/>
              </w:rPr>
              <w:t xml:space="preserve"> _</w:t>
            </w:r>
            <w:r>
              <w:rPr>
                <w:b/>
                <w:sz w:val="24"/>
                <w:u w:val="single"/>
              </w:rPr>
              <w:t>级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 </w:t>
            </w:r>
            <w:r>
              <w:rPr>
                <w:b/>
                <w:sz w:val="24"/>
                <w:u w:val="single"/>
              </w:rPr>
              <w:t>　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</w:t>
            </w:r>
            <w:r>
              <w:rPr>
                <w:b/>
                <w:sz w:val="24"/>
                <w:u w:val="single"/>
              </w:rPr>
              <w:t>学院　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</w:t>
            </w:r>
            <w:r>
              <w:rPr>
                <w:b/>
                <w:sz w:val="24"/>
                <w:u w:val="single"/>
              </w:rPr>
              <w:t>　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 </w:t>
            </w:r>
            <w:r>
              <w:rPr>
                <w:b/>
                <w:sz w:val="24"/>
                <w:u w:val="single"/>
              </w:rPr>
              <w:t>专业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</w:t>
            </w:r>
            <w:r>
              <w:rPr>
                <w:b/>
                <w:sz w:val="24"/>
                <w:u w:val="single"/>
              </w:rPr>
              <w:t>班</w:t>
            </w:r>
          </w:p>
        </w:tc>
      </w:tr>
      <w:tr>
        <w:trPr>
          <w:trHeight w:val="851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项目名称：药品销售数据处理与分析</w:t>
            </w:r>
          </w:p>
        </w:tc>
      </w:tr>
      <w:tr>
        <w:trPr>
          <w:trHeight w:val="2484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项目目的：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1. 掌握使用 Pandas 读取本地 Excel 数据的方法。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2. 能够查看数据结构、字段类型、缺失值和重复值情况。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3. 能够对销售时间、销售数量、应收金额和实收金额等字段进行规范化处理。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4. 能够识别并处理缺失值、无效日期、负数销售等异常数据。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5. 能够使用分组聚合完成月度、星期、商品维度的销售统计。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6. 能够使用 Matplotlib/Seaborn 生成可读的分析图表。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7. 能够将分析过程、结果和代码思路整理成报告和答辩材料。</w:t>
            </w:r>
          </w:p>
        </w:tc>
      </w:tr>
      <w:tr>
        <w:trPr>
          <w:trHeight w:val="3096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项目内容及要求：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利用 Python（Pandas、NumPy、Matplotlib、Seaborn）完成药品销售数据的加载、处理与分析，覆盖评分标准中的数据加载、数据概览、数据处理和数据分析各项要求，并形成可用于答辩的报告与图表。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项目过程（按评分标准逐项说明）：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下面对照《评分标准》逐项说明，每一项给出评分要求、实现方式和运行结果。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（一）数据加载（5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采用合适的方法把本地文件中的数据加载至 Python 环境。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data_loading.py 的 load_sales_data() 使用 pandas.read_excel() 读取 exam-materials/data/药品销售数据.xlsx，并在加载后校验必要字段是否齐全，文件或字段缺失时直接抛出清晰错误。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成功读取原始数据 6578 行、8 列。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（二）数据概览（5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1. 正确查看数据基本信息（3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正确查看数据基本信息。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data_overview.py 的 inspect_raw_data() 输出行列数、字段列表、字段类型、缺失值数量和重复值数量。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确认数据规模为 6578 行 × 8 列，原始重复行数量为 0；购药时间、社保卡号、星期各缺失 2 条，其余关键字段各缺失 1 条。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2. 修正列名（2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修正列名。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data_overview.py 的 rename_sales_time() 将原始列名“购药时间”修正为“销售时间”，并保留“源数据行号”便于在异常记录表中追溯原始 Excel 行。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列名由“购药时间”统一为“销售时间”，后续时间相关处理均基于该列。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（三）数据处理（30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1. 重复值处理（5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重复值处理。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data_cleaning.py 基于销售时间、社保卡号、商品编码、商品名称、销售数量、应收金额、实收金额、星期这一组业务字段检测并删除重复记录。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本次数据中重复记录为 0 行，无需删除。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2. 缺失值处理（5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缺失值处理。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对分析必需字段（销售时间、商品名称、销售数量、应收金额、实收金额）缺失的记录予以剔除；对不影响销售统计的社保卡号缺失记录，用“未知社保卡”标记保留。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必需字段缺失的记录被剔除（计入异常值处理的剔除总量），社保卡号缺失的记录保留并标记。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3. 异常值处理（20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本项 20 分由四个子项构成：销售数据类型统一为整型（5 分）、销售时间类型统一为 DateTime 类型（5 分）、检测异常值（5 分）、处理异常值（5 分）。其中两项类型统一是异常值检测的前置步骤——只有先把字段转为正确类型，才能准确判断数量/金额是否为非正值、日期是否有效。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(1) 销售数据类型统一为整型（5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销售数据类型统一为整型。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data_cleaning.py 将销售数量转换为整型，应收金额、实收金额转换为数值类型，保证金额可参与求和与均值计算。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销售数量统一为整型，金额字段统一为数值类型。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(2) 销售时间类型统一为 DateTime 类型（5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销售时间类型统一为 DateTime 类型。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data_cleaning.py 使用 pandas.to_datetime() 将销售时间转换为 DateTime 类型；星期不直接采用原始列，而是根据标准化后的销售时间重新计算，避免 2022-02-29 这类错误星期值影响统计。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销售时间统一为 DateTime 类型，无效日期可被识别；星期由销售时间重算。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(3) 检测异常值（5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检测异常值。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分两类检测：确定错误（无效日期、关键字段缺失、销售数量或金额小于等于 0）；统计异常（使用 IQR 四分位距方法标记大额或大数量记录）。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IQR 统计异常共标记 2012 条，已输出到 generated/tables/anomaly_rows.csv 供复核。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(4) 处理异常值（5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处理异常值。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确定错误记录予以剔除；IQR 统计异常的大额/大数量记录保留复核，因为医药销售中可能存在真实批量购买，不能只因数值大就删除。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最终剔除确定错误记录 68 行，清洗后保留 6510 行有效数据；统计异常的 2012 条不直接删除，而是输出异常表供复核。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（四）数据分析（30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1. 将数据按销售时间排序并重置行索引（5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将数据按照销售时间进行排序，排序之后重置行索引。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data_cleaning.py 将清洗后的数据按销售时间从小到大排序，并重置行索引（reset_index）。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数据按销售时间升序排列、行索引连续，分析时间范围为 2022-01-01 至 2022-07-19。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2. 计算月均销售金额（5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计算月均销售金额。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monthly_sales.py 按月份对实收金额进行分组聚合，并计算月均实收金额。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各月份销售统计如下表，月均实收金额为 43434.98 元，其中 2022-01 的实收金额最高，为 49461.19 元。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2156"/>
              <w:gridCol w:w="2156"/>
              <w:gridCol w:w="2156"/>
              <w:gridCol w:w="2156"/>
            </w:tblGrid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月份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订单数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销售数量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实收金额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2022-01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1055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2527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49461.19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2022-02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742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1858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38790.38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2022-03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990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2225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41597.51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2022-04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1235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3012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48822.56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952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2225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46925.27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2022-06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909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2328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48327.70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2022-07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627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1483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30120.22</w:t>
                  </w:r>
                </w:p>
              </w:tc>
            </w:tr>
          </w:tbl>
          <w:p/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3. 绘制销售时间与实收金额的关系（5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绘制销售时间与实收金额的关系。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time_actual_relationship.py 汇总每日实收金额并生成销售时间与实收金额关系图。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每日实收金额波动明显，部分日期存在高峰；高峰通常与大额或批量购药记录有关，因此在清洗中作为统计异常保留复核，未直接删除。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图 1 销售时间与每日实收金额关系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5120640" cy="25603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les_time_actual_amoun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4. 根据星期分组统计销售数量、应收和实收金额（5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根据星期分组，统计每星期销售数量、应收和实收金额的关系。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weekday_sales.py 按星期（由销售时间重算）分组，统计订单数、销售数量、应收金额和实收金额，并生成星期统计图。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各星期销售统计如下表，星期五的订单数、销售数量、应收金额和实收金额均较高，是一周中销售表现最突出的日期。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1725"/>
              <w:gridCol w:w="1725"/>
              <w:gridCol w:w="1725"/>
              <w:gridCol w:w="1725"/>
              <w:gridCol w:w="1725"/>
            </w:tblGrid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星期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订单数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销售数量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应收金额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实收金额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星期一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778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1847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41265.10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38123.47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星期二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976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2315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45814.40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41934.47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星期三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961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2373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49218.30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45466.81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星期四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692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1718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37885.30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35187.31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星期五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1160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2831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56446.30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51284.66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星期六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1028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2472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53786.70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48510.65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星期日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915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2102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46960.00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43537.46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图 2 星期分组销售统计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5120640" cy="281635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ekday_sales_summary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816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5. 销售数量前十位药品（10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根据商品名称分组，统计销售数量前十位的药品，绘制销售数量前十位的药品名称的销售数量关系。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top_products.py 按商品名称分组统计销售数量，取前十位药品并生成 Top 10 图表。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运行结果：</w:t>
            </w:r>
            <w:r>
              <w:rPr>
                <w:rFonts w:ascii="宋体" w:hAnsi="宋体" w:eastAsia="宋体"/>
                <w:b w:val="0"/>
                <w:sz w:val="22"/>
              </w:rPr>
              <w:t>销售数量前十位药品如下表，销售数量最高的是 苯磺酸氨氯地平片(安内真)（销售数量 1781）；不同药品的价格差异会影响实收金额排名。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1725"/>
              <w:gridCol w:w="1725"/>
              <w:gridCol w:w="1725"/>
              <w:gridCol w:w="1725"/>
              <w:gridCol w:w="1725"/>
            </w:tblGrid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排名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商品名称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订单数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销售数量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实收金额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</w:t>
                  </w:r>
                </w:p>
              </w:tc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苯磺酸氨氯地平片(安内真)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892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1781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19081.44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</w:t>
                  </w:r>
                </w:p>
              </w:tc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开博通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615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1440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37080.36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</w:t>
                  </w:r>
                </w:p>
              </w:tc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酒石酸美托洛尔片(倍他乐克)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548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1140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7919.82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</w:t>
                  </w:r>
                </w:p>
              </w:tc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硝苯地平片(心痛定)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420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825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1108.99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苯磺酸氨氯地平片(络活喜)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318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796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24251.04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6</w:t>
                  </w:r>
                </w:p>
              </w:tc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复方利血平片(复方降压片)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304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515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1397.38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7</w:t>
                  </w:r>
                </w:p>
              </w:tc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G琥珀酸美托洛尔缓释片(倍他乐克)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195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509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8620.96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8</w:t>
                  </w:r>
                </w:p>
              </w:tc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缬沙坦胶囊(代文)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143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445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16774.77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9</w:t>
                  </w:r>
                </w:p>
              </w:tc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非洛地平缓释片(波依定)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154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375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10419.56</w:t>
                  </w:r>
                </w:p>
              </w:tc>
            </w:tr>
            <w:tr>
              <w:tc>
                <w:tcPr>
                  <w:tcW w:type="dxa" w:w="1725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10</w:t>
                  </w:r>
                </w:p>
              </w:tc>
              <w:tc>
                <w:tcPr>
                  <w:tcW w:type="dxa" w:w="1725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高特灵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124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373</w:t>
                  </w:r>
                </w:p>
              </w:tc>
              <w:tc>
                <w:tcPr>
                  <w:tcW w:type="dxa" w:w="1725"/>
                </w:tcPr>
                <w:p>
                  <w:pPr>
                    <w:jc w:val="right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1997.95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图 3 销售数量前十位药品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5120640" cy="30723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p10_products_by_quantity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0723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（五）项目汇报（30 分）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评分要求：</w:t>
            </w:r>
            <w:r>
              <w:rPr>
                <w:rFonts w:ascii="宋体" w:hAnsi="宋体" w:eastAsia="宋体"/>
                <w:b w:val="0"/>
                <w:sz w:val="22"/>
              </w:rPr>
              <w:t>根据程序实施的思路完成对项目的汇报，每人汇报 3 分钟，内容主要包括代码完成思路及相关技术的应用和实现。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实现方式：</w:t>
            </w:r>
            <w:r>
              <w:rPr>
                <w:rFonts w:ascii="宋体" w:hAnsi="宋体" w:eastAsia="宋体"/>
                <w:b w:val="0"/>
                <w:sz w:val="22"/>
              </w:rPr>
              <w:t>汇报材料整理为 答辩.md（3 分钟口头汇报稿）、docs/defense-outline.md（答辩提纲）和 docs/defense-qa.md（预设问答）。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汇报主线：</w:t>
            </w:r>
            <w:r>
              <w:rPr>
                <w:rFonts w:ascii="宋体" w:hAnsi="宋体" w:eastAsia="宋体"/>
                <w:b w:val="0"/>
                <w:sz w:val="22"/>
              </w:rPr>
              <w:t>按“数据加载 → 数据概览与列名修正 → 数据处理（重复值、缺失值、类型统一、异常值检测与处理）→ 数据分析（排序、月均、时间关系、星期分组、Top 10）→ 可视化”讲解；技术上重点说明 Pandas 的 read_excel/to_datetime/分组聚合、NumPy 的 IQR 计算、Matplotlib/Seaborn 的中文图表配置，其中异常值处理策略是讲解重点。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评分点对照总览表：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2156"/>
              <w:gridCol w:w="2156"/>
              <w:gridCol w:w="2156"/>
              <w:gridCol w:w="2156"/>
            </w:tblGrid>
            <w:tr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评分项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分值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对应实现（模块/文件）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/>
                      <w:sz w:val="20"/>
                    </w:rPr>
                    <w:t>报告位置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数据加载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data_loading.py load_sales_data()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（一）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数据概览 — 正确查看数据基本信息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data_overview.py inspect_raw_data()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（二）1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数据概览 — 修正列名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2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data_overview.py rename_sales_time()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（二）2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数据处理 — 重复值处理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data_cleaning.py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（三）1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数据处理 — 缺失值处理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data_cleaning.py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（三）2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异常值处理 — 销售数据类型统一为整型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data_cleaning.py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（三）3(1)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异常值处理 — 销售时间统一为 DateTime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data_cleaning.py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（三）3(2)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异常值处理 — 检测异常值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data_cleaning.py（IQR）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（三）3(3)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异常值处理 — 处理异常值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data_cleaning.py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（三）3(4)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数据分析 — 按销售时间排序并重置索引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data_cleaning.py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（四）1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数据分析 — 计算月均销售金额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monthly_sales.py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（四）2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数据分析 — 销售时间与实收金额关系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time_actual_relationship.py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（四）3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数据分析 — 星期分组统计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5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weekday_sales.py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（四）4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数据分析 — 销售数量前十位药品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10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top_products.py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（四）5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项目汇报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30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答辩.md、docs/defense-outline.md、docs/defense-qa.md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（五）</w:t>
                  </w:r>
                </w:p>
              </w:tc>
            </w:tr>
            <w:tr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总分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100</w:t>
                  </w:r>
                </w:p>
              </w:tc>
              <w:tc>
                <w:tcPr>
                  <w:tcW w:type="dxa" w:w="2156"/>
                </w:tcPr>
                <w:p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—</w:t>
                  </w:r>
                </w:p>
              </w:tc>
              <w:tc>
                <w:tcPr>
                  <w:tcW w:type="dxa" w:w="2156"/>
                </w:tcPr>
                <w:p>
                  <w:pPr>
                    <w:jc w:val="center"/>
                  </w:pPr>
                  <w:r/>
                  <w:r>
                    <w:rPr>
                      <w:rFonts w:ascii="宋体" w:hAnsi="宋体" w:eastAsia="宋体"/>
                      <w:b w:val="0"/>
                      <w:sz w:val="20"/>
                    </w:rPr>
                    <w:t>—</w:t>
                  </w:r>
                </w:p>
              </w:tc>
            </w:tr>
          </w:tbl>
          <w:p/>
          <w:p/>
        </w:tc>
      </w:tr>
    </w:tbl>
    <w:p>
      <w:pPr>
        <w:sectPr>
          <w:footerReference w:type="default" r:id="rId5"/>
          <w:type w:val="nextPage"/>
          <w:pgSz w:w="11055" w:h="15120"/>
          <w:pgMar w:left="1418" w:right="1021" w:gutter="0" w:header="0" w:top="1134" w:footer="794" w:bottom="1134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861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8"/>
      </w:tblGrid>
      <w:tr>
        <w:trPr>
          <w:trHeight w:val="10895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个人总结：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通过本次项目，我完整实践了从数据读取、数据概览、数据清洗、异常处理、分组统计到图表生成的分析流程。项目中最需要注意的是异常值处理不能简单“一删了之”：负数销售、无效日期和关键字段缺失属于确定错误，应当剔除；但大额销售或大数量销售可能是真实业务现象，因此更适合作为统计异常保留复核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本项目最终形成了可运行代码、清洗数据、统计表、图表、报告和答辩文档，能够逐项对应《Python数据收集与分析》期末考查的评分标准。</w:t>
            </w:r>
          </w:p>
        </w:tc>
      </w:tr>
      <w:tr>
        <w:trPr>
          <w:trHeight w:val="90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学生签名：</w:t>
            </w:r>
            <w:r>
              <w:rPr>
                <w:rFonts w:eastAsia="Times New Roman"/>
              </w:rPr>
              <w:t xml:space="preserve"> </w:t>
            </w:r>
          </w:p>
        </w:tc>
      </w:tr>
      <w:tr>
        <w:trPr>
          <w:trHeight w:val="558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sz w:val="24"/>
              </w:rPr>
            </w:pPr>
            <w:r>
              <w:rPr>
                <w:b/>
                <w:sz w:val="24"/>
              </w:rPr>
              <w:t>指导教师签字（签章）：</w:t>
            </w:r>
            <w:r>
              <w:rPr>
                <w:b/>
                <w:sz w:val="24"/>
              </w:rPr>
              <w:drawing>
                <wp:inline distT="0" distB="0" distL="0" distR="0">
                  <wp:extent cx="981710" cy="361950"/>
                  <wp:effectExtent l="0" t="0" r="0" b="0"/>
                  <wp:docPr id="2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37" t="-98" r="-37" b="-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71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/>
      </w:pPr>
      <w:r>
        <w:rPr/>
      </w:r>
    </w:p>
    <w:sectPr>
      <w:footerReference w:type="default" r:id="rId7"/>
      <w:footerReference w:type="first" r:id="rId8"/>
      <w:type w:val="nextPage"/>
      <w:pgSz w:w="11906" w:h="16838"/>
      <w:pgMar w:left="1800" w:right="1800" w:gutter="0" w:header="0" w:top="1440" w:footer="992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华文彩云"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both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chineseCountingThousand"/>
      <w:suff w:val="nothing"/>
      <w:lvlText w:val="%1、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4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MGI1NzA5MGFjOTQxZjE0MjcyZmRiMTI3ODYzNWUxZDQ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character" w:styleId="WW8Num1z0">
    <w:name w:val="WW8Num1z0"/>
    <w:qFormat/>
    <w:rPr/>
  </w:style>
  <w:style w:type="character" w:styleId="Style13">
    <w:name w:val="默认段落字体"/>
    <w:qFormat/>
    <w:rPr/>
  </w:style>
  <w:style w:type="character" w:styleId="1">
    <w:name w:val="标题 1 字符"/>
    <w:qFormat/>
    <w:rPr>
      <w:rFonts w:eastAsia="宋体;SimSun"/>
      <w:b/>
      <w:bCs/>
      <w:kern w:val="2"/>
      <w:sz w:val="44"/>
      <w:szCs w:val="44"/>
      <w:lang w:val="en-US" w:eastAsia="zh-CN" w:bidi="ar-SA"/>
    </w:rPr>
  </w:style>
  <w:style w:type="character" w:styleId="Style14">
    <w:name w:val="页眉 字符"/>
    <w:qFormat/>
    <w:rPr>
      <w:kern w:val="2"/>
      <w:sz w:val="18"/>
      <w:szCs w:val="18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oleObject" Target="embeddings/oleObject1.bin"/><Relationship Id="rId4" Type="http://schemas.openxmlformats.org/officeDocument/2006/relationships/image" Target="media/image2.png"/><Relationship Id="rId5" Type="http://schemas.openxmlformats.org/officeDocument/2006/relationships/footer" Target="footer1.xml"/><Relationship Id="rId6" Type="http://schemas.openxmlformats.org/officeDocument/2006/relationships/image" Target="media/image3.jpeg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2019-05-27T15:10:00Z</dcterms:created>
  <dc:creator>hjs</dc:creator>
  <dc:description/>
  <cp:keywords/>
  <dc:language>en-US</dc:language>
  <cp:lastModifiedBy>思媛 曾</cp:lastModifiedBy>
  <dcterms:modified xsi:type="dcterms:W3CDTF">2026-06-09T22:32:00Z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2F483CBBBF0742F0A4FF26401865376E</vt:lpwstr>
  </property>
  <property fmtid="{D5CDD505-2E9C-101B-9397-08002B2CF9AE}" pid="3" name="KSOProductBuildVer">
    <vt:lpwstr>2052-12.1.0.21915</vt:lpwstr>
  </property>
  <property fmtid="{D5CDD505-2E9C-101B-9397-08002B2CF9AE}" pid="4" name="KSOTemplateDocerSaveRecord">
    <vt:lpwstr>eyJoZGlkIjoiYWFhNDA0ZDMxZDI2M2Q5NjQ3NTZiMzk5NGJlOWY3Y2QiLCJ1c2VySWQiOiIzMDIzMzUzNzEifQ==</vt:lpwstr>
  </property>
</Properties>
</file>