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jc w:val="center"/>
      </w:pPr>
      <w:r>
        <w:rPr>
          <w:rFonts w:ascii="宋体" w:hAnsi="宋体"/>
          <w:b/>
          <w:sz w:val="36"/>
        </w:rPr>
        <w:t>RhizoDelta 图谱化非线性讨论系统测试方案</w:t>
      </w:r>
    </w:p>
    <w:p>
      <w:pPr>
        <w:pStyle w:val="Heading1"/>
      </w:pPr>
      <w:r>
        <w:t>目 录</w:t>
      </w:r>
    </w:p>
    <w:p>
      <w:r>
        <w:rPr>
          <w:rFonts w:ascii="宋体" w:hAnsi="宋体"/>
          <w:b w:val="0"/>
          <w:sz w:val="21"/>
        </w:rPr>
        <w:t>1 概述</w:t>
      </w:r>
    </w:p>
    <w:p>
      <w:r>
        <w:rPr>
          <w:rFonts w:ascii="宋体" w:hAnsi="宋体"/>
          <w:b w:val="0"/>
          <w:sz w:val="21"/>
        </w:rPr>
        <w:t>1.1 编写目的</w:t>
      </w:r>
    </w:p>
    <w:p>
      <w:r>
        <w:rPr>
          <w:rFonts w:ascii="宋体" w:hAnsi="宋体"/>
          <w:b w:val="0"/>
          <w:sz w:val="21"/>
        </w:rPr>
        <w:t>1.2 阅读对象</w:t>
      </w:r>
    </w:p>
    <w:p>
      <w:r>
        <w:rPr>
          <w:rFonts w:ascii="宋体" w:hAnsi="宋体"/>
          <w:b w:val="0"/>
          <w:sz w:val="21"/>
        </w:rPr>
        <w:t>1.3 系统背景</w:t>
      </w:r>
    </w:p>
    <w:p>
      <w:r>
        <w:rPr>
          <w:rFonts w:ascii="宋体" w:hAnsi="宋体"/>
          <w:b w:val="0"/>
          <w:sz w:val="21"/>
        </w:rPr>
        <w:t>2 测试任务</w:t>
      </w:r>
    </w:p>
    <w:p>
      <w:r>
        <w:rPr>
          <w:rFonts w:ascii="宋体" w:hAnsi="宋体"/>
          <w:b w:val="0"/>
          <w:sz w:val="21"/>
        </w:rPr>
        <w:t>2.1 测试目的</w:t>
      </w:r>
    </w:p>
    <w:p>
      <w:r>
        <w:rPr>
          <w:rFonts w:ascii="宋体" w:hAnsi="宋体"/>
          <w:b w:val="0"/>
          <w:sz w:val="21"/>
        </w:rPr>
        <w:t>2.2 测试参考文档</w:t>
      </w:r>
    </w:p>
    <w:p>
      <w:r>
        <w:rPr>
          <w:rFonts w:ascii="宋体" w:hAnsi="宋体"/>
          <w:b w:val="0"/>
          <w:sz w:val="21"/>
        </w:rPr>
        <w:t>2.3 测试提交文档</w:t>
      </w:r>
    </w:p>
    <w:p>
      <w:r>
        <w:rPr>
          <w:rFonts w:ascii="宋体" w:hAnsi="宋体"/>
          <w:b w:val="0"/>
          <w:sz w:val="21"/>
        </w:rPr>
        <w:t>3 测试资源</w:t>
      </w:r>
    </w:p>
    <w:p>
      <w:r>
        <w:rPr>
          <w:rFonts w:ascii="宋体" w:hAnsi="宋体"/>
          <w:b w:val="0"/>
          <w:sz w:val="21"/>
        </w:rPr>
        <w:t>3.1 硬件配置</w:t>
      </w:r>
    </w:p>
    <w:p>
      <w:r>
        <w:rPr>
          <w:rFonts w:ascii="宋体" w:hAnsi="宋体"/>
          <w:b w:val="0"/>
          <w:sz w:val="21"/>
        </w:rPr>
        <w:t>3.2 软件配置</w:t>
      </w:r>
    </w:p>
    <w:p>
      <w:r>
        <w:rPr>
          <w:rFonts w:ascii="宋体" w:hAnsi="宋体"/>
          <w:b w:val="0"/>
          <w:sz w:val="21"/>
        </w:rPr>
        <w:t>3.3 人力资源分配</w:t>
      </w:r>
    </w:p>
    <w:p>
      <w:r>
        <w:rPr>
          <w:rFonts w:ascii="宋体" w:hAnsi="宋体"/>
          <w:b w:val="0"/>
          <w:sz w:val="21"/>
        </w:rPr>
        <w:t>4 测试计划</w:t>
      </w:r>
    </w:p>
    <w:p>
      <w:r>
        <w:rPr>
          <w:rFonts w:ascii="宋体" w:hAnsi="宋体"/>
          <w:b w:val="0"/>
          <w:sz w:val="21"/>
        </w:rPr>
        <w:t>4.1 整体功能模块划分</w:t>
      </w:r>
    </w:p>
    <w:p>
      <w:r>
        <w:rPr>
          <w:rFonts w:ascii="宋体" w:hAnsi="宋体"/>
          <w:b w:val="0"/>
          <w:sz w:val="21"/>
        </w:rPr>
        <w:t>5 测试整体进度安排</w:t>
      </w:r>
    </w:p>
    <w:p>
      <w:r>
        <w:rPr>
          <w:rFonts w:ascii="宋体" w:hAnsi="宋体"/>
          <w:b w:val="0"/>
          <w:sz w:val="21"/>
        </w:rPr>
        <w:t>6 相关风险</w:t>
      </w:r>
    </w:p>
    <w:p>
      <w:pPr>
        <w:pStyle w:val="Heading1"/>
      </w:pPr>
      <w:r>
        <w:t>1 概述</w:t>
      </w:r>
    </w:p>
    <w:p>
      <w:pPr>
        <w:pStyle w:val="Heading2"/>
      </w:pPr>
      <w:r>
        <w:t>1.1 编写目的</w:t>
      </w:r>
    </w:p>
    <w:p>
      <w:r>
        <w:rPr>
          <w:rFonts w:ascii="宋体" w:hAnsi="宋体"/>
          <w:b w:val="0"/>
          <w:sz w:val="21"/>
        </w:rPr>
        <w:t>本文档为 RhizoDelta 软件测试课程作业的测试方案，编写目的包括：</w:t>
      </w:r>
    </w:p>
    <w:p>
      <w:r>
        <w:rPr>
          <w:rFonts w:ascii="宋体" w:hAnsi="宋体"/>
          <w:b w:val="0"/>
          <w:sz w:val="21"/>
        </w:rPr>
        <w:t xml:space="preserve">    确认被测系统的模块划分、测试范围与范围边界。</w:t>
      </w:r>
    </w:p>
    <w:p>
      <w:r>
        <w:rPr>
          <w:rFonts w:ascii="宋体" w:hAnsi="宋体"/>
          <w:b w:val="0"/>
          <w:sz w:val="21"/>
        </w:rPr>
        <w:t xml:space="preserve">    确认个人独立测试任务、执行方式与交付文档。</w:t>
      </w:r>
    </w:p>
    <w:p>
      <w:r>
        <w:rPr>
          <w:rFonts w:ascii="宋体" w:hAnsi="宋体"/>
          <w:b w:val="0"/>
          <w:sz w:val="21"/>
        </w:rPr>
        <w:t xml:space="preserve">    确定测试环境、接口工具、测试数据和外部依赖。</w:t>
      </w:r>
    </w:p>
    <w:p>
      <w:r>
        <w:rPr>
          <w:rFonts w:ascii="宋体" w:hAnsi="宋体"/>
          <w:b w:val="0"/>
          <w:sz w:val="21"/>
        </w:rPr>
        <w:t xml:space="preserve">    识别测试过程风险并给出应对方案。</w:t>
      </w:r>
    </w:p>
    <w:p>
      <w:r>
        <w:rPr>
          <w:rFonts w:ascii="宋体" w:hAnsi="宋体"/>
          <w:b w:val="0"/>
          <w:sz w:val="21"/>
        </w:rPr>
        <w:t xml:space="preserve">    为后续测试用例、缺陷清单和总结报告提供依据。</w:t>
      </w:r>
    </w:p>
    <w:p>
      <w:pPr>
        <w:pStyle w:val="Heading2"/>
      </w:pPr>
      <w:r>
        <w:t>1.2 阅读对象</w:t>
      </w:r>
    </w:p>
    <w:p>
      <w:r>
        <w:rPr>
          <w:rFonts w:ascii="宋体" w:hAnsi="宋体"/>
          <w:b w:val="0"/>
          <w:sz w:val="21"/>
        </w:rPr>
        <w:t>本文档的预期读者包括：课程指导教师、评审人员、项目负责人、软件设计开发人员、测试人员以及后续维护人员。</w:t>
      </w:r>
    </w:p>
    <w:p>
      <w:pPr>
        <w:pStyle w:val="Heading2"/>
      </w:pPr>
      <w:r>
        <w:t>1.3 系统背景</w:t>
      </w:r>
    </w:p>
    <w:p>
      <w:r>
        <w:rPr>
          <w:rFonts w:ascii="宋体" w:hAnsi="宋体"/>
          <w:b w:val="0"/>
          <w:sz w:val="21"/>
        </w:rPr>
        <w:t>RhizoDelta 是一个 B/S 架构的图谱化非线性讨论系统，后端采用 Spring Boot 3、Spring Security + JWT、Spring Data Neo4j、Redis、RabbitMQ 与 SSE，前端采用 React/Vite。系统通过图数据库组织讨论节点与关联，通过异步队列处理发帖、摘要等高成本任务，并向前端实时推送状态变化。本次测试以可运行的 RhizoDelta 实例为被测系统，重点验证认证授权、用户资料与社交、图谱查询等核心 REST 接口和黑盒功能行为。</w:t>
      </w:r>
    </w:p>
    <w:p>
      <w:pPr>
        <w:pStyle w:val="Heading1"/>
      </w:pPr>
      <w:r>
        <w:t>2 测试任务</w:t>
      </w:r>
    </w:p>
    <w:p>
      <w:pPr>
        <w:pStyle w:val="Heading2"/>
      </w:pPr>
      <w:r>
        <w:t>2.1 测试目的</w:t>
      </w:r>
    </w:p>
    <w:p>
      <w:r>
        <w:rPr>
          <w:rFonts w:ascii="宋体" w:hAnsi="宋体"/>
          <w:b w:val="0"/>
          <w:sz w:val="21"/>
        </w:rPr>
        <w:t xml:space="preserve">    确定核心功能是否正常可用，业务流程是否闭环。</w:t>
      </w:r>
    </w:p>
    <w:p>
      <w:r>
        <w:rPr>
          <w:rFonts w:ascii="宋体" w:hAnsi="宋体"/>
          <w:b w:val="0"/>
          <w:sz w:val="21"/>
        </w:rPr>
        <w:t xml:space="preserve">    确定 REST 接口的状态码、统一响应包、字段命名、参数校验和鉴权约束是否符合预期。</w:t>
      </w:r>
    </w:p>
    <w:p>
      <w:r>
        <w:rPr>
          <w:rFonts w:ascii="宋体" w:hAnsi="宋体"/>
          <w:b w:val="0"/>
          <w:sz w:val="21"/>
        </w:rPr>
        <w:t xml:space="preserve">    确定需求范围是否一致、完整、可验证。</w:t>
      </w:r>
    </w:p>
    <w:p>
      <w:r>
        <w:rPr>
          <w:rFonts w:ascii="宋体" w:hAnsi="宋体"/>
          <w:b w:val="0"/>
          <w:sz w:val="21"/>
        </w:rPr>
        <w:t xml:space="preserve">    通过 Postman/newman 形成可复现的接口测试证据。</w:t>
      </w:r>
    </w:p>
    <w:p>
      <w:r>
        <w:rPr>
          <w:rFonts w:ascii="宋体" w:hAnsi="宋体"/>
          <w:b w:val="0"/>
          <w:sz w:val="21"/>
        </w:rPr>
        <w:t xml:space="preserve">    发现并记录缺陷，给出系统质量结论和后续改进建议。</w:t>
      </w:r>
    </w:p>
    <w:p>
      <w:pPr>
        <w:pStyle w:val="Heading2"/>
      </w:pPr>
      <w:r>
        <w:t>2.2 测试参考文档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63"/>
        <w:gridCol w:w="1863"/>
        <w:gridCol w:w="1863"/>
        <w:gridCol w:w="1863"/>
        <w:gridCol w:w="1863"/>
      </w:tblGrid>
      <w:tr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文档名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版本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日期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作者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备注</w:t>
            </w:r>
          </w:p>
        </w:tc>
      </w:tr>
      <w:tr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RhizoDelta 项目说明与课程交付物说明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1.0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2026.6.18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说明被测系统技术栈、功能与课程口径</w:t>
            </w:r>
          </w:p>
        </w:tc>
      </w:tr>
      <w:tr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软件测试 docs/project-understanding.md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1.0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2026.6.18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被测系统理解、角色、模块与范围边界</w:t>
            </w:r>
          </w:p>
        </w:tc>
      </w:tr>
      <w:tr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软件测试 docs/system-design.md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1.0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2026.6.18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测试策略、用例设计方法、环境与通过准则</w:t>
            </w:r>
          </w:p>
        </w:tc>
      </w:tr>
      <w:tr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Postman Collection 与 newman 报告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1.0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2026.6.18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接口测试可复现证据</w:t>
            </w:r>
          </w:p>
        </w:tc>
      </w:tr>
    </w:tbl>
    <w:p>
      <w:pPr>
        <w:pStyle w:val="Heading2"/>
      </w:pPr>
      <w:r>
        <w:t>2.3 测试提交文档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63"/>
        <w:gridCol w:w="1863"/>
        <w:gridCol w:w="1863"/>
        <w:gridCol w:w="1863"/>
        <w:gridCol w:w="1863"/>
      </w:tblGrid>
      <w:tr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文档名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版本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日期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作者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备注</w:t>
            </w:r>
          </w:p>
        </w:tc>
      </w:tr>
      <w:tr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《1-测试方案》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1.0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2026.6.18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由 1测试方案.doc 模板副本填写</w:t>
            </w:r>
          </w:p>
        </w:tc>
      </w:tr>
      <w:tr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《2-测试用例》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1.0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2026.6.18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由 2测试用例.xls 模板副本填写，20 条用例</w:t>
            </w:r>
          </w:p>
        </w:tc>
      </w:tr>
      <w:tr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《3-Bug缺陷报告清单》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1.0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2026.6.18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由 3Bug缺陷报告清单.xls 模板副本填写，2 个缺陷</w:t>
            </w:r>
          </w:p>
        </w:tc>
      </w:tr>
      <w:tr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《4-接口测试-Postman》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1.0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2026.6.18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Postman 专项测试用例、集合、环境和 newman 报告</w:t>
            </w:r>
          </w:p>
        </w:tc>
      </w:tr>
      <w:tr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《5-测试总结报告》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1.0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2026.6.18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由 5测试总结报告.doc 模板副本填写</w:t>
            </w:r>
          </w:p>
        </w:tc>
      </w:tr>
    </w:tbl>
    <w:p>
      <w:pPr>
        <w:pStyle w:val="Heading1"/>
      </w:pPr>
      <w:r>
        <w:t>3 测试资源</w:t>
      </w:r>
    </w:p>
    <w:p>
      <w:pPr>
        <w:pStyle w:val="Heading2"/>
      </w:pPr>
      <w:r>
        <w:t>3.1 硬件配置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关键项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数量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性能要求</w:t>
            </w:r>
          </w:p>
        </w:tc>
      </w:tr>
      <w:tr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测试 PC 机（客户端/接口执行机）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1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CPU：x86_64 多核；内存：8GB 及以上；硬盘：20GB 可用空间；网络可访问被测后端</w:t>
            </w:r>
          </w:p>
        </w:tc>
      </w:tr>
    </w:tbl>
    <w:p>
      <w:pPr>
        <w:pStyle w:val="Heading2"/>
      </w:pPr>
      <w:r>
        <w:t>3.2 软件配置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资源名称/类型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数量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配置</w:t>
            </w:r>
          </w:p>
        </w:tc>
      </w:tr>
      <w:tr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被测后端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1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RhizoDelta Spring Boot，http://localhost:8090</w:t>
            </w:r>
          </w:p>
        </w:tc>
      </w:tr>
      <w:tr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数据与中间件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3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Neo4j、Redis、RabbitMQ</w:t>
            </w:r>
          </w:p>
        </w:tc>
      </w:tr>
      <w:tr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浏览器环境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1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Chrome 最新版</w:t>
            </w:r>
          </w:p>
        </w:tc>
      </w:tr>
      <w:tr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接口测试工具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1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Postman + newman，集合 20 条请求，58 条断言</w:t>
            </w:r>
          </w:p>
        </w:tc>
      </w:tr>
      <w:tr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文档工具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1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Word/WPS/LibreOffice，可打开 doc/docx/xls/xlsx</w:t>
            </w:r>
          </w:p>
        </w:tc>
      </w:tr>
      <w:tr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截图工具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1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浏览器截图与 newman htmlextra 报告截图</w:t>
            </w:r>
          </w:p>
        </w:tc>
      </w:tr>
    </w:tbl>
    <w:p>
      <w:pPr>
        <w:pStyle w:val="Heading2"/>
      </w:pPr>
      <w:r>
        <w:t>3.3 人力资源分配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角色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人员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主要职责</w:t>
            </w:r>
          </w:p>
        </w:tc>
      </w:tr>
      <w:tr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测试负责人（个人独立完成）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分析 RhizoDelta 功能与接口；划定测试范围；编写测试方案、测试用例、缺陷清单与总结报告；构建 Postman 集合；执行 newman 测试；整理截图和结论。</w:t>
            </w:r>
          </w:p>
        </w:tc>
      </w:tr>
    </w:tbl>
    <w:p>
      <w:pPr>
        <w:pStyle w:val="Heading1"/>
      </w:pPr>
      <w:r>
        <w:t>4 测试计划</w:t>
      </w:r>
    </w:p>
    <w:p>
      <w:pPr>
        <w:pStyle w:val="Heading2"/>
      </w:pPr>
      <w:r>
        <w:t>4.1 整体功能模块划分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28"/>
        <w:gridCol w:w="2328"/>
        <w:gridCol w:w="2328"/>
        <w:gridCol w:w="2328"/>
      </w:tblGrid>
      <w:tr>
        <w:tc>
          <w:tcPr>
            <w:tcW w:type="dxa" w:w="2328"/>
          </w:tcPr>
          <w:p>
            <w:r/>
            <w:r>
              <w:rPr>
                <w:rFonts w:ascii="宋体" w:hAnsi="宋体"/>
                <w:sz w:val="21"/>
              </w:rPr>
              <w:t>需求编号</w:t>
            </w:r>
          </w:p>
        </w:tc>
        <w:tc>
          <w:tcPr>
            <w:tcW w:type="dxa" w:w="2328"/>
          </w:tcPr>
          <w:p>
            <w:r/>
            <w:r>
              <w:rPr>
                <w:rFonts w:ascii="宋体" w:hAnsi="宋体"/>
                <w:sz w:val="21"/>
              </w:rPr>
              <w:t>模块名称</w:t>
            </w:r>
          </w:p>
        </w:tc>
        <w:tc>
          <w:tcPr>
            <w:tcW w:type="dxa" w:w="2328"/>
          </w:tcPr>
          <w:p>
            <w:r/>
            <w:r>
              <w:rPr>
                <w:rFonts w:ascii="宋体" w:hAnsi="宋体"/>
                <w:sz w:val="21"/>
              </w:rPr>
              <w:t>功能名称</w:t>
            </w:r>
          </w:p>
        </w:tc>
        <w:tc>
          <w:tcPr>
            <w:tcW w:type="dxa" w:w="2328"/>
          </w:tcPr>
          <w:p>
            <w:r/>
            <w:r>
              <w:rPr>
                <w:rFonts w:ascii="宋体" w:hAnsi="宋体"/>
                <w:sz w:val="21"/>
              </w:rPr>
              <w:t>测试人员</w:t>
            </w:r>
          </w:p>
        </w:tc>
      </w:tr>
      <w:tr>
        <w:tc>
          <w:tcPr>
            <w:tcW w:type="dxa" w:w="2328"/>
          </w:tcPr>
          <w:p>
            <w:r/>
            <w:r>
              <w:rPr>
                <w:rFonts w:ascii="宋体" w:hAnsi="宋体"/>
                <w:sz w:val="21"/>
              </w:rPr>
              <w:t>RD-ST-SRS001</w:t>
            </w:r>
          </w:p>
        </w:tc>
        <w:tc>
          <w:tcPr>
            <w:tcW w:type="dxa" w:w="2328"/>
          </w:tcPr>
          <w:p>
            <w:r/>
            <w:r>
              <w:rPr>
                <w:rFonts w:ascii="宋体" w:hAnsi="宋体"/>
                <w:sz w:val="21"/>
              </w:rPr>
              <w:t>认证授权</w:t>
            </w:r>
          </w:p>
        </w:tc>
        <w:tc>
          <w:tcPr>
            <w:tcW w:type="dxa" w:w="2328"/>
          </w:tcPr>
          <w:p>
            <w:r/>
            <w:r>
              <w:rPr>
                <w:rFonts w:ascii="宋体" w:hAnsi="宋体"/>
                <w:sz w:val="21"/>
              </w:rPr>
              <w:t>注册、登录、刷新令牌、登出、当前用户、JWT 鉴权与 token 吊销</w:t>
            </w:r>
          </w:p>
        </w:tc>
        <w:tc>
          <w:tcPr>
            <w:tcW w:type="dxa" w:w="2328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</w:tr>
      <w:tr>
        <w:tc>
          <w:tcPr>
            <w:tcW w:type="dxa" w:w="2328"/>
          </w:tcPr>
          <w:p>
            <w:r/>
            <w:r>
              <w:rPr>
                <w:rFonts w:ascii="宋体" w:hAnsi="宋体"/>
                <w:sz w:val="21"/>
              </w:rPr>
              <w:t>RD-ST-SRS002</w:t>
            </w:r>
          </w:p>
        </w:tc>
        <w:tc>
          <w:tcPr>
            <w:tcW w:type="dxa" w:w="2328"/>
          </w:tcPr>
          <w:p>
            <w:r/>
            <w:r>
              <w:rPr>
                <w:rFonts w:ascii="宋体" w:hAnsi="宋体"/>
                <w:sz w:val="21"/>
              </w:rPr>
              <w:t>用户资料与社交</w:t>
            </w:r>
          </w:p>
        </w:tc>
        <w:tc>
          <w:tcPr>
            <w:tcW w:type="dxa" w:w="2328"/>
          </w:tcPr>
          <w:p>
            <w:r/>
            <w:r>
              <w:rPr>
                <w:rFonts w:ascii="宋体" w:hAnsi="宋体"/>
                <w:sz w:val="21"/>
              </w:rPr>
              <w:t>个人资料、头像、关注、拉黑、动态流、在线状态</w:t>
            </w:r>
          </w:p>
        </w:tc>
        <w:tc>
          <w:tcPr>
            <w:tcW w:type="dxa" w:w="2328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</w:tr>
      <w:tr>
        <w:tc>
          <w:tcPr>
            <w:tcW w:type="dxa" w:w="2328"/>
          </w:tcPr>
          <w:p>
            <w:r/>
            <w:r>
              <w:rPr>
                <w:rFonts w:ascii="宋体" w:hAnsi="宋体"/>
                <w:sz w:val="21"/>
              </w:rPr>
              <w:t>RD-ST-SRS003</w:t>
            </w:r>
          </w:p>
        </w:tc>
        <w:tc>
          <w:tcPr>
            <w:tcW w:type="dxa" w:w="2328"/>
          </w:tcPr>
          <w:p>
            <w:r/>
            <w:r>
              <w:rPr>
                <w:rFonts w:ascii="宋体" w:hAnsi="宋体"/>
                <w:sz w:val="21"/>
              </w:rPr>
              <w:t>发帖与关联</w:t>
            </w:r>
          </w:p>
        </w:tc>
        <w:tc>
          <w:tcPr>
            <w:tcW w:type="dxa" w:w="2328"/>
          </w:tcPr>
          <w:p>
            <w:r/>
            <w:r>
              <w:rPr>
                <w:rFonts w:ascii="宋体" w:hAnsi="宋体"/>
                <w:sz w:val="21"/>
              </w:rPr>
              <w:t>发帖异步入队、创建/删除节点关联（本轮列入后续扩展）</w:t>
            </w:r>
          </w:p>
        </w:tc>
        <w:tc>
          <w:tcPr>
            <w:tcW w:type="dxa" w:w="2328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</w:tr>
      <w:tr>
        <w:tc>
          <w:tcPr>
            <w:tcW w:type="dxa" w:w="2328"/>
          </w:tcPr>
          <w:p>
            <w:r/>
            <w:r>
              <w:rPr>
                <w:rFonts w:ascii="宋体" w:hAnsi="宋体"/>
                <w:sz w:val="21"/>
              </w:rPr>
              <w:t>RD-ST-SRS004</w:t>
            </w:r>
          </w:p>
        </w:tc>
        <w:tc>
          <w:tcPr>
            <w:tcW w:type="dxa" w:w="2328"/>
          </w:tcPr>
          <w:p>
            <w:r/>
            <w:r>
              <w:rPr>
                <w:rFonts w:ascii="宋体" w:hAnsi="宋体"/>
                <w:sz w:val="21"/>
              </w:rPr>
              <w:t>图谱查询</w:t>
            </w:r>
          </w:p>
        </w:tc>
        <w:tc>
          <w:tcPr>
            <w:tcW w:type="dxa" w:w="2328"/>
          </w:tcPr>
          <w:p>
            <w:r/>
            <w:r>
              <w:rPr>
                <w:rFonts w:ascii="宋体" w:hAnsi="宋体"/>
                <w:sz w:val="21"/>
              </w:rPr>
              <w:t>根话题、节点详情、拓扑上下文、谱系、子代、讨论树、溯源与关联查询</w:t>
            </w:r>
          </w:p>
        </w:tc>
        <w:tc>
          <w:tcPr>
            <w:tcW w:type="dxa" w:w="2328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</w:tr>
      <w:tr>
        <w:tc>
          <w:tcPr>
            <w:tcW w:type="dxa" w:w="2328"/>
          </w:tcPr>
          <w:p>
            <w:r/>
            <w:r>
              <w:rPr>
                <w:rFonts w:ascii="宋体" w:hAnsi="宋体"/>
                <w:sz w:val="21"/>
              </w:rPr>
              <w:t>RD-ST-SRS005</w:t>
            </w:r>
          </w:p>
        </w:tc>
        <w:tc>
          <w:tcPr>
            <w:tcW w:type="dxa" w:w="2328"/>
          </w:tcPr>
          <w:p>
            <w:r/>
            <w:r>
              <w:rPr>
                <w:rFonts w:ascii="宋体" w:hAnsi="宋体"/>
                <w:sz w:val="21"/>
              </w:rPr>
              <w:t>治理决策与复核</w:t>
            </w:r>
          </w:p>
        </w:tc>
        <w:tc>
          <w:tcPr>
            <w:tcW w:type="dxa" w:w="2328"/>
          </w:tcPr>
          <w:p>
            <w:r/>
            <w:r>
              <w:rPr>
                <w:rFonts w:ascii="宋体" w:hAnsi="宋体"/>
                <w:sz w:val="21"/>
              </w:rPr>
              <w:t>合并、分支、注入、回滚、审批、驳回与审计（选测）</w:t>
            </w:r>
          </w:p>
        </w:tc>
        <w:tc>
          <w:tcPr>
            <w:tcW w:type="dxa" w:w="2328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</w:tr>
      <w:tr>
        <w:tc>
          <w:tcPr>
            <w:tcW w:type="dxa" w:w="2328"/>
          </w:tcPr>
          <w:p>
            <w:r/>
            <w:r>
              <w:rPr>
                <w:rFonts w:ascii="宋体" w:hAnsi="宋体"/>
                <w:sz w:val="21"/>
              </w:rPr>
              <w:t>RD-ST-SRS006</w:t>
            </w:r>
          </w:p>
        </w:tc>
        <w:tc>
          <w:tcPr>
            <w:tcW w:type="dxa" w:w="2328"/>
          </w:tcPr>
          <w:p>
            <w:r/>
            <w:r>
              <w:rPr>
                <w:rFonts w:ascii="宋体" w:hAnsi="宋体"/>
                <w:sz w:val="21"/>
              </w:rPr>
              <w:t>AI 与实时</w:t>
            </w:r>
          </w:p>
        </w:tc>
        <w:tc>
          <w:tcPr>
            <w:tcW w:type="dxa" w:w="2328"/>
          </w:tcPr>
          <w:p>
            <w:r/>
            <w:r>
              <w:rPr>
                <w:rFonts w:ascii="宋体" w:hAnsi="宋体"/>
                <w:sz w:val="21"/>
              </w:rPr>
              <w:t>节点摘要、向量、相似检索、SSE 事件流（冒烟/范围外说明）</w:t>
            </w:r>
          </w:p>
        </w:tc>
        <w:tc>
          <w:tcPr>
            <w:tcW w:type="dxa" w:w="2328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</w:tr>
    </w:tbl>
    <w:p>
      <w:pPr>
        <w:pStyle w:val="Heading1"/>
      </w:pPr>
      <w:r>
        <w:t>5 测试整体进度安排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63"/>
        <w:gridCol w:w="1863"/>
        <w:gridCol w:w="1863"/>
        <w:gridCol w:w="1863"/>
        <w:gridCol w:w="1863"/>
      </w:tblGrid>
      <w:tr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测试阶段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时间安排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参与人员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测试工作内容安排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产出</w:t>
            </w:r>
          </w:p>
        </w:tc>
      </w:tr>
      <w:tr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需求分析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2026.6.18 19:00-19:30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分析 RhizoDelta 模块、接口、角色和测试边界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项目理解、测试范围</w:t>
            </w:r>
          </w:p>
        </w:tc>
      </w:tr>
      <w:tr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测试方案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2026.6.18 19:30-20:00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按模板编写测试资源、计划、风险与提交物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《1-测试方案》</w:t>
            </w:r>
          </w:p>
        </w:tc>
      </w:tr>
      <w:tr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测试用例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2026.6.18 20:00-20:40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用等价类、边界值、错误推测、场景法设计 20 条用例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《2-测试用例》</w:t>
            </w:r>
          </w:p>
        </w:tc>
      </w:tr>
      <w:tr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接口执行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2026.6.18 20:40-21:10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生成 Postman 集合并通过 newman 执行 20 个请求、58 条断言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newman HTML/JSON 报告</w:t>
            </w:r>
          </w:p>
        </w:tc>
      </w:tr>
      <w:tr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缺陷登记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2026.6.18 21:10-21:25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登记重复注册状态码与 last_active 时间格式问题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《3-Bug缺陷报告清单》</w:t>
            </w:r>
          </w:p>
        </w:tc>
      </w:tr>
      <w:tr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总结归档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2026.6.18 21:25-21:45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汇总覆盖、缺陷、结论和后续建议</w:t>
            </w:r>
          </w:p>
        </w:tc>
        <w:tc>
          <w:tcPr>
            <w:tcW w:type="dxa" w:w="1863"/>
          </w:tcPr>
          <w:p>
            <w:r/>
            <w:r>
              <w:rPr>
                <w:rFonts w:ascii="宋体" w:hAnsi="宋体"/>
                <w:sz w:val="21"/>
              </w:rPr>
              <w:t>《5-测试总结报告》与课程考查报告</w:t>
            </w:r>
          </w:p>
        </w:tc>
      </w:tr>
    </w:tbl>
    <w:p>
      <w:pPr>
        <w:pStyle w:val="Heading1"/>
      </w:pPr>
      <w:r>
        <w:t>6 相关风险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风险类型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风险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解决方案</w:t>
            </w:r>
          </w:p>
        </w:tc>
      </w:tr>
      <w:tr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环境风险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Neo4j、Redis、RabbitMQ 或后端 8090 端口未启动，导致接口不可达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测前检查依赖和 baseUrl；Postman 环境变量统一配置；失败时先排除环境问题</w:t>
            </w:r>
          </w:p>
        </w:tc>
      </w:tr>
      <w:tr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数据风险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注册、发帖等操作污染开发库数据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使用 qa_tester_st 与 qa_时间戳账号隔离测试数据，必要时在 Neo4j 中清理</w:t>
            </w:r>
          </w:p>
        </w:tc>
      </w:tr>
      <w:tr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范围风险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SSE、AI 摘要、异步队列等功能涉及外部依赖和最终一致性，课程作业周期内难以充分覆盖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核心 REST 功能完整测试，异步/AI/实时功能标记为冒烟或后续扩展</w:t>
            </w:r>
          </w:p>
        </w:tc>
      </w:tr>
      <w:tr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时间风险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个人独立提交，测试时间有限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优先认证授权、用户资料、图谱查询等高价值模块，自动化接口测试提高执行效率</w:t>
            </w:r>
          </w:p>
        </w:tc>
      </w:tr>
      <w:tr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契约风险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HTTP 状态码、业务码、时间字段格式不统一</w:t>
            </w:r>
          </w:p>
        </w:tc>
        <w:tc>
          <w:tcPr>
            <w:tcW w:type="dxa" w:w="3105"/>
          </w:tcPr>
          <w:p>
            <w:r/>
            <w:r>
              <w:rPr>
                <w:rFonts w:ascii="宋体" w:hAnsi="宋体"/>
                <w:sz w:val="21"/>
              </w:rPr>
              <w:t>在用例和缺陷清单中明确断言状态码、业务码、字段命名和时间格式</w:t>
            </w:r>
          </w:p>
        </w:tc>
      </w:tr>
    </w:tbl>
    <w:sectPr>
      <w:headerReference w:type="default" r:id="rId10"/>
      <w:headerReference w:type="first" r:id="rId11"/>
      <w:footerReference w:type="default" r:id="rId12"/>
      <w:footerReference w:type="first" r:id="rId13"/>
      <w:type w:val="nextPage"/>
      <w:pgSz w:w="11906" w:h="16838"/>
      <w:pgMar w:left="1296" w:right="1296" w:gutter="0" w:header="851" w:top="1296" w:footer="992" w:bottom="1296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0"/>
    <w:family w:val="swiss"/>
    <w:pitch w:val="default"/>
  </w:font>
  <w:font w:name="Wingdings">
    <w:charset w:val="02"/>
    <w:family w:val="auto"/>
    <w:pitch w:val="default"/>
  </w:font>
  <w:font w:name="宋体">
    <w:charset w:val="86"/>
    <w:family w:val="auto"/>
    <w:pitch w:val="default"/>
  </w:font>
  <w:font w:name="Tahoma">
    <w:charset w:val="00"/>
    <w:family w:val="swiss"/>
    <w:pitch w:val="default"/>
  </w:font>
  <w:font w:name="Calibri"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Cambria">
    <w:charset w:val="00"/>
    <w:family w:val="roman"/>
    <w:pitch w:val="default"/>
  </w:font>
  <w:font w:name="华文楷体">
    <w:charset w:val="86"/>
    <w:family w:val="auto"/>
    <w:pitch w:val="default"/>
  </w:font>
  <w:font w:name="微软雅黑">
    <w:charset w:val="86"/>
    <w:family w:val="swiss"/>
    <w:pitch w:val="default"/>
  </w:font>
  <w:font w:name="Symbol">
    <w:charset w:val="02"/>
    <w:family w:val="roman"/>
    <w:pitch w:val="default"/>
  </w:font>
  <w:font w:name="等线">
    <w:altName w:val="Arial Unicode MS"/>
    <w:charset w:val="86"/>
    <w:family w:val="auto"/>
    <w:pitch w:val="default"/>
  </w:font>
  <w:font w:name="Georgia">
    <w:charset w:val="00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tabs>
        <w:tab w:val="center" w:pos="4153" w:leader="none"/>
        <w:tab w:val="center" w:pos="4723" w:leader="none"/>
        <w:tab w:val="right" w:pos="8306" w:leader="none"/>
        <w:tab w:val="right" w:pos="9446" w:leader="none"/>
      </w:tabs>
      <w:rPr/>
    </w:pPr>
    <w:r>
      <w:rPr>
        <w:rFonts w:eastAsia="Symbol" w:cs="Symbol" w:ascii="Symbol" w:hAnsi="Symbol"/>
      </w:rPr>
      <w:sym w:font="Symbol" w:char="f0e3"/>
    </w:r>
    <w:r>
      <w:rPr>
        <w:rFonts w:eastAsia="Times New Roman"/>
      </w:rPr>
      <w:t xml:space="preserve"> </w:t>
    </w:r>
    <w:r>
      <w:rPr/>
      <w:t>版权所有</w:t>
    </w:r>
    <w:r>
      <w:rPr>
        <w:rFonts w:eastAsia="Times New Roman"/>
      </w:rPr>
      <w:t xml:space="preserve"> </w:t>
    </w:r>
    <w:r>
      <w:rPr/>
      <w:t>北京四合天地科技有限公司</w:t>
    </w:r>
    <w:r>
      <w:rPr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/>
      <w:tab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ab/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tabs>
        <w:tab w:val="center" w:pos="4153" w:leader="none"/>
        <w:tab w:val="center" w:pos="4723" w:leader="none"/>
        <w:tab w:val="right" w:pos="8306" w:leader="none"/>
        <w:tab w:val="right" w:pos="9446" w:leader="none"/>
      </w:tabs>
      <w:rPr/>
    </w:pPr>
    <w:r>
      <w:rPr/>
    </w:r>
    <w:r>
      <mc:AlternateContent>
        <mc:Choice Requires="wps">
          <w:drawing>
            <wp:anchor behindDoc="1" distT="0" distB="0" distL="114935" distR="1149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39370" cy="132715"/>
              <wp:effectExtent l="0" t="0" r="0" b="0"/>
              <wp:wrapNone/>
              <wp:docPr id="5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370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napToGrid w:val="fals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I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.1pt;height:10.45pt;mso-wrap-distance-left:9.05pt;mso-wrap-distance-right:9.05pt;mso-wrap-distance-top:0pt;mso-wrap-distance-bottom:0pt;margin-top:0pt;mso-position-vertical-relative:text;margin-left:242.1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napToGrid w:val="fals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I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tabs>
        <w:tab w:val="center" w:pos="4153" w:leader="none"/>
        <w:tab w:val="center" w:pos="4748" w:leader="none"/>
        <w:tab w:val="right" w:pos="8306" w:leader="none"/>
        <w:tab w:val="right" w:pos="9497" w:leader="none"/>
      </w:tabs>
      <w:rPr/>
    </w:pPr>
    <w:r>
      <w:rPr/>
    </w:r>
    <w:r>
      <mc:AlternateContent>
        <mc:Choice Requires="wps">
          <w:drawing>
            <wp:anchor behindDoc="1" distT="0" distB="0" distL="114935" distR="114935" simplePos="0" locked="0" layoutInCell="0" allowOverlap="1" relativeHeight="10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9055" cy="132715"/>
              <wp:effectExtent l="0" t="0" r="0" b="0"/>
              <wp:wrapNone/>
              <wp:docPr id="6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05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napToGrid w:val="fals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6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65pt;height:10.45pt;mso-wrap-distance-left:9.05pt;mso-wrap-distance-right:9.05pt;mso-wrap-distance-top:0pt;mso-wrap-distance-bottom:0pt;margin-top:0pt;mso-position-vertical-relative:text;margin-left:241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napToGrid w:val="fals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6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>
        <w:rFonts w:eastAsia="Times New Roman"/>
      </w:rPr>
    </w:pPr>
    <w:r>
      <mc:AlternateContent>
        <mc:Choice Requires="wps">
          <w:drawing>
            <wp:anchor behindDoc="1" distT="0" distB="0" distL="114935" distR="114935" simplePos="0" locked="0" layoutInCell="1" allowOverlap="1" relativeHeight="2">
              <wp:simplePos x="0" y="0"/>
              <wp:positionH relativeFrom="column">
                <wp:posOffset>3175</wp:posOffset>
              </wp:positionH>
              <wp:positionV relativeFrom="paragraph">
                <wp:posOffset>11127105</wp:posOffset>
              </wp:positionV>
              <wp:extent cx="9525" cy="9525"/>
              <wp:effectExtent l="5715" t="5715" r="5715" b="5715"/>
              <wp:wrapNone/>
              <wp:docPr id="1" name="直线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9360" cy="9360"/>
                      </a:xfrm>
                      <a:prstGeom prst="line">
                        <a:avLst/>
                      </a:prstGeom>
                      <a:ln w="15840">
                        <a:solidFill>
                          <a:srgbClr val="739cc3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.25pt,876.15pt" to="0.95pt,876.85pt" ID="直线 7" stroked="t" o:allowincell="f" style="position:absolute;flip:x">
              <v:stroke color="#739cc3" weight="15840" joinstyle="miter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3">
              <wp:simplePos x="0" y="0"/>
              <wp:positionH relativeFrom="column">
                <wp:posOffset>3810</wp:posOffset>
              </wp:positionH>
              <wp:positionV relativeFrom="paragraph">
                <wp:posOffset>245745</wp:posOffset>
              </wp:positionV>
              <wp:extent cx="6181725" cy="635"/>
              <wp:effectExtent l="635" t="1905" r="635" b="1905"/>
              <wp:wrapNone/>
              <wp:docPr id="2" name="直线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81560" cy="720"/>
                      </a:xfrm>
                      <a:prstGeom prst="line">
                        <a:avLst/>
                      </a:prstGeom>
                      <a:ln w="3240">
                        <a:solidFill>
                          <a:srgbClr val="c0c0c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.3pt,19.35pt" to="487pt,19.35pt" ID="直线 9" stroked="t" o:allowincell="f" style="position:absolute">
              <v:stroke color="silver" weight="3240" joinstyle="miter" endcap="flat"/>
              <v:fill o:detectmouseclick="t" on="false"/>
              <w10:wrap type="none"/>
            </v:line>
          </w:pict>
        </mc:Fallback>
      </mc:AlternateContent>
    </w:r>
    <w:r>
      <w:rPr>
        <w:rFonts w:eastAsia="Times New Roman"/>
      </w:rPr>
      <w:t xml:space="preserve">                                                                              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>
        <w:rFonts w:eastAsia="Times New Roman"/>
      </w:rPr>
    </w:pPr>
    <w:r>
      <mc:AlternateContent>
        <mc:Choice Requires="wps">
          <w:drawing>
            <wp:anchor behindDoc="1" distT="0" distB="0" distL="114935" distR="114935" simplePos="0" locked="0" layoutInCell="1" allowOverlap="1" relativeHeight="11">
              <wp:simplePos x="0" y="0"/>
              <wp:positionH relativeFrom="column">
                <wp:posOffset>3175</wp:posOffset>
              </wp:positionH>
              <wp:positionV relativeFrom="paragraph">
                <wp:posOffset>11127105</wp:posOffset>
              </wp:positionV>
              <wp:extent cx="9525" cy="9525"/>
              <wp:effectExtent l="5715" t="5715" r="5715" b="5715"/>
              <wp:wrapNone/>
              <wp:docPr id="3" name="直线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9360" cy="9360"/>
                      </a:xfrm>
                      <a:prstGeom prst="line">
                        <a:avLst/>
                      </a:prstGeom>
                      <a:ln w="15840">
                        <a:solidFill>
                          <a:srgbClr val="739cc3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.25pt,876.15pt" to="0.95pt,876.85pt" ID="直线 1" stroked="t" o:allowincell="f" style="position:absolute;flip:x">
              <v:stroke color="#739cc3" weight="15840" joinstyle="miter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12">
              <wp:simplePos x="0" y="0"/>
              <wp:positionH relativeFrom="column">
                <wp:posOffset>3810</wp:posOffset>
              </wp:positionH>
              <wp:positionV relativeFrom="paragraph">
                <wp:posOffset>245745</wp:posOffset>
              </wp:positionV>
              <wp:extent cx="6181725" cy="635"/>
              <wp:effectExtent l="635" t="1905" r="635" b="1905"/>
              <wp:wrapNone/>
              <wp:docPr id="4" name="直线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81560" cy="720"/>
                      </a:xfrm>
                      <a:prstGeom prst="line">
                        <a:avLst/>
                      </a:prstGeom>
                      <a:ln w="3240">
                        <a:solidFill>
                          <a:srgbClr val="c0c0c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.3pt,19.35pt" to="487pt,19.35pt" ID="直线 2" stroked="t" o:allowincell="f" style="position:absolute">
              <v:stroke color="silver" weight="3240" joinstyle="miter" endcap="flat"/>
              <v:fill o:detectmouseclick="t" on="false"/>
              <w10:wrap type="none"/>
            </v:line>
          </w:pict>
        </mc:Fallback>
      </mc:AlternateContent>
    </w:r>
    <w:r>
      <w:rPr>
        <w:rFonts w:eastAsia="Times New Roman"/>
      </w:rPr>
      <w:t xml:space="preserve">                                                                               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enter" w:pos="4153" w:leader="none"/>
        <w:tab w:val="center" w:pos="4873" w:leader="none"/>
        <w:tab w:val="right" w:pos="8306" w:leader="none"/>
        <w:tab w:val="right" w:pos="9746" w:leader="none"/>
      </w:tabs>
      <w:rPr/>
    </w:pPr>
    <w:r>
      <w:rPr/>
      <w:tab/>
      <w:tab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suff w:val="space"/>
      <w:lvlText w:val="%1"/>
      <w:lvlJc w:val="left"/>
      <w:pPr>
        <w:tabs>
          <w:tab w:val="num" w:pos="0"/>
        </w:tabs>
        <w:ind w:left="425" w:hanging="425"/>
      </w:pPr>
      <w:rPr>
        <w:rFonts w:ascii="Times New Roman" w:hAnsi="Times New Roman" w:eastAsia="Arial Unicode MS" w:cs="Times New Roman"/>
      </w:rPr>
    </w:lvl>
    <w:lvl w:ilvl="1">
      <w:start w:val="1"/>
      <w:pStyle w:val="Heading2"/>
      <w:numFmt w:val="decimal"/>
      <w:suff w:val="space"/>
      <w:lvlText w:val="%1.%2"/>
      <w:lvlJc w:val="left"/>
      <w:pPr>
        <w:tabs>
          <w:tab w:val="num" w:pos="0"/>
        </w:tabs>
        <w:ind w:left="567" w:hanging="567"/>
      </w:pPr>
      <w:rPr>
        <w:rFonts w:ascii="Times New Roman" w:hAnsi="Times New Roman" w:eastAsia="Arial Unicode MS" w:cs="Times New Roman"/>
      </w:rPr>
    </w:lvl>
    <w:lvl w:ilvl="2">
      <w:start w:val="1"/>
      <w:pStyle w:val="Heading3"/>
      <w:numFmt w:val="decimal"/>
      <w:suff w:val="space"/>
      <w:lvlText w:val="%1.%2.%3"/>
      <w:lvlJc w:val="left"/>
      <w:pPr>
        <w:tabs>
          <w:tab w:val="num" w:pos="0"/>
        </w:tabs>
        <w:ind w:left="709" w:hanging="709"/>
      </w:pPr>
      <w:rPr>
        <w:rFonts w:ascii="Times New Roman" w:hAnsi="Times New Roman" w:eastAsia="Arial Unicode MS" w:cs="Times New Roman"/>
      </w:rPr>
    </w:lvl>
    <w:lvl w:ilvl="3">
      <w:start w:val="1"/>
      <w:pStyle w:val="Heading4"/>
      <w:numFmt w:val="decimal"/>
      <w:suff w:val="space"/>
      <w:lvlText w:val="%1.%2.%3.%4"/>
      <w:lvlJc w:val="left"/>
      <w:pPr>
        <w:tabs>
          <w:tab w:val="num" w:pos="0"/>
        </w:tabs>
        <w:ind w:left="851" w:hanging="851"/>
      </w:pPr>
      <w:rPr>
        <w:rFonts w:ascii="Arial" w:hAnsi="Arial" w:cs="Arial"/>
      </w:rPr>
    </w:lvl>
    <w:lvl w:ilvl="4">
      <w:start w:val="1"/>
      <w:pStyle w:val="Heading5"/>
      <w:numFmt w:val="decimal"/>
      <w:suff w:val="space"/>
      <w:lvlText w:val="%1.%2.%3.%4.%5"/>
      <w:lvlJc w:val="left"/>
      <w:pPr>
        <w:tabs>
          <w:tab w:val="num" w:pos="0"/>
        </w:tabs>
        <w:ind w:left="992" w:hanging="992"/>
      </w:pPr>
      <w:rPr/>
    </w:lvl>
    <w:lvl w:ilvl="5">
      <w:start w:val="1"/>
      <w:pStyle w:val="Heading6"/>
      <w:numFmt w:val="decimal"/>
      <w:suff w:val="space"/>
      <w:lvlText w:val="%1.%2.%3.%4.%5.%6"/>
      <w:lvlJc w:val="left"/>
      <w:pPr>
        <w:tabs>
          <w:tab w:val="num" w:pos="0"/>
        </w:tabs>
        <w:ind w:left="1134" w:hanging="1134"/>
      </w:pPr>
      <w:rPr/>
    </w:lvl>
    <w:lvl w:ilvl="6">
      <w:start w:val="1"/>
      <w:pStyle w:val="Heading7"/>
      <w:numFmt w:val="decimal"/>
      <w:suff w:val="space"/>
      <w:lvlText w:val="%1.%2.%3.%4.%5.%6.%7"/>
      <w:lvlJc w:val="left"/>
      <w:pPr>
        <w:tabs>
          <w:tab w:val="num" w:pos="0"/>
        </w:tabs>
        <w:ind w:left="1276" w:hanging="1276"/>
      </w:pPr>
      <w:rPr/>
    </w:lvl>
    <w:lvl w:ilvl="7">
      <w:start w:val="1"/>
      <w:pStyle w:val="Heading8"/>
      <w:numFmt w:val="decimal"/>
      <w:suff w:val="space"/>
      <w:lvlText w:val="%1.%2.%3.%4.%5.%6.%7.%8"/>
      <w:lvlJc w:val="left"/>
      <w:pPr>
        <w:tabs>
          <w:tab w:val="num" w:pos="0"/>
        </w:tabs>
        <w:ind w:left="1418" w:hanging="1418"/>
      </w:pPr>
      <w:rPr/>
    </w:lvl>
    <w:lvl w:ilvl="8">
      <w:start w:val="1"/>
      <w:pStyle w:val="Heading9"/>
      <w:numFmt w:val="decimal"/>
      <w:suff w:val="space"/>
      <w:lvlText w:val="%1.%2.%3.%4.%5.%6.%7.%8.%9"/>
      <w:lvlJc w:val="left"/>
      <w:pPr>
        <w:tabs>
          <w:tab w:val="num" w:pos="0"/>
        </w:tabs>
        <w:ind w:left="1559" w:hanging="1559"/>
      </w:pPr>
      <w:rPr/>
    </w:lvl>
  </w:abstractNum>
  <w:abstractNum w:abstractNumId="2">
    <w:lvl w:ilvl="0">
      <w:start w:val="1"/>
      <w:numFmt w:val="decimal"/>
      <w:lvlText w:val="%1、"/>
      <w:lvlJc w:val="left"/>
      <w:pPr>
        <w:tabs>
          <w:tab w:val="num" w:pos="420"/>
        </w:tabs>
        <w:ind w:left="36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3">
    <w:lvl w:ilvl="0">
      <w:start w:val="1"/>
      <w:numFmt w:val="decimal"/>
      <w:lvlText w:val="图%1."/>
      <w:lvlJc w:val="left"/>
      <w:pPr>
        <w:tabs>
          <w:tab w:val="num" w:pos="0"/>
        </w:tabs>
        <w:ind w:left="220" w:hanging="420"/>
      </w:pPr>
      <w:rPr/>
    </w:lvl>
    <w:lvl w:ilvl="1">
      <w:start w:val="1"/>
      <w:numFmt w:val="bullet"/>
      <w:lvlText w:val=""/>
      <w:lvlJc w:val="left"/>
      <w:pPr>
        <w:tabs>
          <w:tab w:val="num" w:pos="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3780" w:hanging="42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、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5">
    <w:lvl w:ilvl="0">
      <w:start w:val="1"/>
      <w:numFmt w:val="decimal"/>
      <w:lvlText w:val="%1、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6">
    <w:lvl w:ilvl="0">
      <w:start w:val="1"/>
      <w:numFmt w:val="decimal"/>
      <w:lvlText w:val="表%1."/>
      <w:lvlJc w:val="left"/>
      <w:pPr>
        <w:tabs>
          <w:tab w:val="num" w:pos="0"/>
        </w:tabs>
        <w:ind w:left="220" w:hanging="42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7">
    <w:lvl w:ilvl="0">
      <w:start w:val="1"/>
      <w:numFmt w:val="decimal"/>
      <w:lvlText w:val="%1、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8">
    <w:lvl w:ilvl="0">
      <w:start w:val="1"/>
      <w:numFmt w:val="decimal"/>
      <w:lvlText w:val="%1、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9">
    <w:lvl w:ilvl="0">
      <w:start w:val="1"/>
      <w:numFmt w:val="decimal"/>
      <w:lvlText w:val="%1、"/>
      <w:lvlJc w:val="left"/>
      <w:pPr>
        <w:tabs>
          <w:tab w:val="num" w:pos="420"/>
        </w:tabs>
        <w:ind w:left="36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10">
    <w:lvl w:ilvl="0">
      <w:start w:val="1"/>
      <w:numFmt w:val="decimal"/>
      <w:lvlText w:val="%1、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11">
    <w:lvl w:ilvl="0">
      <w:start w:val="1"/>
      <w:numFmt w:val="decimal"/>
      <w:lvlText w:val="%1、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12">
    <w:lvl w:ilvl="0">
      <w:start w:val="1"/>
      <w:numFmt w:val="bullet"/>
      <w:lvlText w:val=""/>
      <w:lvlJc w:val="left"/>
      <w:pPr>
        <w:tabs>
          <w:tab w:val="num" w:pos="0"/>
        </w:tabs>
        <w:ind w:left="474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894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314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1734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154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574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2994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414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3834" w:hanging="42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  <w:jc w:val="both"/>
    </w:pPr>
    <w:rPr>
      <w:rFonts w:ascii="宋体" w:hAnsi="宋体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156" w:after="156"/>
      <w:outlineLvl w:val="0"/>
    </w:pPr>
    <w:rPr>
      <w:b/>
      <w:bCs/>
      <w:kern w:val="2"/>
      <w:sz w:val="28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156" w:after="156"/>
      <w:outlineLvl w:val="1"/>
    </w:pPr>
    <w:rPr>
      <w:b/>
      <w:bCs/>
      <w:sz w:val="24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50" w:after="50"/>
      <w:outlineLvl w:val="2"/>
    </w:pPr>
    <w:rPr>
      <w:b/>
      <w:bCs/>
      <w:sz w:val="24"/>
      <w:szCs w:val="32"/>
    </w:rPr>
  </w:style>
  <w:style w:type="paragraph" w:styleId="Heading4">
    <w:name w:val="heading 4"/>
    <w:basedOn w:val="Normal"/>
    <w:next w:val="Style16"/>
    <w:qFormat/>
    <w:pPr>
      <w:keepNext w:val="true"/>
      <w:keepLines/>
      <w:numPr>
        <w:ilvl w:val="3"/>
        <w:numId w:val="1"/>
      </w:numPr>
      <w:outlineLvl w:val="3"/>
    </w:pPr>
    <w:rPr>
      <w:rFonts w:ascii="Arial" w:hAnsi="Arial" w:cs="Arial"/>
      <w:b/>
      <w:bCs/>
      <w:sz w:val="24"/>
      <w:szCs w:val="28"/>
    </w:rPr>
  </w:style>
  <w:style w:type="paragraph" w:styleId="Heading5">
    <w:name w:val="heading 5"/>
    <w:basedOn w:val="Normal"/>
    <w:next w:val="Style16"/>
    <w:qFormat/>
    <w:pPr>
      <w:keepNext w:val="true"/>
      <w:keepLines/>
      <w:numPr>
        <w:ilvl w:val="4"/>
        <w:numId w:val="1"/>
      </w:numPr>
      <w:outlineLvl w:val="4"/>
    </w:pPr>
    <w:rPr>
      <w:b/>
      <w:bCs/>
      <w:szCs w:val="28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outlineLvl w:val="5"/>
    </w:pPr>
    <w:rPr>
      <w:rFonts w:ascii="Arial" w:hAnsi="Arial" w:cs="Arial"/>
      <w:b/>
      <w:bCs/>
      <w:sz w:val="24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outlineLvl w:val="7"/>
    </w:pPr>
    <w:rPr>
      <w:rFonts w:ascii="Arial" w:hAnsi="Arial" w:cs="Arial"/>
      <w:b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outlineLvl w:val="8"/>
    </w:pPr>
    <w:rPr>
      <w:rFonts w:ascii="Arial" w:hAnsi="Arial" w:cs="Arial"/>
      <w:b/>
      <w:szCs w:val="21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Times New Roman" w:hAnsi="Times New Roman" w:eastAsia="Arial Unicode MS" w:cs="Times New Roman"/>
    </w:rPr>
  </w:style>
  <w:style w:type="character" w:styleId="WW8Num4z3">
    <w:name w:val="WW8Num4z3"/>
    <w:qFormat/>
    <w:rPr>
      <w:rFonts w:ascii="Arial" w:hAnsi="Arial" w:cs="Arial"/>
    </w:rPr>
  </w:style>
  <w:style w:type="character" w:styleId="WW8Num4z4">
    <w:name w:val="WW8Num4z4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Wingdings" w:hAnsi="Wingdings" w:cs="Wingdings"/>
    </w:rPr>
  </w:style>
  <w:style w:type="character" w:styleId="Style5">
    <w:name w:val="默认段落字体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Style5"/>
    <w:rPr/>
  </w:style>
  <w:style w:type="character" w:styleId="FollowedHyperlink">
    <w:name w:val="FollowedHyperlink"/>
    <w:rPr>
      <w:color w:val="800080"/>
      <w:u w:val="single"/>
    </w:rPr>
  </w:style>
  <w:style w:type="character" w:styleId="HTML">
    <w:name w:val="HTML 预设格式 字符"/>
    <w:qFormat/>
    <w:rPr>
      <w:rFonts w:ascii="宋体" w:hAnsi="宋体" w:cs="宋体"/>
      <w:sz w:val="24"/>
      <w:szCs w:val="24"/>
    </w:rPr>
  </w:style>
  <w:style w:type="character" w:styleId="1">
    <w:name w:val="标题 1 字符"/>
    <w:qFormat/>
    <w:rPr>
      <w:rFonts w:ascii="Times New Roman" w:hAnsi="Times New Roman" w:cs="Times New Roman"/>
      <w:b/>
      <w:bCs/>
      <w:kern w:val="2"/>
      <w:sz w:val="28"/>
      <w:szCs w:val="44"/>
    </w:rPr>
  </w:style>
  <w:style w:type="character" w:styleId="3">
    <w:name w:val="标题 3 字符"/>
    <w:qFormat/>
    <w:rPr>
      <w:rFonts w:ascii="Times New Roman" w:hAnsi="Times New Roman" w:cs="Times New Roman"/>
      <w:b/>
      <w:bCs/>
      <w:kern w:val="2"/>
      <w:sz w:val="24"/>
      <w:szCs w:val="32"/>
    </w:rPr>
  </w:style>
  <w:style w:type="character" w:styleId="5">
    <w:name w:val="标题 5 字符"/>
    <w:qFormat/>
    <w:rPr>
      <w:rFonts w:ascii="Times New Roman" w:hAnsi="Times New Roman" w:cs="Times New Roman"/>
      <w:b/>
      <w:bCs/>
      <w:kern w:val="2"/>
      <w:sz w:val="21"/>
      <w:szCs w:val="28"/>
    </w:rPr>
  </w:style>
  <w:style w:type="character" w:styleId="8">
    <w:name w:val="标题 8 字符"/>
    <w:qFormat/>
    <w:rPr>
      <w:rFonts w:ascii="Arial" w:hAnsi="Arial" w:cs="Arial"/>
      <w:b/>
      <w:kern w:val="2"/>
      <w:sz w:val="21"/>
      <w:szCs w:val="24"/>
    </w:rPr>
  </w:style>
  <w:style w:type="character" w:styleId="Style6">
    <w:name w:val="文档结构图 字符"/>
    <w:qFormat/>
    <w:rPr>
      <w:rFonts w:ascii="Times New Roman" w:hAnsi="Times New Roman" w:eastAsia="宋体" w:cs="Times New Roman"/>
      <w:szCs w:val="24"/>
      <w:shd w:fill="000080" w:val="clear"/>
    </w:rPr>
  </w:style>
  <w:style w:type="character" w:styleId="Style7">
    <w:name w:val="副标题 字符"/>
    <w:qFormat/>
    <w:rPr>
      <w:rFonts w:ascii="Arial" w:hAnsi="Arial" w:eastAsia="黑体" w:cs="Times New Roman"/>
      <w:b/>
      <w:sz w:val="30"/>
      <w:szCs w:val="24"/>
    </w:rPr>
  </w:style>
  <w:style w:type="character" w:styleId="Style8">
    <w:name w:val="页眉 字符"/>
    <w:qFormat/>
    <w:rPr>
      <w:sz w:val="18"/>
      <w:szCs w:val="18"/>
    </w:rPr>
  </w:style>
  <w:style w:type="character" w:styleId="normal1">
    <w:name w:val="normal1"/>
    <w:qFormat/>
    <w:rPr>
      <w:rFonts w:ascii="Tahoma" w:hAnsi="Tahoma" w:cs="Tahoma"/>
      <w:b w:val="false"/>
      <w:bCs w:val="false"/>
      <w:sz w:val="18"/>
      <w:szCs w:val="18"/>
    </w:rPr>
  </w:style>
  <w:style w:type="character" w:styleId="script1">
    <w:name w:val="script1"/>
    <w:qFormat/>
    <w:rPr>
      <w:b/>
      <w:bCs/>
      <w:color w:val="003366"/>
      <w:sz w:val="15"/>
      <w:szCs w:val="15"/>
    </w:rPr>
  </w:style>
  <w:style w:type="character" w:styleId="4">
    <w:name w:val="标题 4 字符"/>
    <w:qFormat/>
    <w:rPr>
      <w:rFonts w:ascii="Arial" w:hAnsi="Arial" w:cs="Arial"/>
      <w:b/>
      <w:bCs/>
      <w:kern w:val="2"/>
      <w:sz w:val="24"/>
      <w:szCs w:val="28"/>
    </w:rPr>
  </w:style>
  <w:style w:type="character" w:styleId="9">
    <w:name w:val="标题 9 字符"/>
    <w:qFormat/>
    <w:rPr>
      <w:rFonts w:ascii="Arial" w:hAnsi="Arial" w:cs="Arial"/>
      <w:b/>
      <w:kern w:val="2"/>
      <w:sz w:val="21"/>
      <w:szCs w:val="21"/>
    </w:rPr>
  </w:style>
  <w:style w:type="character" w:styleId="6">
    <w:name w:val="标题 6 字符"/>
    <w:qFormat/>
    <w:rPr>
      <w:rFonts w:ascii="Arial" w:hAnsi="Arial" w:cs="Arial"/>
      <w:b/>
      <w:bCs/>
      <w:kern w:val="2"/>
      <w:sz w:val="24"/>
      <w:szCs w:val="24"/>
    </w:rPr>
  </w:style>
  <w:style w:type="character" w:styleId="7">
    <w:name w:val="标题 7 字符"/>
    <w:qFormat/>
    <w:rPr>
      <w:rFonts w:ascii="Times New Roman" w:hAnsi="Times New Roman" w:cs="Times New Roman"/>
      <w:b/>
      <w:bCs/>
      <w:kern w:val="2"/>
      <w:sz w:val="21"/>
      <w:szCs w:val="24"/>
    </w:rPr>
  </w:style>
  <w:style w:type="character" w:styleId="Style9">
    <w:name w:val="批注框文本 字符"/>
    <w:qFormat/>
    <w:rPr>
      <w:rFonts w:ascii="Times New Roman" w:hAnsi="Times New Roman" w:eastAsia="宋体" w:cs="Times New Roman"/>
      <w:sz w:val="18"/>
      <w:szCs w:val="18"/>
    </w:rPr>
  </w:style>
  <w:style w:type="character" w:styleId="Style10">
    <w:name w:val="页脚 字符"/>
    <w:qFormat/>
    <w:rPr>
      <w:sz w:val="18"/>
      <w:szCs w:val="18"/>
    </w:rPr>
  </w:style>
  <w:style w:type="character" w:styleId="apple-converted-space">
    <w:name w:val="apple-converted-space"/>
    <w:qFormat/>
    <w:rPr/>
  </w:style>
  <w:style w:type="character" w:styleId="2">
    <w:name w:val="标题 2 字符"/>
    <w:qFormat/>
    <w:rPr>
      <w:rFonts w:ascii="Times New Roman" w:hAnsi="Times New Roman" w:cs="Times New Roman"/>
      <w:b/>
      <w:bCs/>
      <w:kern w:val="2"/>
      <w:sz w:val="24"/>
      <w:szCs w:val="32"/>
    </w:rPr>
  </w:style>
  <w:style w:type="character" w:styleId="Style11">
    <w:name w:val="批注文字 字符"/>
    <w:qFormat/>
    <w:rPr>
      <w:rFonts w:ascii="Times New Roman" w:hAnsi="Times New Roman" w:eastAsia="宋体" w:cs="Times New Roman"/>
      <w:szCs w:val="24"/>
    </w:rPr>
  </w:style>
  <w:style w:type="character" w:styleId="Style12">
    <w:name w:val="批注主题 字符"/>
    <w:qFormat/>
    <w:rPr>
      <w:rFonts w:ascii="Calibri" w:hAnsi="Calibri" w:eastAsia="宋体" w:cs="Times New Roman"/>
      <w:b/>
      <w:bCs/>
      <w:szCs w:val="24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OC2">
    <w:name w:val="toc 2"/>
    <w:basedOn w:val="Normal"/>
    <w:next w:val="Normal"/>
    <w:pPr>
      <w:ind w:hanging="0" w:left="420" w:right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3">
    <w:name w:val="普通(网站)"/>
    <w:basedOn w:val="Normal"/>
    <w:qFormat/>
    <w:pPr>
      <w:widowControl/>
      <w:spacing w:lineRule="auto" w:line="240" w:before="280" w:after="280"/>
      <w:jc w:val="left"/>
    </w:pPr>
    <w:rPr>
      <w:rFonts w:ascii="宋体" w:hAnsi="宋体" w:cs="宋体"/>
      <w:kern w:val="0"/>
      <w:sz w:val="24"/>
    </w:rPr>
  </w:style>
  <w:style w:type="paragraph" w:styleId="Style14">
    <w:name w:val="图表目录"/>
    <w:basedOn w:val="Normal"/>
    <w:next w:val="Normal"/>
    <w:qFormat/>
    <w:pPr/>
    <w:rPr/>
  </w:style>
  <w:style w:type="paragraph" w:styleId="TOC8">
    <w:name w:val="toc 8"/>
    <w:basedOn w:val="Normal"/>
    <w:next w:val="Normal"/>
    <w:pPr>
      <w:ind w:hanging="0" w:left="2940" w:right="0"/>
    </w:pPr>
    <w:rPr/>
  </w:style>
  <w:style w:type="paragraph" w:styleId="Style15">
    <w:name w:val="列表项目符号"/>
    <w:basedOn w:val="Normal"/>
    <w:qFormat/>
    <w:pPr>
      <w:tabs>
        <w:tab w:val="clear" w:pos="420"/>
        <w:tab w:val="left" w:pos="360" w:leader="none"/>
      </w:tabs>
      <w:ind w:hanging="360" w:left="360" w:right="0"/>
    </w:pPr>
    <w:rPr>
      <w:kern w:val="0"/>
      <w:szCs w:val="20"/>
    </w:rPr>
  </w:style>
  <w:style w:type="paragraph" w:styleId="HTML1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jc w:val="left"/>
    </w:pPr>
    <w:rPr>
      <w:rFonts w:ascii="宋体" w:hAnsi="宋体" w:cs="宋体"/>
      <w:kern w:val="0"/>
      <w:sz w:val="24"/>
    </w:rPr>
  </w:style>
  <w:style w:type="paragraph" w:styleId="Subtitle">
    <w:name w:val="Subtitle"/>
    <w:basedOn w:val="Normal"/>
    <w:next w:val="BodyText"/>
    <w:qFormat/>
    <w:pPr>
      <w:spacing w:lineRule="auto" w:line="300"/>
      <w:ind w:firstLine="200" w:left="0" w:right="0"/>
      <w:jc w:val="center"/>
    </w:pPr>
    <w:rPr>
      <w:rFonts w:ascii="Arial" w:hAnsi="Arial" w:eastAsia="黑体" w:cs="Arial"/>
      <w:b/>
      <w:sz w:val="30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Style16">
    <w:name w:val="正文缩进"/>
    <w:basedOn w:val="Normal"/>
    <w:qFormat/>
    <w:pPr>
      <w:ind w:firstLine="420" w:left="0" w:right="0"/>
    </w:pPr>
    <w:rPr/>
  </w:style>
  <w:style w:type="paragraph" w:styleId="Style17">
    <w:name w:val="批注文字"/>
    <w:basedOn w:val="Normal"/>
    <w:qFormat/>
    <w:pPr>
      <w:jc w:val="left"/>
    </w:pPr>
    <w:rPr/>
  </w:style>
  <w:style w:type="paragraph" w:styleId="Style18">
    <w:name w:val="批注主题"/>
    <w:basedOn w:val="Style17"/>
    <w:next w:val="Style17"/>
    <w:qFormat/>
    <w:pPr>
      <w:spacing w:lineRule="auto" w:line="240"/>
    </w:pPr>
    <w:rPr>
      <w:rFonts w:ascii="Calibri" w:hAnsi="Calibri" w:cs="Calibri"/>
      <w:b/>
      <w:bCs/>
      <w:szCs w:val="22"/>
    </w:rPr>
  </w:style>
  <w:style w:type="paragraph" w:styleId="TOC4">
    <w:name w:val="toc 4"/>
    <w:basedOn w:val="Normal"/>
    <w:next w:val="Normal"/>
    <w:pPr>
      <w:ind w:hanging="0" w:left="1260" w:right="0"/>
    </w:pPr>
    <w:rPr/>
  </w:style>
  <w:style w:type="paragraph" w:styleId="TOC7">
    <w:name w:val="toc 7"/>
    <w:basedOn w:val="Normal"/>
    <w:next w:val="Normal"/>
    <w:pPr>
      <w:ind w:hanging="0" w:left="2520" w:right="0"/>
    </w:pPr>
    <w:rPr/>
  </w:style>
  <w:style w:type="paragraph" w:styleId="Style19">
    <w:name w:val="批注框文本"/>
    <w:basedOn w:val="Normal"/>
    <w:qFormat/>
    <w:pPr>
      <w:spacing w:lineRule="auto" w:line="240"/>
    </w:pPr>
    <w:rPr>
      <w:sz w:val="18"/>
      <w:szCs w:val="18"/>
    </w:rPr>
  </w:style>
  <w:style w:type="paragraph" w:styleId="Style20">
    <w:name w:val="题注"/>
    <w:basedOn w:val="Normal"/>
    <w:next w:val="Normal"/>
    <w:qFormat/>
    <w:pPr>
      <w:spacing w:lineRule="auto" w:line="240"/>
    </w:pPr>
    <w:rPr>
      <w:rFonts w:ascii="Cambria" w:hAnsi="Cambria" w:eastAsia="黑体" w:cs="Cambria"/>
      <w:sz w:val="20"/>
      <w:szCs w:val="20"/>
    </w:rPr>
  </w:style>
  <w:style w:type="paragraph" w:styleId="TOC3">
    <w:name w:val="toc 3"/>
    <w:basedOn w:val="Normal"/>
    <w:next w:val="Normal"/>
    <w:pPr>
      <w:ind w:hanging="0" w:left="840" w:right="0"/>
    </w:pPr>
    <w:rPr/>
  </w:style>
  <w:style w:type="paragraph" w:styleId="TOC6">
    <w:name w:val="toc 6"/>
    <w:basedOn w:val="Normal"/>
    <w:next w:val="Normal"/>
    <w:pPr>
      <w:ind w:hanging="0" w:left="2100" w:right="0"/>
    </w:pPr>
    <w:rPr/>
  </w:style>
  <w:style w:type="paragraph" w:styleId="TOC1">
    <w:name w:val="toc 1"/>
    <w:basedOn w:val="Normal"/>
    <w:next w:val="Normal"/>
    <w:pPr/>
    <w:rPr/>
  </w:style>
  <w:style w:type="paragraph" w:styleId="TOC5">
    <w:name w:val="toc 5"/>
    <w:basedOn w:val="Normal"/>
    <w:next w:val="Normal"/>
    <w:pPr>
      <w:ind w:hanging="0" w:left="1680" w:right="0"/>
    </w:pPr>
    <w:rPr/>
  </w:style>
  <w:style w:type="paragraph" w:styleId="TOC9">
    <w:name w:val="toc 9"/>
    <w:basedOn w:val="Normal"/>
    <w:next w:val="Normal"/>
    <w:pPr>
      <w:ind w:hanging="0" w:left="3360" w:right="0"/>
    </w:pPr>
    <w:rPr/>
  </w:style>
  <w:style w:type="paragraph" w:styleId="Style21">
    <w:name w:val="文档结构图"/>
    <w:basedOn w:val="Normal"/>
    <w:qFormat/>
    <w:pPr>
      <w:shd w:fill="000080" w:val="clear"/>
    </w:pPr>
    <w:rPr/>
  </w:style>
  <w:style w:type="paragraph" w:styleId="Style22">
    <w:name w:val="项目名称"/>
    <w:basedOn w:val="Normal"/>
    <w:next w:val="Style16"/>
    <w:qFormat/>
    <w:pPr>
      <w:jc w:val="center"/>
    </w:pPr>
    <w:rPr>
      <w:rFonts w:ascii="华文楷体" w:hAnsi="华文楷体" w:eastAsia="楷体_GB2312;楷体" w:cs="宋体"/>
      <w:b/>
      <w:bCs/>
      <w:sz w:val="48"/>
      <w:szCs w:val="20"/>
    </w:rPr>
  </w:style>
  <w:style w:type="paragraph" w:styleId="Style23">
    <w:name w:val="正文格式"/>
    <w:basedOn w:val="Normal"/>
    <w:qFormat/>
    <w:pPr>
      <w:autoSpaceDE w:val="false"/>
      <w:spacing w:lineRule="auto" w:line="240"/>
      <w:ind w:firstLine="200" w:left="0" w:right="0"/>
      <w:jc w:val="left"/>
    </w:pPr>
    <w:rPr>
      <w:rFonts w:ascii="宋体" w:hAnsi="宋体" w:cs="Wingdings"/>
      <w:kern w:val="0"/>
      <w:lang w:val="zh-CN"/>
    </w:rPr>
  </w:style>
  <w:style w:type="paragraph" w:styleId="TOC">
    <w:name w:val="TOC 标题"/>
    <w:basedOn w:val="Heading1"/>
    <w:next w:val="Normal"/>
    <w:qFormat/>
    <w:pPr>
      <w:widowControl/>
      <w:numPr>
        <w:ilvl w:val="0"/>
        <w:numId w:val="0"/>
      </w:numPr>
      <w:spacing w:lineRule="auto" w:line="276" w:before="480" w:after="156"/>
      <w:ind w:hanging="0" w:left="0" w:right="0"/>
      <w:jc w:val="left"/>
      <w:outlineLvl w:val="9"/>
    </w:pPr>
    <w:rPr>
      <w:rFonts w:ascii="Cambria" w:hAnsi="Cambria" w:eastAsia="宋体" w:cs="Times New Roman"/>
      <w:color w:val="365F91"/>
      <w:kern w:val="0"/>
      <w:szCs w:val="28"/>
    </w:rPr>
  </w:style>
  <w:style w:type="paragraph" w:styleId="Normal-Table">
    <w:name w:val="Normal-Table"/>
    <w:basedOn w:val="Normal"/>
    <w:qFormat/>
    <w:pPr>
      <w:widowControl/>
      <w:spacing w:lineRule="auto" w:line="240" w:before="0" w:after="60"/>
      <w:jc w:val="left"/>
    </w:pPr>
    <w:rPr>
      <w:rFonts w:ascii="宋体" w:hAnsi="宋体" w:cs="宋体"/>
      <w:kern w:val="0"/>
      <w:szCs w:val="20"/>
      <w:lang w:val="en-GB" w:eastAsia="en-US"/>
    </w:rPr>
  </w:style>
  <w:style w:type="paragraph" w:styleId="CharCharCharCharCharChar2Char">
    <w:name w:val="Char Char Char Char Char Char2 Char"/>
    <w:basedOn w:val="Normal"/>
    <w:qFormat/>
    <w:pPr>
      <w:spacing w:lineRule="auto" w:line="240"/>
      <w:ind w:firstLine="480" w:left="0" w:right="0"/>
    </w:pPr>
    <w:rPr>
      <w:rFonts w:ascii="宋体" w:hAnsi="宋体" w:cs="宋体"/>
      <w:i/>
      <w:sz w:val="24"/>
    </w:rPr>
  </w:style>
  <w:style w:type="paragraph" w:styleId="Style24">
    <w:name w:val="表格文字"/>
    <w:basedOn w:val="Normal"/>
    <w:qFormat/>
    <w:pPr/>
    <w:rPr/>
  </w:style>
  <w:style w:type="paragraph" w:styleId="Style25">
    <w:name w:val="正文 + 居中"/>
    <w:basedOn w:val="Normal"/>
    <w:qFormat/>
    <w:pPr>
      <w:jc w:val="center"/>
    </w:pPr>
    <w:rPr/>
  </w:style>
  <w:style w:type="paragraph" w:styleId="Style26">
    <w:name w:val="表头文字"/>
    <w:basedOn w:val="Style25"/>
    <w:qFormat/>
    <w:pPr/>
    <w:rPr>
      <w:b/>
      <w:bCs/>
    </w:rPr>
  </w:style>
  <w:style w:type="paragraph" w:styleId="Style27">
    <w:name w:val="文档标题"/>
    <w:basedOn w:val="Normal"/>
    <w:next w:val="Style16"/>
    <w:qFormat/>
    <w:pPr>
      <w:jc w:val="center"/>
    </w:pPr>
    <w:rPr>
      <w:rFonts w:eastAsia="楷体_GB2312;楷体"/>
      <w:b/>
      <w:kern w:val="0"/>
      <w:sz w:val="52"/>
      <w:szCs w:val="72"/>
    </w:rPr>
  </w:style>
  <w:style w:type="paragraph" w:styleId="Style28">
    <w:name w:val="文档小标题"/>
    <w:basedOn w:val="Style27"/>
    <w:next w:val="Style16"/>
    <w:qFormat/>
    <w:pPr/>
    <w:rPr>
      <w:sz w:val="30"/>
    </w:rPr>
  </w:style>
  <w:style w:type="paragraph" w:styleId="Style29">
    <w:name w:val="列出段落"/>
    <w:basedOn w:val="Normal"/>
    <w:qFormat/>
    <w:pPr>
      <w:spacing w:lineRule="auto" w:line="240"/>
      <w:ind w:firstLine="420" w:left="0" w:right="0"/>
    </w:pPr>
    <w:rPr>
      <w:rFonts w:ascii="Calibri" w:hAnsi="Calibri" w:cs="Calibri"/>
      <w:szCs w:val="22"/>
    </w:rPr>
  </w:style>
  <w:style w:type="paragraph" w:styleId="Style30">
    <w:name w:val="正文批注"/>
    <w:basedOn w:val="Style16"/>
    <w:next w:val="Style16"/>
    <w:qFormat/>
    <w:pPr/>
    <w:rPr>
      <w:i/>
      <w:color w:val="3366FF"/>
    </w:rPr>
  </w:style>
  <w:style w:type="paragraph" w:styleId="Style31">
    <w:name w:val="图目录"/>
    <w:basedOn w:val="Style14"/>
    <w:next w:val="Style16"/>
    <w:qFormat/>
    <w:pPr>
      <w:numPr>
        <w:ilvl w:val="0"/>
        <w:numId w:val="3"/>
      </w:numPr>
      <w:tabs>
        <w:tab w:val="clear" w:pos="420"/>
        <w:tab w:val="left" w:pos="220" w:leader="none"/>
      </w:tabs>
      <w:jc w:val="center"/>
    </w:pPr>
    <w:rPr/>
  </w:style>
  <w:style w:type="paragraph" w:styleId="Normal0">
    <w:name w:val="Normal0"/>
    <w:qFormat/>
    <w:pPr>
      <w:widowControl/>
      <w:bidi w:val="0"/>
    </w:pPr>
    <w:rPr>
      <w:rFonts w:ascii="Times New Roman" w:hAnsi="Times New Roman" w:eastAsia="宋体" w:cs="Times New Roman"/>
      <w:color w:val="auto"/>
      <w:sz w:val="20"/>
      <w:szCs w:val="20"/>
      <w:lang w:val="en-US" w:eastAsia="en-US" w:bidi="ar-SA"/>
    </w:rPr>
  </w:style>
  <w:style w:type="paragraph" w:styleId="Style32">
    <w:name w:val="表格目录"/>
    <w:basedOn w:val="Style14"/>
    <w:next w:val="Style16"/>
    <w:qFormat/>
    <w:pPr>
      <w:numPr>
        <w:ilvl w:val="0"/>
        <w:numId w:val="6"/>
      </w:numPr>
      <w:tabs>
        <w:tab w:val="clear" w:pos="420"/>
        <w:tab w:val="left" w:pos="220" w:leader="none"/>
      </w:tabs>
      <w:ind w:hanging="0" w:left="222" w:right="0"/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HeaderLeft">
    <w:name w:val="Header Left"/>
    <w:basedOn w:val="Header"/>
    <w:qFormat/>
    <w:pPr>
      <w:suppressLineNumbers/>
      <w:tabs>
        <w:tab w:val="clear" w:pos="4153"/>
        <w:tab w:val="clear" w:pos="8306"/>
        <w:tab w:val="center" w:pos="4873" w:leader="none"/>
        <w:tab w:val="right" w:pos="9746" w:leader="none"/>
      </w:tabs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header" Target="header4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2012-03-02T09:19:00Z</dcterms:created>
  <dc:creator>chenyl</dc:creator>
  <dc:description>统计模块</dc:description>
  <dc:language>en-US</dc:language>
  <cp:lastModifiedBy>thtfpc</cp:lastModifiedBy>
  <dcterms:modified xsi:type="dcterms:W3CDTF">2020-06-15T12:56:02Z</dcterms:modified>
  <cp:revision>7</cp:revision>
  <dc:subject/>
  <dc:title>用户手册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